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6C882D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6" w:beforeAutospacing="0" w:after="96" w:afterAutospacing="0" w:line="288" w:lineRule="atLeast"/>
        <w:ind w:right="0" w:rightChars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答：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私有成员：类的数据成员应设为私有，避免外部直接修改，保证数据安全性。</w:t>
      </w:r>
    </w:p>
    <w:p w14:paraId="336C34A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96" w:beforeAutospacing="0" w:after="96" w:afterAutospacing="0" w:line="288" w:lineRule="atLeast"/>
        <w:ind w:right="0" w:rightChars="0" w:firstLine="380" w:firstLineChars="200"/>
        <w:jc w:val="left"/>
        <w:rPr>
          <w:rFonts w:ascii="Times New Roman" w:hAnsi="Times New Roman" w:cs="Times New Roma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公有成员：类的成员函数应设为公有，作为外部访问类的接口。</w:t>
      </w:r>
    </w:p>
    <w:p w14:paraId="7C1AF6C9">
      <w:pPr>
        <w:pStyle w:val="3"/>
        <w:ind w:firstLine="384" w:firstLineChars="200"/>
        <w:rPr>
          <w:rFonts w:ascii="Times New Roman" w:hAnsi="Times New Roman" w:cs="Times New Roma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简单、短小的函数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适合在类内定义，编译器会将其视为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内联函数，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提升执行效率。</w:t>
      </w:r>
    </w:p>
    <w:p w14:paraId="55994F62">
      <w:pPr>
        <w:pStyle w:val="3"/>
        <w:ind w:firstLine="384" w:firstLineChars="200"/>
        <w:rPr>
          <w:rFonts w:ascii="Times New Roman" w:hAnsi="Times New Roman" w:cs="Times New Roma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复杂、代码量较大的函数适合在类外定义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t>，使类的结构更清晰，便于代码维护。</w:t>
      </w:r>
    </w:p>
    <w:p w14:paraId="15AC8E3D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07CCCBD4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24932F4B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02F85A91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9678ABE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1938BEB0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3FFD1C9E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09D5C83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D40BA63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  <w:bookmarkStart w:id="0" w:name="_GoBack"/>
      <w:bookmarkEnd w:id="0"/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5AC1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8"/>
    <w:qFormat/>
    <w:uiPriority w:val="0"/>
    <w:rPr>
      <w:rFonts w:ascii="宋体" w:hAnsi="Courier New" w:cs="Courier New"/>
      <w:szCs w:val="21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1483</Characters>
  <Lines>12</Lines>
  <Paragraphs>3</Paragraphs>
  <TotalTime>37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橘味果酱</cp:lastModifiedBy>
  <dcterms:modified xsi:type="dcterms:W3CDTF">2026-01-15T12:13:27Z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eyJoZGlkIjoiYjQ4OTBiNmQxOGU4ZGMyMTRjMTQ0YWY3YWU0ZTVkMGEiLCJ1c2VySWQiOiI2NDcxMjM2ODUifQ==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05D09318B1AC423F8635148379104286_12</vt:lpwstr>
  </property>
</Properties>
</file>