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14F32E81">
      <w:pPr>
        <w:widowControl w:val="0"/>
        <w:ind w:firstLine="420" w:firstLineChars="200"/>
        <w:jc w:val="both"/>
        <w:rPr>
          <w:rFonts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</w:p>
    <w:p w14:paraId="77B75DB9">
      <w:pPr>
        <w:widowControl w:val="0"/>
        <w:ind w:firstLine="420" w:firstLineChars="20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供类外部访问的 “接口成员” 应设为公用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,</w:t>
      </w:r>
    </w:p>
    <w:p w14:paraId="431FDF62">
      <w:pPr>
        <w:widowControl w:val="0"/>
        <w:ind w:firstLine="420" w:firstLineChars="20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类的内部数据（状态）应设为私有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,</w:t>
      </w:r>
    </w:p>
    <w:p w14:paraId="1E6F597F">
      <w:pPr>
        <w:pStyle w:val="3"/>
        <w:ind w:firstLine="420" w:firstLineChars="200"/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短小、频繁调用、与类核心逻辑紧密相关的函数适合在类体内定义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-SA"/>
        </w:rPr>
        <w:t>,</w:t>
      </w:r>
    </w:p>
    <w:p w14:paraId="3AB0FE04">
      <w:pPr>
        <w:widowControl w:val="0"/>
        <w:ind w:firstLine="420" w:firstLineChars="20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代码量大、逻辑复杂、不频繁调用的函数适合在类内声明、类外实现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.</w:t>
      </w:r>
    </w:p>
    <w:p w14:paraId="794AF0CE">
      <w:pPr>
        <w:widowControl w:val="0"/>
        <w:ind w:firstLine="420" w:firstLineChars="20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</w:p>
    <w:p w14:paraId="27D76A71">
      <w:pPr>
        <w:widowControl w:val="0"/>
        <w:ind w:firstLine="420" w:firstLineChars="20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</w:p>
    <w:p w14:paraId="6F4D3B9B">
      <w:pPr>
        <w:widowControl w:val="0"/>
        <w:ind w:firstLine="420" w:firstLineChars="20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</w:p>
    <w:p w14:paraId="324BF956">
      <w:pPr>
        <w:widowControl w:val="0"/>
        <w:ind w:firstLine="420" w:firstLineChars="200"/>
        <w:jc w:val="both"/>
        <w:rPr>
          <w:rFonts w:hint="default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03C8705B">
      <w:pPr>
        <w:widowControl w:val="0"/>
        <w:numPr>
          <w:numId w:val="0"/>
        </w:numPr>
        <w:jc w:val="both"/>
        <w:rPr>
          <w:rFonts w:hint="eastAsia"/>
        </w:rPr>
      </w:pPr>
    </w:p>
    <w:p w14:paraId="5D331D70">
      <w:pPr>
        <w:widowControl w:val="0"/>
        <w:numPr>
          <w:numId w:val="0"/>
        </w:numPr>
        <w:jc w:val="both"/>
        <w:rPr>
          <w:rFonts w:hint="eastAsia"/>
        </w:rPr>
      </w:pPr>
    </w:p>
    <w:p w14:paraId="5E80A91C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2771140"/>
            <wp:effectExtent l="0" t="0" r="10795" b="10160"/>
            <wp:docPr id="4" name="图片 4" descr="屏幕截图 2026-01-07 193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07 1939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2789555"/>
            <wp:effectExtent l="0" t="0" r="10795" b="4445"/>
            <wp:docPr id="3" name="图片 3" descr="屏幕截图 2026-01-07 204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7 204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825750"/>
            <wp:effectExtent l="0" t="0" r="12065" b="6350"/>
            <wp:docPr id="2" name="图片 2" descr="屏幕截图 2026-01-08 202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8 2025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2684780"/>
            <wp:effectExtent l="0" t="0" r="8255" b="7620"/>
            <wp:docPr id="1" name="图片 1" descr="屏幕截图 2026-01-08 204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8 2040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7BF0F"/>
    <w:multiLevelType w:val="singleLevel"/>
    <w:tmpl w:val="7FA7BF0F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DB9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uiPriority w:val="0"/>
    <w:rPr>
      <w:rFonts w:ascii="宋体" w:hAnsi="Courier New" w:cs="Courier New"/>
      <w:szCs w:val="21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865</Words>
  <Characters>1483</Characters>
  <Lines>12</Lines>
  <Paragraphs>3</Paragraphs>
  <TotalTime>1551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不朽的少年</cp:lastModifiedBy>
  <dcterms:modified xsi:type="dcterms:W3CDTF">2026-01-08T12:41:14Z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eyJoZGlkIjoiNWE4MGQ4MTVlYjEzNDc5MTQyMjE4MDcxNTQ3NzhlM2MiLCJ1c2VySWQiOiI4MTk2MjgwNzQifQ==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8BDCC225C5FA452BA533E73780F30984_12</vt:lpwstr>
  </property>
</Properties>
</file>