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余杨</w:t>
      </w:r>
      <w:bookmarkStart w:id="0" w:name="_GoBack"/>
      <w:bookmarkEnd w:id="0"/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2BA9C001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7A3D8E0B">
      <w:pPr>
        <w:pStyle w:val="2"/>
        <w:rPr>
          <w:b/>
          <w:sz w:val="24"/>
          <w:szCs w:val="24"/>
        </w:rPr>
      </w:pPr>
    </w:p>
    <w:p w14:paraId="0ADE314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196811FA">
      <w:pPr>
        <w:pStyle w:val="2"/>
      </w:pPr>
      <w:r>
        <w:t xml:space="preserve">   1、掌握声明类的方法，类和类的成员的概念以及定义对象的方法。</w:t>
      </w:r>
    </w:p>
    <w:p w14:paraId="4BB6CA49">
      <w:pPr>
        <w:pStyle w:val="2"/>
      </w:pPr>
      <w:r>
        <w:t xml:space="preserve">   2、初步掌握用类和对象编制基于对象的程序。</w:t>
      </w:r>
    </w:p>
    <w:p w14:paraId="7A3DCD00">
      <w:pPr>
        <w:pStyle w:val="2"/>
      </w:pPr>
      <w:r>
        <w:t xml:space="preserve">   3、学习检查和调试基于对象的程序。</w:t>
      </w:r>
    </w:p>
    <w:p w14:paraId="7DB0DCC3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7073BE9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0ECC963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5B75195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1EA069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44C5A53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A9B97A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69EB7580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2ED33DC9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6C16D6E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0F93B0D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07D54C90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495BE4D0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687927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1D1CCCD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3FB4DA1E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35D45E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663D7177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52730B6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5D4718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652F80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297850E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649F1F3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547B509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78B2EF3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3D9C14EE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14DDC8F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5607313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6C8FFD8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2F20B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454DD88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F731806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7E32B772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30C3E973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142CF0E6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2F132036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7D6B45C2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13C51EF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7084350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5BEAC2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4599172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6E01A82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3C30911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3EE89F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863E08D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5AA03E4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1FA4420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01CAB69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375B09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04A863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2C57CAE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042CEFF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503EA8A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5BE7BE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0533EF8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0FE742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7FE7F2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BF768CE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7B667F9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2889BB6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42DC5F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674BB493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E6DFB1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13658CD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2515AAD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2604886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213B768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32FFB04A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315D2A49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585940BE">
      <w:pPr>
        <w:ind w:firstLine="420" w:firstLineChars="200"/>
        <w:rPr>
          <w:rFonts w:hint="eastAsia"/>
          <w:lang w:val="en-GB"/>
        </w:rPr>
      </w:pPr>
    </w:p>
    <w:p w14:paraId="7C48851C">
      <w:pPr>
        <w:ind w:firstLine="420" w:firstLineChars="200"/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E45861E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宋体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对外提供的接口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应该指定为公用的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；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应该指定为私有的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；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简单、短小的成员函数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最好在类体内定义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；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较复杂、代码量较多的成员函数，或者在多个源文件中需要使用、不适合内联的函数，最好在类外定义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。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24191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：在实验任务1改写程序时，最初忘记了将原程序中的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cout&lt;&lt;t1.hourl&lt;&lt;...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中的拼写错误（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hourl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）修正，编译时出现“未声明的标识符”错误。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：仔细检查输出语句，发现应为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t1.hour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而不是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t1.hourl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，修改后编译通过。</w:t>
      </w:r>
    </w:p>
    <w:p w14:paraId="7B78FE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：任务4中设计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函数时，开始用对象数组元素直接比较成绩，但需要同时记录学号，逻辑稍乱。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：改用指针遍历对象数组，设置一个临时指针指向当前最高成绩对象，比较后更新，最后输出该指针所指对象的学号与成绩。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1E8D13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构造函数用于对象的初始化，减少后续赋值的冗余代码；成员函数应根据功能合理设计参数和返回值，提高代码复用性。</w:t>
      </w:r>
    </w:p>
    <w:p w14:paraId="04A83C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在处理多个同类对象时，使用对象数组和对象指针可以提高效率，尤其是结合函数参数传递，使程序结构更清晰。</w:t>
      </w:r>
    </w:p>
    <w:p w14:paraId="52C89BC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rPr>
          <w:rFonts w:hint="default" w:eastAsiaTheme="minorEastAsia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3.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将数据成员设为私有，通过公有成员函数访问，可以有效保护数据安全，避免意外修改，也便于维护。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20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2717</Words>
  <Characters>4088</Characters>
  <Lines>34</Lines>
  <Paragraphs>9</Paragraphs>
  <TotalTime>9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没有鱼的羊</cp:lastModifiedBy>
  <dcterms:modified xsi:type="dcterms:W3CDTF">2026-01-07T12:48:14Z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eyJoZGlkIjoiZWE4MjRhNjFmYTkyNzE0ZDcyMjZkZWRkNzIyOTA4NjIiLCJ1c2VySWQiOiIxMzg5MDg0MTg3In0=</vt:lpwstr>
  </property>
  <property fmtid="{D5CDD505-2E9C-101B-9397-08002B2CF9AE}" pid="3" name="KSOProductBuildVer">
    <vt:lpwstr>2052-12.1.0.24034</vt:lpwstr>
  </property>
  <property fmtid="{D5CDD505-2E9C-101B-9397-08002B2CF9AE}" pid="4" name="ICV">
    <vt:lpwstr>53148E37BE404FB295C8B3066DA4F5C6_13</vt:lpwstr>
  </property>
</Properties>
</file>