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6885331"/>
        <w:docPartObj>
          <w:docPartGallery w:val="Cover Pages"/>
          <w:docPartUnique/>
        </w:docPartObj>
      </w:sdtPr>
      <w:sdtEndPr>
        <w:rPr>
          <w:color w:val="FFFFFF" w:themeColor="background1"/>
        </w:rPr>
      </w:sdtEndPr>
      <w:sdtContent>
        <w:p w14:paraId="1FC500C6" w14:textId="482DCED4" w:rsidR="00057F9C" w:rsidRDefault="00057F9C">
          <w:r>
            <w:rPr>
              <w:noProof/>
            </w:rPr>
            <mc:AlternateContent>
              <mc:Choice Requires="wps">
                <w:drawing>
                  <wp:anchor distT="0" distB="0" distL="114300" distR="114300" simplePos="0" relativeHeight="251659264" behindDoc="1" locked="0" layoutInCell="1" allowOverlap="0" wp14:anchorId="63BB7F2C" wp14:editId="2B0AB39F">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57F9C" w14:paraId="58251DFB" w14:textId="77777777">
                                  <w:trPr>
                                    <w:trHeight w:hRule="exact" w:val="9360"/>
                                  </w:trPr>
                                  <w:tc>
                                    <w:tcPr>
                                      <w:tcW w:w="5000" w:type="pct"/>
                                    </w:tcPr>
                                    <w:p w14:paraId="4EC0DE83" w14:textId="77777777" w:rsidR="00057F9C" w:rsidRDefault="00057F9C">
                                      <w:r>
                                        <w:rPr>
                                          <w:noProof/>
                                        </w:rPr>
                                        <w:drawing>
                                          <wp:inline distT="0" distB="0" distL="0" distR="0" wp14:anchorId="0EE8D5A8" wp14:editId="1E9B07C7">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rcRect l="17747" r="17747"/>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057F9C" w14:paraId="2EF8696C" w14:textId="77777777">
                                  <w:trPr>
                                    <w:trHeight w:hRule="exact" w:val="4320"/>
                                  </w:trPr>
                                  <w:tc>
                                    <w:tcPr>
                                      <w:tcW w:w="5000" w:type="pct"/>
                                      <w:shd w:val="clear" w:color="auto" w:fill="4472C4" w:themeFill="accent1"/>
                                      <w:vAlign w:val="center"/>
                                    </w:tcPr>
                                    <w:p w14:paraId="22FC1095" w14:textId="4AC9F4AD" w:rsidR="00057F9C" w:rsidRPr="00057F9C" w:rsidRDefault="00EB2C8A">
                                      <w:pPr>
                                        <w:pStyle w:val="NoSpacing"/>
                                        <w:spacing w:before="200" w:line="216" w:lineRule="auto"/>
                                        <w:ind w:left="720" w:right="720"/>
                                        <w:rPr>
                                          <w:rFonts w:ascii="Times New Roman" w:hAnsi="Times New Roman" w:cs="Times New Roman"/>
                                          <w:color w:val="FFFFFF" w:themeColor="background1"/>
                                          <w:sz w:val="144"/>
                                          <w:szCs w:val="144"/>
                                        </w:rPr>
                                      </w:pPr>
                                      <w:sdt>
                                        <w:sdtPr>
                                          <w:rPr>
                                            <w:rFonts w:ascii="Times New Roman" w:eastAsiaTheme="majorEastAsia" w:hAnsi="Times New Roman" w:cs="Times New Roman"/>
                                            <w:b/>
                                            <w:color w:val="FFFFFF" w:themeColor="background1"/>
                                            <w:spacing w:val="-10"/>
                                            <w:kern w:val="28"/>
                                            <w:sz w:val="72"/>
                                            <w:szCs w:val="72"/>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057F9C" w:rsidRPr="00057F9C">
                                            <w:rPr>
                                              <w:rFonts w:ascii="Times New Roman" w:eastAsiaTheme="majorEastAsia" w:hAnsi="Times New Roman" w:cs="Times New Roman"/>
                                              <w:b/>
                                              <w:color w:val="FFFFFF" w:themeColor="background1"/>
                                              <w:spacing w:val="-10"/>
                                              <w:kern w:val="28"/>
                                              <w:sz w:val="72"/>
                                              <w:szCs w:val="72"/>
                                            </w:rPr>
                                            <w:t>Healthcare Patient Analytics</w:t>
                                          </w:r>
                                        </w:sdtContent>
                                      </w:sdt>
                                    </w:p>
                                    <w:p w14:paraId="122DCEF3" w14:textId="77777777" w:rsidR="00D61F33" w:rsidRDefault="00D61F33" w:rsidP="00D61F33">
                                      <w:pPr>
                                        <w:pStyle w:val="NoSpacing"/>
                                        <w:spacing w:before="200" w:line="216" w:lineRule="auto"/>
                                        <w:ind w:left="720" w:right="720"/>
                                        <w:rPr>
                                          <w:color w:val="FFFFFF" w:themeColor="background1"/>
                                          <w:sz w:val="32"/>
                                          <w:szCs w:val="32"/>
                                          <w:lang w:val="en-IN"/>
                                        </w:rPr>
                                      </w:pPr>
                                      <w:r w:rsidRPr="00D61F33">
                                        <w:rPr>
                                          <w:color w:val="FFFFFF" w:themeColor="background1"/>
                                          <w:sz w:val="32"/>
                                          <w:szCs w:val="32"/>
                                          <w:lang w:val="en-IN"/>
                                        </w:rPr>
                                        <w:t>End-to-End Data Analytics Project Report</w:t>
                                      </w:r>
                                    </w:p>
                                    <w:p w14:paraId="760A64D5" w14:textId="4187C23B" w:rsidR="00D61F33" w:rsidRPr="00105F79" w:rsidRDefault="009714A8" w:rsidP="009714A8">
                                      <w:pPr>
                                        <w:pStyle w:val="NoSpacing"/>
                                        <w:spacing w:before="200" w:line="216" w:lineRule="auto"/>
                                        <w:ind w:left="720" w:right="720"/>
                                        <w:rPr>
                                          <w:color w:val="FFFFFF" w:themeColor="background1"/>
                                          <w:sz w:val="32"/>
                                          <w:szCs w:val="32"/>
                                          <w:lang w:val="en-IN"/>
                                        </w:rPr>
                                      </w:pPr>
                                      <w:r w:rsidRPr="00105F79">
                                        <w:rPr>
                                          <w:color w:val="FFFFFF" w:themeColor="background1"/>
                                          <w:sz w:val="32"/>
                                          <w:szCs w:val="32"/>
                                          <w:lang w:val="en-IN"/>
                                        </w:rPr>
                                        <w:t xml:space="preserve">AICTE | IBM </w:t>
                                      </w:r>
                                      <w:r w:rsidR="000A198F" w:rsidRPr="00105F79">
                                        <w:rPr>
                                          <w:color w:val="FFFFFF" w:themeColor="background1"/>
                                          <w:sz w:val="32"/>
                                          <w:szCs w:val="32"/>
                                          <w:lang w:val="en-IN"/>
                                        </w:rPr>
                                        <w:t>Skills Build</w:t>
                                      </w:r>
                                      <w:r w:rsidRPr="00105F79">
                                        <w:rPr>
                                          <w:color w:val="FFFFFF" w:themeColor="background1"/>
                                          <w:sz w:val="32"/>
                                          <w:szCs w:val="32"/>
                                          <w:lang w:val="en-IN"/>
                                        </w:rPr>
                                        <w:t xml:space="preserve"> Data Analytics with AI Internship Program 2026</w:t>
                                      </w:r>
                                    </w:p>
                                    <w:p w14:paraId="3B14FB45" w14:textId="024E555F" w:rsidR="00057F9C" w:rsidRPr="00D61F33" w:rsidRDefault="00057F9C">
                                      <w:pPr>
                                        <w:pStyle w:val="NoSpacing"/>
                                        <w:spacing w:before="240"/>
                                        <w:ind w:left="720" w:right="720"/>
                                        <w:rPr>
                                          <w:color w:val="FFFFFF" w:themeColor="background1"/>
                                          <w:sz w:val="32"/>
                                          <w:szCs w:val="32"/>
                                          <w:lang w:val="en-IN"/>
                                        </w:rPr>
                                      </w:pPr>
                                    </w:p>
                                  </w:tc>
                                </w:tr>
                                <w:tr w:rsidR="00057F9C" w14:paraId="52D43984"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57F9C" w14:paraId="627BCAF7" w14:textId="77777777" w:rsidTr="00797CC2">
                                        <w:trPr>
                                          <w:trHeight w:hRule="exact" w:val="720"/>
                                        </w:trPr>
                                        <w:tc>
                                          <w:tcPr>
                                            <w:tcW w:w="3590" w:type="dxa"/>
                                            <w:shd w:val="clear" w:color="auto" w:fill="9CC2E5" w:themeFill="accent5" w:themeFillTint="99"/>
                                            <w:vAlign w:val="center"/>
                                          </w:tcPr>
                                          <w:p w14:paraId="0AF12888" w14:textId="2358E100" w:rsidR="00057F9C" w:rsidRPr="00105F79" w:rsidRDefault="00105F79">
                                            <w:pPr>
                                              <w:pStyle w:val="NoSpacing"/>
                                              <w:ind w:left="144" w:right="144"/>
                                              <w:jc w:val="center"/>
                                              <w:rPr>
                                                <w:b/>
                                                <w:bCs/>
                                                <w:color w:val="FFFFFF" w:themeColor="background1"/>
                                              </w:rPr>
                                            </w:pPr>
                                            <w:r w:rsidRPr="00105F79">
                                              <w:rPr>
                                                <w:b/>
                                                <w:bCs/>
                                                <w:color w:val="000000" w:themeColor="text1"/>
                                              </w:rPr>
                                              <w:t>Date: 22 September 2026</w:t>
                                            </w:r>
                                          </w:p>
                                        </w:tc>
                                        <w:tc>
                                          <w:tcPr>
                                            <w:tcW w:w="3591" w:type="dxa"/>
                                            <w:shd w:val="clear" w:color="auto" w:fill="9CC2E5" w:themeFill="accent5" w:themeFillTint="99"/>
                                            <w:vAlign w:val="center"/>
                                          </w:tcPr>
                                          <w:p w14:paraId="60ACAA25" w14:textId="368BA5F1" w:rsidR="00057F9C" w:rsidRDefault="00057F9C" w:rsidP="00857DE1">
                                            <w:pPr>
                                              <w:pStyle w:val="NoSpacing"/>
                                              <w:ind w:right="144"/>
                                              <w:rPr>
                                                <w:color w:val="FFFFFF" w:themeColor="background1"/>
                                              </w:rPr>
                                            </w:pPr>
                                          </w:p>
                                        </w:tc>
                                        <w:sdt>
                                          <w:sdtPr>
                                            <w:rPr>
                                              <w:rFonts w:ascii="Times New Roman" w:hAnsi="Times New Roman" w:cs="Times New Roman"/>
                                              <w:b/>
                                              <w:bCs/>
                                              <w:color w:val="000000" w:themeColor="text1"/>
                                              <w:sz w:val="24"/>
                                              <w:szCs w:val="24"/>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shd w:val="clear" w:color="auto" w:fill="9CC2E5" w:themeFill="accent5" w:themeFillTint="99"/>
                                                <w:vAlign w:val="center"/>
                                              </w:tcPr>
                                              <w:p w14:paraId="5B0824E2" w14:textId="5AF63759" w:rsidR="00057F9C" w:rsidRPr="00797CC2" w:rsidRDefault="00B265C6">
                                                <w:pPr>
                                                  <w:pStyle w:val="NoSpacing"/>
                                                  <w:ind w:left="144" w:right="720"/>
                                                  <w:jc w:val="right"/>
                                                  <w:rPr>
                                                    <w:b/>
                                                    <w:bCs/>
                                                    <w:color w:val="000000" w:themeColor="text1"/>
                                                    <w:sz w:val="28"/>
                                                    <w:szCs w:val="28"/>
                                                  </w:rPr>
                                                </w:pPr>
                                                <w:r w:rsidRPr="00797CC2">
                                                  <w:rPr>
                                                    <w:rFonts w:ascii="Times New Roman" w:hAnsi="Times New Roman" w:cs="Times New Roman"/>
                                                    <w:b/>
                                                    <w:bCs/>
                                                    <w:color w:val="000000" w:themeColor="text1"/>
                                                    <w:sz w:val="24"/>
                                                    <w:szCs w:val="24"/>
                                                  </w:rPr>
                                                  <w:t>Akansha Chowdhury</w:t>
                                                </w:r>
                                              </w:p>
                                            </w:tc>
                                          </w:sdtContent>
                                        </w:sdt>
                                      </w:tr>
                                    </w:tbl>
                                    <w:p w14:paraId="42264FE7" w14:textId="77777777" w:rsidR="00057F9C" w:rsidRDefault="00057F9C"/>
                                  </w:tc>
                                </w:tr>
                              </w:tbl>
                              <w:p w14:paraId="32AF6CAC" w14:textId="77777777" w:rsidR="00057F9C" w:rsidRDefault="00057F9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3BB7F2C"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57F9C" w14:paraId="58251DFB" w14:textId="77777777">
                            <w:trPr>
                              <w:trHeight w:hRule="exact" w:val="9360"/>
                            </w:trPr>
                            <w:tc>
                              <w:tcPr>
                                <w:tcW w:w="5000" w:type="pct"/>
                              </w:tcPr>
                              <w:p w14:paraId="4EC0DE83" w14:textId="77777777" w:rsidR="00057F9C" w:rsidRDefault="00057F9C">
                                <w:r>
                                  <w:rPr>
                                    <w:noProof/>
                                  </w:rPr>
                                  <w:drawing>
                                    <wp:inline distT="0" distB="0" distL="0" distR="0" wp14:anchorId="0EE8D5A8" wp14:editId="1E9B07C7">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rcRect l="17747" r="17747"/>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057F9C" w14:paraId="2EF8696C" w14:textId="77777777">
                            <w:trPr>
                              <w:trHeight w:hRule="exact" w:val="4320"/>
                            </w:trPr>
                            <w:tc>
                              <w:tcPr>
                                <w:tcW w:w="5000" w:type="pct"/>
                                <w:shd w:val="clear" w:color="auto" w:fill="4472C4" w:themeFill="accent1"/>
                                <w:vAlign w:val="center"/>
                              </w:tcPr>
                              <w:p w14:paraId="22FC1095" w14:textId="4AC9F4AD" w:rsidR="00057F9C" w:rsidRPr="00057F9C" w:rsidRDefault="00EB2C8A">
                                <w:pPr>
                                  <w:pStyle w:val="NoSpacing"/>
                                  <w:spacing w:before="200" w:line="216" w:lineRule="auto"/>
                                  <w:ind w:left="720" w:right="720"/>
                                  <w:rPr>
                                    <w:rFonts w:ascii="Times New Roman" w:hAnsi="Times New Roman" w:cs="Times New Roman"/>
                                    <w:color w:val="FFFFFF" w:themeColor="background1"/>
                                    <w:sz w:val="144"/>
                                    <w:szCs w:val="144"/>
                                  </w:rPr>
                                </w:pPr>
                                <w:sdt>
                                  <w:sdtPr>
                                    <w:rPr>
                                      <w:rFonts w:ascii="Times New Roman" w:eastAsiaTheme="majorEastAsia" w:hAnsi="Times New Roman" w:cs="Times New Roman"/>
                                      <w:b/>
                                      <w:color w:val="FFFFFF" w:themeColor="background1"/>
                                      <w:spacing w:val="-10"/>
                                      <w:kern w:val="28"/>
                                      <w:sz w:val="72"/>
                                      <w:szCs w:val="72"/>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057F9C" w:rsidRPr="00057F9C">
                                      <w:rPr>
                                        <w:rFonts w:ascii="Times New Roman" w:eastAsiaTheme="majorEastAsia" w:hAnsi="Times New Roman" w:cs="Times New Roman"/>
                                        <w:b/>
                                        <w:color w:val="FFFFFF" w:themeColor="background1"/>
                                        <w:spacing w:val="-10"/>
                                        <w:kern w:val="28"/>
                                        <w:sz w:val="72"/>
                                        <w:szCs w:val="72"/>
                                      </w:rPr>
                                      <w:t>Healthcare Patient Analytics</w:t>
                                    </w:r>
                                  </w:sdtContent>
                                </w:sdt>
                              </w:p>
                              <w:p w14:paraId="122DCEF3" w14:textId="77777777" w:rsidR="00D61F33" w:rsidRDefault="00D61F33" w:rsidP="00D61F33">
                                <w:pPr>
                                  <w:pStyle w:val="NoSpacing"/>
                                  <w:spacing w:before="200" w:line="216" w:lineRule="auto"/>
                                  <w:ind w:left="720" w:right="720"/>
                                  <w:rPr>
                                    <w:color w:val="FFFFFF" w:themeColor="background1"/>
                                    <w:sz w:val="32"/>
                                    <w:szCs w:val="32"/>
                                    <w:lang w:val="en-IN"/>
                                  </w:rPr>
                                </w:pPr>
                                <w:r w:rsidRPr="00D61F33">
                                  <w:rPr>
                                    <w:color w:val="FFFFFF" w:themeColor="background1"/>
                                    <w:sz w:val="32"/>
                                    <w:szCs w:val="32"/>
                                    <w:lang w:val="en-IN"/>
                                  </w:rPr>
                                  <w:t>End-to-End Data Analytics Project Report</w:t>
                                </w:r>
                              </w:p>
                              <w:p w14:paraId="760A64D5" w14:textId="4187C23B" w:rsidR="00D61F33" w:rsidRPr="00105F79" w:rsidRDefault="009714A8" w:rsidP="009714A8">
                                <w:pPr>
                                  <w:pStyle w:val="NoSpacing"/>
                                  <w:spacing w:before="200" w:line="216" w:lineRule="auto"/>
                                  <w:ind w:left="720" w:right="720"/>
                                  <w:rPr>
                                    <w:color w:val="FFFFFF" w:themeColor="background1"/>
                                    <w:sz w:val="32"/>
                                    <w:szCs w:val="32"/>
                                    <w:lang w:val="en-IN"/>
                                  </w:rPr>
                                </w:pPr>
                                <w:r w:rsidRPr="00105F79">
                                  <w:rPr>
                                    <w:color w:val="FFFFFF" w:themeColor="background1"/>
                                    <w:sz w:val="32"/>
                                    <w:szCs w:val="32"/>
                                    <w:lang w:val="en-IN"/>
                                  </w:rPr>
                                  <w:t xml:space="preserve">AICTE | IBM </w:t>
                                </w:r>
                                <w:r w:rsidR="000A198F" w:rsidRPr="00105F79">
                                  <w:rPr>
                                    <w:color w:val="FFFFFF" w:themeColor="background1"/>
                                    <w:sz w:val="32"/>
                                    <w:szCs w:val="32"/>
                                    <w:lang w:val="en-IN"/>
                                  </w:rPr>
                                  <w:t>Skills Build</w:t>
                                </w:r>
                                <w:r w:rsidRPr="00105F79">
                                  <w:rPr>
                                    <w:color w:val="FFFFFF" w:themeColor="background1"/>
                                    <w:sz w:val="32"/>
                                    <w:szCs w:val="32"/>
                                    <w:lang w:val="en-IN"/>
                                  </w:rPr>
                                  <w:t xml:space="preserve"> Data Analytics with AI Internship Program 2026</w:t>
                                </w:r>
                              </w:p>
                              <w:p w14:paraId="3B14FB45" w14:textId="024E555F" w:rsidR="00057F9C" w:rsidRPr="00D61F33" w:rsidRDefault="00057F9C">
                                <w:pPr>
                                  <w:pStyle w:val="NoSpacing"/>
                                  <w:spacing w:before="240"/>
                                  <w:ind w:left="720" w:right="720"/>
                                  <w:rPr>
                                    <w:color w:val="FFFFFF" w:themeColor="background1"/>
                                    <w:sz w:val="32"/>
                                    <w:szCs w:val="32"/>
                                    <w:lang w:val="en-IN"/>
                                  </w:rPr>
                                </w:pPr>
                              </w:p>
                            </w:tc>
                          </w:tr>
                          <w:tr w:rsidR="00057F9C" w14:paraId="52D43984"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57F9C" w14:paraId="627BCAF7" w14:textId="77777777" w:rsidTr="00797CC2">
                                  <w:trPr>
                                    <w:trHeight w:hRule="exact" w:val="720"/>
                                  </w:trPr>
                                  <w:tc>
                                    <w:tcPr>
                                      <w:tcW w:w="3590" w:type="dxa"/>
                                      <w:shd w:val="clear" w:color="auto" w:fill="9CC2E5" w:themeFill="accent5" w:themeFillTint="99"/>
                                      <w:vAlign w:val="center"/>
                                    </w:tcPr>
                                    <w:p w14:paraId="0AF12888" w14:textId="2358E100" w:rsidR="00057F9C" w:rsidRPr="00105F79" w:rsidRDefault="00105F79">
                                      <w:pPr>
                                        <w:pStyle w:val="NoSpacing"/>
                                        <w:ind w:left="144" w:right="144"/>
                                        <w:jc w:val="center"/>
                                        <w:rPr>
                                          <w:b/>
                                          <w:bCs/>
                                          <w:color w:val="FFFFFF" w:themeColor="background1"/>
                                        </w:rPr>
                                      </w:pPr>
                                      <w:r w:rsidRPr="00105F79">
                                        <w:rPr>
                                          <w:b/>
                                          <w:bCs/>
                                          <w:color w:val="000000" w:themeColor="text1"/>
                                        </w:rPr>
                                        <w:t>Date: 22 September 2026</w:t>
                                      </w:r>
                                    </w:p>
                                  </w:tc>
                                  <w:tc>
                                    <w:tcPr>
                                      <w:tcW w:w="3591" w:type="dxa"/>
                                      <w:shd w:val="clear" w:color="auto" w:fill="9CC2E5" w:themeFill="accent5" w:themeFillTint="99"/>
                                      <w:vAlign w:val="center"/>
                                    </w:tcPr>
                                    <w:p w14:paraId="60ACAA25" w14:textId="368BA5F1" w:rsidR="00057F9C" w:rsidRDefault="00057F9C" w:rsidP="00857DE1">
                                      <w:pPr>
                                        <w:pStyle w:val="NoSpacing"/>
                                        <w:ind w:right="144"/>
                                        <w:rPr>
                                          <w:color w:val="FFFFFF" w:themeColor="background1"/>
                                        </w:rPr>
                                      </w:pPr>
                                    </w:p>
                                  </w:tc>
                                  <w:sdt>
                                    <w:sdtPr>
                                      <w:rPr>
                                        <w:rFonts w:ascii="Times New Roman" w:hAnsi="Times New Roman" w:cs="Times New Roman"/>
                                        <w:b/>
                                        <w:bCs/>
                                        <w:color w:val="000000" w:themeColor="text1"/>
                                        <w:sz w:val="24"/>
                                        <w:szCs w:val="24"/>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shd w:val="clear" w:color="auto" w:fill="9CC2E5" w:themeFill="accent5" w:themeFillTint="99"/>
                                          <w:vAlign w:val="center"/>
                                        </w:tcPr>
                                        <w:p w14:paraId="5B0824E2" w14:textId="5AF63759" w:rsidR="00057F9C" w:rsidRPr="00797CC2" w:rsidRDefault="00B265C6">
                                          <w:pPr>
                                            <w:pStyle w:val="NoSpacing"/>
                                            <w:ind w:left="144" w:right="720"/>
                                            <w:jc w:val="right"/>
                                            <w:rPr>
                                              <w:b/>
                                              <w:bCs/>
                                              <w:color w:val="000000" w:themeColor="text1"/>
                                              <w:sz w:val="28"/>
                                              <w:szCs w:val="28"/>
                                            </w:rPr>
                                          </w:pPr>
                                          <w:r w:rsidRPr="00797CC2">
                                            <w:rPr>
                                              <w:rFonts w:ascii="Times New Roman" w:hAnsi="Times New Roman" w:cs="Times New Roman"/>
                                              <w:b/>
                                              <w:bCs/>
                                              <w:color w:val="000000" w:themeColor="text1"/>
                                              <w:sz w:val="24"/>
                                              <w:szCs w:val="24"/>
                                            </w:rPr>
                                            <w:t>Akansha Chowdhury</w:t>
                                          </w:r>
                                        </w:p>
                                      </w:tc>
                                    </w:sdtContent>
                                  </w:sdt>
                                </w:tr>
                              </w:tbl>
                              <w:p w14:paraId="42264FE7" w14:textId="77777777" w:rsidR="00057F9C" w:rsidRDefault="00057F9C"/>
                            </w:tc>
                          </w:tr>
                        </w:tbl>
                        <w:p w14:paraId="32AF6CAC" w14:textId="77777777" w:rsidR="00057F9C" w:rsidRDefault="00057F9C"/>
                      </w:txbxContent>
                    </v:textbox>
                    <w10:wrap anchorx="page" anchory="page"/>
                  </v:shape>
                </w:pict>
              </mc:Fallback>
            </mc:AlternateContent>
          </w:r>
        </w:p>
        <w:p w14:paraId="69CF3F6B" w14:textId="496BD095" w:rsidR="00057F9C" w:rsidRDefault="00057F9C">
          <w:pPr>
            <w:spacing w:line="240" w:lineRule="auto"/>
            <w:rPr>
              <w:color w:val="FFFFFF" w:themeColor="background1"/>
            </w:rPr>
          </w:pPr>
          <w:r>
            <w:rPr>
              <w:color w:val="FFFFFF" w:themeColor="background1"/>
            </w:rPr>
            <w:br w:type="page"/>
          </w:r>
        </w:p>
      </w:sdtContent>
    </w:sdt>
    <w:p w14:paraId="330CC97B" w14:textId="64E61562" w:rsidR="00446DA0" w:rsidRPr="00DB7A81" w:rsidRDefault="00EB2C8A">
      <w:pPr>
        <w:pStyle w:val="Title"/>
        <w:spacing w:after="120"/>
        <w:jc w:val="center"/>
        <w:rPr>
          <w:color w:val="1F4E79" w:themeColor="accent5" w:themeShade="80"/>
          <w:sz w:val="60"/>
          <w:szCs w:val="60"/>
        </w:rPr>
      </w:pPr>
      <w:r w:rsidRPr="00DB7A81">
        <w:rPr>
          <w:b/>
          <w:color w:val="1F4E79" w:themeColor="accent5" w:themeShade="80"/>
          <w:sz w:val="60"/>
          <w:szCs w:val="60"/>
        </w:rPr>
        <w:lastRenderedPageBreak/>
        <w:t>Healthcare Patient Analytics</w:t>
      </w:r>
    </w:p>
    <w:p w14:paraId="15E5A128" w14:textId="77777777" w:rsidR="00936335" w:rsidRPr="00DB7A81" w:rsidRDefault="00936335">
      <w:pPr>
        <w:spacing w:after="80"/>
        <w:jc w:val="center"/>
        <w:rPr>
          <w:b/>
          <w:bCs/>
          <w:sz w:val="24"/>
          <w:szCs w:val="20"/>
        </w:rPr>
      </w:pPr>
      <w:r w:rsidRPr="00DB7A81">
        <w:rPr>
          <w:b/>
          <w:bCs/>
          <w:sz w:val="24"/>
          <w:szCs w:val="20"/>
        </w:rPr>
        <w:t>End-to-End Clinical Data Intelligence &amp; Business Analytics Project Report</w:t>
      </w:r>
    </w:p>
    <w:p w14:paraId="14D0F40C" w14:textId="2564342E" w:rsidR="00446DA0" w:rsidRPr="006F262D" w:rsidRDefault="00EB2C8A" w:rsidP="006F262D">
      <w:pPr>
        <w:spacing w:after="80"/>
        <w:jc w:val="center"/>
        <w:rPr>
          <w:b/>
          <w:bCs/>
          <w:sz w:val="24"/>
          <w:szCs w:val="24"/>
        </w:rPr>
      </w:pPr>
      <w:r w:rsidRPr="006F262D">
        <w:rPr>
          <w:b/>
          <w:bCs/>
          <w:sz w:val="24"/>
          <w:szCs w:val="24"/>
        </w:rPr>
        <w:t>Author: Akansha Chowdhury</w:t>
      </w:r>
    </w:p>
    <w:p w14:paraId="100F9AF9" w14:textId="77777777" w:rsidR="00DB7A81" w:rsidRDefault="00DB7A81" w:rsidP="00936335"/>
    <w:p w14:paraId="740DBFB6" w14:textId="41B908AA" w:rsidR="001C6329" w:rsidRPr="006F262D" w:rsidRDefault="001C6329" w:rsidP="00104B02">
      <w:pPr>
        <w:jc w:val="both"/>
        <w:rPr>
          <w:rFonts w:asciiTheme="minorHAnsi" w:hAnsiTheme="minorHAnsi" w:cstheme="minorHAnsi"/>
          <w:b/>
          <w:bCs/>
          <w:color w:val="2F5496" w:themeColor="accent1" w:themeShade="BF"/>
          <w:sz w:val="36"/>
          <w:szCs w:val="36"/>
        </w:rPr>
      </w:pPr>
      <w:r w:rsidRPr="006F262D">
        <w:rPr>
          <w:rFonts w:asciiTheme="minorHAnsi" w:hAnsiTheme="minorHAnsi" w:cstheme="minorHAnsi"/>
          <w:b/>
          <w:bCs/>
          <w:color w:val="2F5496" w:themeColor="accent1" w:themeShade="BF"/>
          <w:sz w:val="36"/>
          <w:szCs w:val="36"/>
        </w:rPr>
        <w:t>Dataset Attribution &amp; Repository Metadata</w:t>
      </w:r>
    </w:p>
    <w:p w14:paraId="22CBC6EE" w14:textId="77777777" w:rsidR="00617FBF" w:rsidRPr="00DB7A81" w:rsidRDefault="00617FBF" w:rsidP="00104B02">
      <w:pPr>
        <w:jc w:val="both"/>
        <w:rPr>
          <w:rFonts w:asciiTheme="minorHAnsi" w:hAnsiTheme="minorHAnsi" w:cstheme="minorHAnsi"/>
          <w:b/>
          <w:bCs/>
          <w:sz w:val="12"/>
          <w:szCs w:val="12"/>
        </w:rPr>
      </w:pPr>
    </w:p>
    <w:p w14:paraId="4E80A25A" w14:textId="77777777"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Dataset Title:</w:t>
      </w:r>
      <w:r w:rsidRPr="00617FBF">
        <w:rPr>
          <w:rFonts w:asciiTheme="minorHAnsi" w:hAnsiTheme="minorHAnsi" w:cstheme="minorHAnsi"/>
        </w:rPr>
        <w:t xml:space="preserve"> Healthcare Patient Analytics Dataset </w:t>
      </w:r>
    </w:p>
    <w:p w14:paraId="37E12CA4" w14:textId="77777777"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Source Repository:</w:t>
      </w:r>
      <w:r w:rsidRPr="00617FBF">
        <w:rPr>
          <w:rFonts w:asciiTheme="minorHAnsi" w:hAnsiTheme="minorHAnsi" w:cstheme="minorHAnsi"/>
        </w:rPr>
        <w:t xml:space="preserve"> Kaggle (abbas829/healthcare-patient-analytics-dataset)</w:t>
      </w:r>
    </w:p>
    <w:p w14:paraId="547A502A" w14:textId="77777777"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Author / Contributor:</w:t>
      </w:r>
      <w:r w:rsidRPr="00617FBF">
        <w:rPr>
          <w:rFonts w:asciiTheme="minorHAnsi" w:hAnsiTheme="minorHAnsi" w:cstheme="minorHAnsi"/>
        </w:rPr>
        <w:t xml:space="preserve"> </w:t>
      </w:r>
      <w:proofErr w:type="spellStart"/>
      <w:r w:rsidRPr="00617FBF">
        <w:rPr>
          <w:rFonts w:asciiTheme="minorHAnsi" w:hAnsiTheme="minorHAnsi" w:cstheme="minorHAnsi"/>
        </w:rPr>
        <w:t>Tassawar</w:t>
      </w:r>
      <w:proofErr w:type="spellEnd"/>
      <w:r w:rsidRPr="00617FBF">
        <w:rPr>
          <w:rFonts w:asciiTheme="minorHAnsi" w:hAnsiTheme="minorHAnsi" w:cstheme="minorHAnsi"/>
        </w:rPr>
        <w:t xml:space="preserve"> Abbas (abbas829)</w:t>
      </w:r>
    </w:p>
    <w:p w14:paraId="11833D3B" w14:textId="6F3CFA55" w:rsidR="00617FBF"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Direct Access URL:</w:t>
      </w:r>
      <w:r w:rsidRPr="00617FBF">
        <w:rPr>
          <w:rFonts w:asciiTheme="minorHAnsi" w:hAnsiTheme="minorHAnsi" w:cstheme="minorHAnsi"/>
        </w:rPr>
        <w:t xml:space="preserve"> </w:t>
      </w:r>
      <w:hyperlink r:id="rId8" w:history="1">
        <w:r w:rsidR="00617FBF" w:rsidRPr="00617FBF">
          <w:rPr>
            <w:rStyle w:val="Hyperlink"/>
            <w:rFonts w:asciiTheme="minorHAnsi" w:hAnsiTheme="minorHAnsi" w:cstheme="minorHAnsi"/>
          </w:rPr>
          <w:t>https://www.kaggle.com/datasets/abbas829/healthcare-patient-analytics-dataset</w:t>
        </w:r>
      </w:hyperlink>
    </w:p>
    <w:p w14:paraId="1CE8EBBC" w14:textId="1847B1F8"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Total Records:</w:t>
      </w:r>
      <w:r w:rsidRPr="00617FBF">
        <w:rPr>
          <w:rFonts w:asciiTheme="minorHAnsi" w:hAnsiTheme="minorHAnsi" w:cstheme="minorHAnsi"/>
        </w:rPr>
        <w:t xml:space="preserve"> 5,000 Patient </w:t>
      </w:r>
      <w:proofErr w:type="spellStart"/>
      <w:r w:rsidRPr="00617FBF">
        <w:rPr>
          <w:rFonts w:asciiTheme="minorHAnsi" w:hAnsiTheme="minorHAnsi" w:cstheme="minorHAnsi"/>
        </w:rPr>
        <w:t>Enounter</w:t>
      </w:r>
      <w:proofErr w:type="spellEnd"/>
      <w:r w:rsidRPr="00617FBF">
        <w:rPr>
          <w:rFonts w:asciiTheme="minorHAnsi" w:hAnsiTheme="minorHAnsi" w:cstheme="minorHAnsi"/>
        </w:rPr>
        <w:t xml:space="preserve"> Rows (</w:t>
      </w:r>
      <m:oMath>
        <m:r>
          <w:rPr>
            <w:rFonts w:ascii="Cambria Math" w:hAnsi="Cambria Math" w:cstheme="minorHAnsi"/>
          </w:rPr>
          <m:t>N=5,000</m:t>
        </m:r>
      </m:oMath>
      <w:r w:rsidRPr="00617FBF">
        <w:rPr>
          <w:rFonts w:asciiTheme="minorHAnsi" w:hAnsiTheme="minorHAnsi" w:cstheme="minorHAnsi"/>
        </w:rPr>
        <w:t xml:space="preserve">) </w:t>
      </w:r>
    </w:p>
    <w:p w14:paraId="2EA84E5C" w14:textId="77777777"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Dimensionality:</w:t>
      </w:r>
      <w:r w:rsidRPr="00617FBF">
        <w:rPr>
          <w:rFonts w:asciiTheme="minorHAnsi" w:hAnsiTheme="minorHAnsi" w:cstheme="minorHAnsi"/>
        </w:rPr>
        <w:t xml:space="preserve"> 12 Structured Clinical &amp; Administrative Attributes </w:t>
      </w:r>
    </w:p>
    <w:p w14:paraId="09D2E8B5" w14:textId="77777777"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Observation Window:</w:t>
      </w:r>
      <w:r w:rsidRPr="00617FBF">
        <w:rPr>
          <w:rFonts w:asciiTheme="minorHAnsi" w:hAnsiTheme="minorHAnsi" w:cstheme="minorHAnsi"/>
        </w:rPr>
        <w:t xml:space="preserve"> Admissions recorded from December 31, </w:t>
      </w:r>
      <w:proofErr w:type="gramStart"/>
      <w:r w:rsidRPr="00617FBF">
        <w:rPr>
          <w:rFonts w:asciiTheme="minorHAnsi" w:hAnsiTheme="minorHAnsi" w:cstheme="minorHAnsi"/>
        </w:rPr>
        <w:t>2021</w:t>
      </w:r>
      <w:proofErr w:type="gramEnd"/>
      <w:r w:rsidRPr="00617FBF">
        <w:rPr>
          <w:rFonts w:asciiTheme="minorHAnsi" w:hAnsiTheme="minorHAnsi" w:cstheme="minorHAnsi"/>
        </w:rPr>
        <w:t xml:space="preserve"> through July 28, 2022 </w:t>
      </w:r>
    </w:p>
    <w:p w14:paraId="7B360D97" w14:textId="77777777"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Licensing &amp; Usage:</w:t>
      </w:r>
      <w:r w:rsidRPr="00617FBF">
        <w:rPr>
          <w:rFonts w:asciiTheme="minorHAnsi" w:hAnsiTheme="minorHAnsi" w:cstheme="minorHAnsi"/>
        </w:rPr>
        <w:t xml:space="preserve"> Public Domain / Open Access for Educational and Research Data Analytics</w:t>
      </w:r>
    </w:p>
    <w:p w14:paraId="63B44FA4" w14:textId="77777777" w:rsidR="001C6329" w:rsidRPr="00617FBF" w:rsidRDefault="001C6329" w:rsidP="00104B02">
      <w:pPr>
        <w:spacing w:line="276" w:lineRule="auto"/>
        <w:jc w:val="both"/>
        <w:rPr>
          <w:rFonts w:asciiTheme="minorHAnsi" w:hAnsiTheme="minorHAnsi" w:cstheme="minorHAnsi"/>
        </w:rPr>
      </w:pPr>
      <w:r w:rsidRPr="00617FBF">
        <w:rPr>
          <w:rFonts w:asciiTheme="minorHAnsi" w:hAnsiTheme="minorHAnsi" w:cstheme="minorHAnsi"/>
          <w:b/>
          <w:bCs/>
        </w:rPr>
        <w:t>Data Privacy &amp; Ethics:</w:t>
      </w:r>
      <w:r w:rsidRPr="00617FBF">
        <w:rPr>
          <w:rFonts w:asciiTheme="minorHAnsi" w:hAnsiTheme="minorHAnsi" w:cstheme="minorHAnsi"/>
        </w:rPr>
        <w:t xml:space="preserve"> Fully anonymized synthetic clinical construct; contains zero Personally Identifiable Information (PII) or Protected Health Information (PHI), conforming to HIPAA Privacy and GDPR principles.</w:t>
      </w:r>
    </w:p>
    <w:p w14:paraId="795C49C5" w14:textId="77777777" w:rsidR="00DB4960" w:rsidRPr="00DB7A81" w:rsidRDefault="00DB4960" w:rsidP="00104B02">
      <w:pPr>
        <w:jc w:val="both"/>
        <w:rPr>
          <w:b/>
          <w:color w:val="2F5496" w:themeColor="accent1" w:themeShade="BF"/>
          <w:sz w:val="16"/>
          <w:szCs w:val="8"/>
        </w:rPr>
      </w:pPr>
    </w:p>
    <w:p w14:paraId="3F814EC6" w14:textId="1FEA44C0" w:rsidR="00446DA0" w:rsidRPr="009C7985" w:rsidRDefault="00EB2C8A" w:rsidP="00104B02">
      <w:pPr>
        <w:jc w:val="both"/>
        <w:rPr>
          <w:rFonts w:asciiTheme="minorHAnsi" w:hAnsiTheme="minorHAnsi" w:cstheme="minorHAnsi"/>
          <w:color w:val="2F5496" w:themeColor="accent1" w:themeShade="BF"/>
        </w:rPr>
      </w:pPr>
      <w:r w:rsidRPr="009C7985">
        <w:rPr>
          <w:rFonts w:asciiTheme="minorHAnsi" w:hAnsiTheme="minorHAnsi" w:cstheme="minorHAnsi"/>
          <w:b/>
          <w:color w:val="2F5496" w:themeColor="accent1" w:themeShade="BF"/>
          <w:sz w:val="36"/>
        </w:rPr>
        <w:t>Problem Statement</w:t>
      </w:r>
    </w:p>
    <w:p w14:paraId="7BC5CF2E" w14:textId="77777777" w:rsidR="00DB4960" w:rsidRPr="00DB7A81" w:rsidRDefault="00DB4960" w:rsidP="00104B02">
      <w:pPr>
        <w:jc w:val="both"/>
        <w:rPr>
          <w:b/>
          <w:sz w:val="10"/>
          <w:szCs w:val="6"/>
        </w:rPr>
      </w:pPr>
    </w:p>
    <w:p w14:paraId="5EB7E80E" w14:textId="34715B3C" w:rsidR="00446DA0" w:rsidRPr="00DB4960" w:rsidRDefault="00EB2C8A" w:rsidP="00104B02">
      <w:pPr>
        <w:jc w:val="both"/>
        <w:rPr>
          <w:rFonts w:asciiTheme="minorHAnsi" w:hAnsiTheme="minorHAnsi" w:cstheme="minorHAnsi"/>
        </w:rPr>
      </w:pPr>
      <w:r w:rsidRPr="00DB4960">
        <w:rPr>
          <w:rFonts w:asciiTheme="minorHAnsi" w:hAnsiTheme="minorHAnsi" w:cstheme="minorHAnsi"/>
          <w:b/>
          <w:sz w:val="28"/>
        </w:rPr>
        <w:t>Business and Operational Challenges</w:t>
      </w:r>
    </w:p>
    <w:p w14:paraId="504E5107" w14:textId="77777777" w:rsidR="00446DA0" w:rsidRDefault="00EB2C8A" w:rsidP="00104B02">
      <w:pPr>
        <w:spacing w:after="120"/>
        <w:jc w:val="both"/>
      </w:pPr>
      <w:r>
        <w:t>Healthcare systems operating at scale face persistent and measurable operational inefficiencies that erode clinical quality and financial sustainability. This project is motivated by three quantifiable problems observed directly in the patient dataset:</w:t>
      </w:r>
    </w:p>
    <w:p w14:paraId="59C9F321" w14:textId="77777777" w:rsidR="001B21F5" w:rsidRDefault="00EB2C8A" w:rsidP="00104B02">
      <w:pPr>
        <w:numPr>
          <w:ilvl w:val="0"/>
          <w:numId w:val="22"/>
        </w:numPr>
        <w:spacing w:after="100"/>
        <w:jc w:val="both"/>
        <w:rPr>
          <w:b/>
          <w:bCs/>
        </w:rPr>
      </w:pPr>
      <w:r w:rsidRPr="00142547">
        <w:rPr>
          <w:b/>
          <w:bCs/>
        </w:rPr>
        <w:t xml:space="preserve">Rising Treatment Expenditures: </w:t>
      </w:r>
    </w:p>
    <w:p w14:paraId="6787619E" w14:textId="0A4024A1" w:rsidR="00446DA0" w:rsidRPr="001B21F5" w:rsidRDefault="00EB2C8A" w:rsidP="00104B02">
      <w:pPr>
        <w:spacing w:after="100"/>
        <w:ind w:left="720"/>
        <w:jc w:val="both"/>
        <w:rPr>
          <w:b/>
          <w:bCs/>
        </w:rPr>
      </w:pPr>
      <w:r>
        <w:t>Per-visit treatment costs range from $746 to $119,307, with a mean of $54,915 and a standard deviation of $19,481, representing a 35.5% coefficient of variation. This high within-hospital cost variance is the primary financial challenge. High-spend patients achieve only 1.72 recovery score points more than standard-spend patients (76.43 vs 74.71), confirming elevated expenditure does not produce proportionally better clinical outcomes.</w:t>
      </w:r>
    </w:p>
    <w:p w14:paraId="6C262F86" w14:textId="77777777" w:rsidR="001B21F5" w:rsidRDefault="00EB2C8A" w:rsidP="00104B02">
      <w:pPr>
        <w:numPr>
          <w:ilvl w:val="0"/>
          <w:numId w:val="22"/>
        </w:numPr>
        <w:spacing w:after="100"/>
        <w:jc w:val="both"/>
        <w:rPr>
          <w:b/>
          <w:bCs/>
        </w:rPr>
      </w:pPr>
      <w:r w:rsidRPr="00142547">
        <w:rPr>
          <w:b/>
          <w:bCs/>
        </w:rPr>
        <w:t xml:space="preserve">Bed Occupancy Bottlenecks: </w:t>
      </w:r>
    </w:p>
    <w:p w14:paraId="01B5EB77" w14:textId="322D7211" w:rsidR="001068AB" w:rsidRPr="001B21F5" w:rsidRDefault="00EB2C8A" w:rsidP="00104B02">
      <w:pPr>
        <w:spacing w:after="100"/>
        <w:ind w:left="720"/>
        <w:jc w:val="both"/>
        <w:rPr>
          <w:b/>
          <w:bCs/>
        </w:rPr>
      </w:pPr>
      <w:r>
        <w:t xml:space="preserve">The hospital-wide average length of stay is 4.06 days with 1,210 patients (24.2%) exceeding the P75 threshold of 5.4 days. The Pearson correlation between </w:t>
      </w:r>
      <w:r w:rsidR="00C70E64">
        <w:t>LOS (LENGTH OF STAY)</w:t>
      </w:r>
      <w:r>
        <w:t xml:space="preserve"> and recovery score is r = +0.012, confirming extended stays produce no measurable improvement in outcomes. Every bed-day above P75 is a capacity cost with no clinical return.</w:t>
      </w:r>
    </w:p>
    <w:p w14:paraId="344DD887" w14:textId="2F91A6BA" w:rsidR="001068AB" w:rsidRPr="001B21F5" w:rsidRDefault="00EB2C8A" w:rsidP="00104B02">
      <w:pPr>
        <w:numPr>
          <w:ilvl w:val="0"/>
          <w:numId w:val="22"/>
        </w:numPr>
        <w:spacing w:after="100"/>
        <w:jc w:val="both"/>
        <w:rPr>
          <w:b/>
          <w:bCs/>
        </w:rPr>
      </w:pPr>
      <w:r w:rsidRPr="001B21F5">
        <w:rPr>
          <w:b/>
          <w:bCs/>
        </w:rPr>
        <w:t xml:space="preserve">High 30-Day Readmission Risk: </w:t>
      </w:r>
    </w:p>
    <w:p w14:paraId="0004F60D" w14:textId="767E718F" w:rsidR="00446DA0" w:rsidRDefault="00EB2C8A" w:rsidP="00104B02">
      <w:pPr>
        <w:spacing w:after="160"/>
        <w:ind w:left="720"/>
        <w:jc w:val="both"/>
      </w:pPr>
      <w:r>
        <w:t>1,152 patients (23.0%) carry a readmission risk score of 0.40 or higher, with scores reaching 0.84.</w:t>
      </w:r>
      <w:r w:rsidR="001B21F5">
        <w:t xml:space="preserve"> </w:t>
      </w:r>
      <w:r>
        <w:t>Routine admissions produce more high-risk discharges (802, rate 23.4%) than Emergency admissions (350, rate 22.3%), meaning Emergency-only discharge screening misses 69.6% of the high-risk population.</w:t>
      </w:r>
    </w:p>
    <w:p w14:paraId="7A7AA234" w14:textId="77777777" w:rsidR="001B21F5" w:rsidRDefault="001B21F5" w:rsidP="00104B02">
      <w:pPr>
        <w:spacing w:after="160"/>
        <w:ind w:left="720"/>
        <w:jc w:val="both"/>
      </w:pPr>
    </w:p>
    <w:p w14:paraId="1844AB3F" w14:textId="77777777" w:rsidR="001B21F5" w:rsidRDefault="001B21F5" w:rsidP="00104B02">
      <w:pPr>
        <w:spacing w:after="160"/>
        <w:ind w:left="720"/>
        <w:jc w:val="both"/>
      </w:pPr>
    </w:p>
    <w:p w14:paraId="595FF30A" w14:textId="20906102" w:rsidR="00446DA0" w:rsidRPr="005F3792" w:rsidRDefault="00EB2C8A" w:rsidP="00104B02">
      <w:pPr>
        <w:jc w:val="both"/>
        <w:rPr>
          <w:rFonts w:asciiTheme="minorHAnsi" w:hAnsiTheme="minorHAnsi" w:cstheme="minorHAnsi"/>
          <w:b/>
          <w:bCs/>
          <w:color w:val="2F5496" w:themeColor="accent1" w:themeShade="BF"/>
          <w:sz w:val="36"/>
          <w:szCs w:val="36"/>
        </w:rPr>
      </w:pPr>
      <w:r w:rsidRPr="005F3792">
        <w:rPr>
          <w:rFonts w:asciiTheme="minorHAnsi" w:hAnsiTheme="minorHAnsi" w:cstheme="minorHAnsi"/>
          <w:b/>
          <w:bCs/>
          <w:color w:val="2F5496" w:themeColor="accent1" w:themeShade="BF"/>
          <w:sz w:val="36"/>
          <w:szCs w:val="36"/>
        </w:rPr>
        <w:lastRenderedPageBreak/>
        <w:t>Project Objective</w:t>
      </w:r>
    </w:p>
    <w:p w14:paraId="68BD77E9" w14:textId="77777777" w:rsidR="001B21F5" w:rsidRPr="005F3792" w:rsidRDefault="001B21F5" w:rsidP="00104B02">
      <w:pPr>
        <w:jc w:val="both"/>
        <w:rPr>
          <w:rFonts w:asciiTheme="minorHAnsi" w:hAnsiTheme="minorHAnsi" w:cstheme="minorHAnsi"/>
          <w:b/>
          <w:bCs/>
          <w:color w:val="2F5496" w:themeColor="accent1" w:themeShade="BF"/>
          <w:sz w:val="10"/>
          <w:szCs w:val="10"/>
        </w:rPr>
      </w:pPr>
    </w:p>
    <w:p w14:paraId="50FBA7D1" w14:textId="77777777" w:rsidR="00446DA0" w:rsidRDefault="00EB2C8A" w:rsidP="00104B02">
      <w:pPr>
        <w:spacing w:after="120"/>
        <w:jc w:val="both"/>
      </w:pPr>
      <w:r>
        <w:t>This project applies an end-to-end data analytics workflow to 5,000 structured patient visit records to generate evidence-based recommendations across three operational domains:</w:t>
      </w:r>
    </w:p>
    <w:p w14:paraId="6161D4D1" w14:textId="77777777" w:rsidR="00446DA0" w:rsidRDefault="00EB2C8A" w:rsidP="00104B02">
      <w:pPr>
        <w:numPr>
          <w:ilvl w:val="0"/>
          <w:numId w:val="2"/>
        </w:numPr>
        <w:spacing w:after="100"/>
        <w:jc w:val="both"/>
      </w:pPr>
      <w:r w:rsidRPr="001B21F5">
        <w:rPr>
          <w:b/>
          <w:bCs/>
        </w:rPr>
        <w:t>Goal 1 - Cost Intelligence:</w:t>
      </w:r>
      <w:r>
        <w:t xml:space="preserve"> Quantify treatment cost variance by department, treatment type, and age group to surface high-cost, low-outcome patient segments.</w:t>
      </w:r>
    </w:p>
    <w:p w14:paraId="012E323E" w14:textId="77777777" w:rsidR="00446DA0" w:rsidRDefault="00EB2C8A" w:rsidP="00104B02">
      <w:pPr>
        <w:numPr>
          <w:ilvl w:val="0"/>
          <w:numId w:val="2"/>
        </w:numPr>
        <w:spacing w:after="100"/>
        <w:jc w:val="both"/>
      </w:pPr>
      <w:r w:rsidRPr="001B21F5">
        <w:rPr>
          <w:b/>
          <w:bCs/>
        </w:rPr>
        <w:t>Goal 2 - Operational Efficiency:</w:t>
      </w:r>
      <w:r>
        <w:t xml:space="preserve"> Analyse length-of-stay distribution and recovery scores across departments and visit types to identify bed utilisation bottlenecks.</w:t>
      </w:r>
    </w:p>
    <w:p w14:paraId="644A1F9B" w14:textId="77777777" w:rsidR="00446DA0" w:rsidRDefault="00EB2C8A" w:rsidP="00104B02">
      <w:pPr>
        <w:numPr>
          <w:ilvl w:val="0"/>
          <w:numId w:val="2"/>
        </w:numPr>
        <w:spacing w:after="240"/>
        <w:jc w:val="both"/>
      </w:pPr>
      <w:r w:rsidRPr="001B21F5">
        <w:rPr>
          <w:b/>
          <w:bCs/>
        </w:rPr>
        <w:t>Goal 3 - Readmission Prevention:</w:t>
      </w:r>
      <w:r>
        <w:t xml:space="preserve"> Build a predictive framework using patient demographics, clinical features, and visit attributes to identify high-risk patients at the point of discharge.</w:t>
      </w:r>
    </w:p>
    <w:p w14:paraId="0AAB6829" w14:textId="309A8A41" w:rsidR="00446DA0" w:rsidRPr="001B21F5" w:rsidRDefault="00EB2C8A" w:rsidP="00104B02">
      <w:pPr>
        <w:spacing w:line="276" w:lineRule="auto"/>
        <w:jc w:val="both"/>
        <w:rPr>
          <w:color w:val="1F4E79" w:themeColor="accent5" w:themeShade="80"/>
        </w:rPr>
      </w:pPr>
      <w:r w:rsidRPr="001B21F5">
        <w:rPr>
          <w:b/>
          <w:color w:val="1F4E79" w:themeColor="accent5" w:themeShade="80"/>
          <w:sz w:val="36"/>
        </w:rPr>
        <w:t>Dataset Overview</w:t>
      </w:r>
    </w:p>
    <w:p w14:paraId="6CC7AC95" w14:textId="53C651E9" w:rsidR="00446DA0" w:rsidRPr="001B21F5" w:rsidRDefault="00EB2C8A" w:rsidP="00104B02">
      <w:pPr>
        <w:spacing w:line="276" w:lineRule="auto"/>
        <w:jc w:val="both"/>
        <w:rPr>
          <w:bCs/>
          <w:color w:val="1F4E79" w:themeColor="accent5" w:themeShade="80"/>
        </w:rPr>
      </w:pPr>
      <w:r w:rsidRPr="001B21F5">
        <w:rPr>
          <w:bCs/>
          <w:color w:val="1F4E79" w:themeColor="accent5" w:themeShade="80"/>
          <w:sz w:val="28"/>
        </w:rPr>
        <w:t>Schema and Size</w:t>
      </w:r>
    </w:p>
    <w:p w14:paraId="4334B91B" w14:textId="77777777" w:rsidR="00446DA0" w:rsidRDefault="00EB2C8A" w:rsidP="00104B02">
      <w:pPr>
        <w:spacing w:after="120"/>
        <w:jc w:val="both"/>
      </w:pPr>
      <w:r>
        <w:t xml:space="preserve">The dataset is sourced from the Kaggle Healthcare Patient Analytics collection and contains 5,000 patient visit records across 12 attributes. Each row represents a single patient encounter. No personally identifiable information is present; </w:t>
      </w:r>
      <w:proofErr w:type="spellStart"/>
      <w:r>
        <w:t>patient_id</w:t>
      </w:r>
      <w:proofErr w:type="spellEnd"/>
      <w:r>
        <w:t xml:space="preserve"> is a synthetic key used only for row uniqueness. The dataset spans admissions from January 2022 through July 2022.</w:t>
      </w:r>
    </w:p>
    <w:p w14:paraId="58AE06B7" w14:textId="77777777" w:rsidR="00446DA0" w:rsidRDefault="00EB2C8A" w:rsidP="00104B02">
      <w:pPr>
        <w:spacing w:after="160"/>
        <w:jc w:val="both"/>
      </w:pPr>
      <w:r>
        <w:t>Total Records: 5,000   |   Total Attributes: 12   |   Dimension Columns: 7   |   Measure Columns: 4   |   Identifier Column: 1</w:t>
      </w:r>
    </w:p>
    <w:p w14:paraId="135D58B4" w14:textId="21ADC560" w:rsidR="001B21F5" w:rsidRPr="001B21F5" w:rsidRDefault="00EB2C8A" w:rsidP="00104B02">
      <w:pPr>
        <w:jc w:val="both"/>
        <w:rPr>
          <w:bCs/>
          <w:color w:val="1F4E79" w:themeColor="accent5" w:themeShade="80"/>
          <w:sz w:val="28"/>
        </w:rPr>
      </w:pPr>
      <w:r w:rsidRPr="001B21F5">
        <w:rPr>
          <w:bCs/>
          <w:color w:val="1F4E79" w:themeColor="accent5" w:themeShade="80"/>
          <w:sz w:val="28"/>
        </w:rPr>
        <w:t>Data Dictionary</w:t>
      </w:r>
    </w:p>
    <w:tbl>
      <w:tblPr>
        <w:tblStyle w:val="GridTable4-Accent1"/>
        <w:tblW w:w="5000" w:type="pct"/>
        <w:tblLayout w:type="fixed"/>
        <w:tblLook w:val="04A0" w:firstRow="1" w:lastRow="0" w:firstColumn="1" w:lastColumn="0" w:noHBand="0" w:noVBand="1"/>
      </w:tblPr>
      <w:tblGrid>
        <w:gridCol w:w="1835"/>
        <w:gridCol w:w="1418"/>
        <w:gridCol w:w="1418"/>
        <w:gridCol w:w="5065"/>
      </w:tblGrid>
      <w:tr w:rsidR="00446DA0" w14:paraId="0728D960" w14:textId="77777777" w:rsidTr="001B2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0AE4004C" w14:textId="77777777" w:rsidR="00446DA0" w:rsidRDefault="00EB2C8A" w:rsidP="00104B02">
            <w:pPr>
              <w:jc w:val="both"/>
            </w:pPr>
            <w:r>
              <w:t>Column Name</w:t>
            </w:r>
          </w:p>
        </w:tc>
        <w:tc>
          <w:tcPr>
            <w:tcW w:w="728" w:type="pct"/>
          </w:tcPr>
          <w:p w14:paraId="67EC1AE8" w14:textId="77777777" w:rsidR="00446DA0" w:rsidRDefault="00EB2C8A" w:rsidP="00104B02">
            <w:pPr>
              <w:jc w:val="both"/>
              <w:cnfStyle w:val="100000000000" w:firstRow="1" w:lastRow="0" w:firstColumn="0" w:lastColumn="0" w:oddVBand="0" w:evenVBand="0" w:oddHBand="0" w:evenHBand="0" w:firstRowFirstColumn="0" w:firstRowLastColumn="0" w:lastRowFirstColumn="0" w:lastRowLastColumn="0"/>
            </w:pPr>
            <w:r>
              <w:t>Data Type</w:t>
            </w:r>
          </w:p>
        </w:tc>
        <w:tc>
          <w:tcPr>
            <w:tcW w:w="728" w:type="pct"/>
          </w:tcPr>
          <w:p w14:paraId="67D11211" w14:textId="77777777" w:rsidR="00446DA0" w:rsidRDefault="00EB2C8A" w:rsidP="00104B02">
            <w:pPr>
              <w:jc w:val="both"/>
              <w:cnfStyle w:val="100000000000" w:firstRow="1" w:lastRow="0" w:firstColumn="0" w:lastColumn="0" w:oddVBand="0" w:evenVBand="0" w:oddHBand="0" w:evenHBand="0" w:firstRowFirstColumn="0" w:firstRowLastColumn="0" w:lastRowFirstColumn="0" w:lastRowLastColumn="0"/>
            </w:pPr>
            <w:r>
              <w:t>Classification</w:t>
            </w:r>
          </w:p>
        </w:tc>
        <w:tc>
          <w:tcPr>
            <w:tcW w:w="2600" w:type="pct"/>
          </w:tcPr>
          <w:p w14:paraId="5AAF0392" w14:textId="77777777" w:rsidR="00446DA0" w:rsidRDefault="00EB2C8A" w:rsidP="00104B02">
            <w:pPr>
              <w:jc w:val="both"/>
              <w:cnfStyle w:val="100000000000" w:firstRow="1" w:lastRow="0" w:firstColumn="0" w:lastColumn="0" w:oddVBand="0" w:evenVBand="0" w:oddHBand="0" w:evenHBand="0" w:firstRowFirstColumn="0" w:firstRowLastColumn="0" w:lastRowFirstColumn="0" w:lastRowLastColumn="0"/>
            </w:pPr>
            <w:r>
              <w:t>Role and Notes</w:t>
            </w:r>
          </w:p>
        </w:tc>
      </w:tr>
      <w:tr w:rsidR="00446DA0" w14:paraId="0827A0F4" w14:textId="77777777" w:rsidTr="001B2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4527E97A" w14:textId="77777777" w:rsidR="00446DA0" w:rsidRDefault="00EB2C8A" w:rsidP="00104B02">
            <w:pPr>
              <w:jc w:val="both"/>
            </w:pPr>
            <w:proofErr w:type="spellStart"/>
            <w:r>
              <w:t>patient_id</w:t>
            </w:r>
            <w:proofErr w:type="spellEnd"/>
          </w:p>
        </w:tc>
        <w:tc>
          <w:tcPr>
            <w:tcW w:w="728" w:type="pct"/>
          </w:tcPr>
          <w:p w14:paraId="2734D09A"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Integer</w:t>
            </w:r>
          </w:p>
        </w:tc>
        <w:tc>
          <w:tcPr>
            <w:tcW w:w="728" w:type="pct"/>
          </w:tcPr>
          <w:p w14:paraId="30337146"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Identifier</w:t>
            </w:r>
          </w:p>
        </w:tc>
        <w:tc>
          <w:tcPr>
            <w:tcW w:w="2600" w:type="pct"/>
          </w:tcPr>
          <w:p w14:paraId="408D4F4A"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Synthetic row key. Excluded from all analysis.</w:t>
            </w:r>
          </w:p>
        </w:tc>
      </w:tr>
      <w:tr w:rsidR="00446DA0" w14:paraId="5040B7BC" w14:textId="77777777" w:rsidTr="001B21F5">
        <w:tc>
          <w:tcPr>
            <w:cnfStyle w:val="001000000000" w:firstRow="0" w:lastRow="0" w:firstColumn="1" w:lastColumn="0" w:oddVBand="0" w:evenVBand="0" w:oddHBand="0" w:evenHBand="0" w:firstRowFirstColumn="0" w:firstRowLastColumn="0" w:lastRowFirstColumn="0" w:lastRowLastColumn="0"/>
            <w:tcW w:w="943" w:type="pct"/>
          </w:tcPr>
          <w:p w14:paraId="735666A9" w14:textId="77777777" w:rsidR="00446DA0" w:rsidRDefault="00EB2C8A" w:rsidP="00104B02">
            <w:pPr>
              <w:jc w:val="both"/>
            </w:pPr>
            <w:proofErr w:type="spellStart"/>
            <w:r>
              <w:t>visit_date</w:t>
            </w:r>
            <w:proofErr w:type="spellEnd"/>
          </w:p>
        </w:tc>
        <w:tc>
          <w:tcPr>
            <w:tcW w:w="728" w:type="pct"/>
          </w:tcPr>
          <w:p w14:paraId="54AD602C"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Datetime</w:t>
            </w:r>
          </w:p>
        </w:tc>
        <w:tc>
          <w:tcPr>
            <w:tcW w:w="728" w:type="pct"/>
          </w:tcPr>
          <w:p w14:paraId="1A4F5EB7"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Temporal</w:t>
            </w:r>
          </w:p>
        </w:tc>
        <w:tc>
          <w:tcPr>
            <w:tcW w:w="2600" w:type="pct"/>
          </w:tcPr>
          <w:p w14:paraId="71F14714"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Visit timestamp. Parsed into month, quarter, and day-of-week features.</w:t>
            </w:r>
          </w:p>
        </w:tc>
      </w:tr>
      <w:tr w:rsidR="00446DA0" w14:paraId="265B06DC" w14:textId="77777777" w:rsidTr="001B2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5DD58FAC" w14:textId="77777777" w:rsidR="00446DA0" w:rsidRDefault="00EB2C8A" w:rsidP="00104B02">
            <w:pPr>
              <w:jc w:val="both"/>
            </w:pPr>
            <w:proofErr w:type="spellStart"/>
            <w:r>
              <w:t>age_group</w:t>
            </w:r>
            <w:proofErr w:type="spellEnd"/>
          </w:p>
        </w:tc>
        <w:tc>
          <w:tcPr>
            <w:tcW w:w="728" w:type="pct"/>
          </w:tcPr>
          <w:p w14:paraId="64F5944C"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Categorical Ordinal</w:t>
            </w:r>
          </w:p>
        </w:tc>
        <w:tc>
          <w:tcPr>
            <w:tcW w:w="728" w:type="pct"/>
          </w:tcPr>
          <w:p w14:paraId="3C470725"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Dimension</w:t>
            </w:r>
          </w:p>
        </w:tc>
        <w:tc>
          <w:tcPr>
            <w:tcW w:w="2600" w:type="pct"/>
          </w:tcPr>
          <w:p w14:paraId="0BE9E0A0"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Age bands 18-30, 31-45, 46-60, 60+. Ordinally encoded to preserve rank order.</w:t>
            </w:r>
          </w:p>
        </w:tc>
      </w:tr>
      <w:tr w:rsidR="00446DA0" w14:paraId="225D1F13" w14:textId="77777777" w:rsidTr="001B21F5">
        <w:tc>
          <w:tcPr>
            <w:cnfStyle w:val="001000000000" w:firstRow="0" w:lastRow="0" w:firstColumn="1" w:lastColumn="0" w:oddVBand="0" w:evenVBand="0" w:oddHBand="0" w:evenHBand="0" w:firstRowFirstColumn="0" w:firstRowLastColumn="0" w:lastRowFirstColumn="0" w:lastRowLastColumn="0"/>
            <w:tcW w:w="943" w:type="pct"/>
          </w:tcPr>
          <w:p w14:paraId="0D22EA43" w14:textId="77777777" w:rsidR="00446DA0" w:rsidRDefault="00EB2C8A" w:rsidP="00104B02">
            <w:pPr>
              <w:jc w:val="both"/>
            </w:pPr>
            <w:r>
              <w:t>gender</w:t>
            </w:r>
          </w:p>
        </w:tc>
        <w:tc>
          <w:tcPr>
            <w:tcW w:w="728" w:type="pct"/>
          </w:tcPr>
          <w:p w14:paraId="0F81B2A2"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Categorical Nominal</w:t>
            </w:r>
          </w:p>
        </w:tc>
        <w:tc>
          <w:tcPr>
            <w:tcW w:w="728" w:type="pct"/>
          </w:tcPr>
          <w:p w14:paraId="7DAE9D5B"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Dimension</w:t>
            </w:r>
          </w:p>
        </w:tc>
        <w:tc>
          <w:tcPr>
            <w:tcW w:w="2600" w:type="pct"/>
          </w:tcPr>
          <w:p w14:paraId="2ED7A837"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Male or Female. Binary label-encoded for modelling.</w:t>
            </w:r>
          </w:p>
        </w:tc>
      </w:tr>
      <w:tr w:rsidR="00446DA0" w14:paraId="2FAE055B" w14:textId="77777777" w:rsidTr="001B2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697DCE41" w14:textId="77777777" w:rsidR="00446DA0" w:rsidRDefault="00EB2C8A" w:rsidP="00104B02">
            <w:pPr>
              <w:jc w:val="both"/>
            </w:pPr>
            <w:r>
              <w:t>region</w:t>
            </w:r>
          </w:p>
        </w:tc>
        <w:tc>
          <w:tcPr>
            <w:tcW w:w="728" w:type="pct"/>
          </w:tcPr>
          <w:p w14:paraId="1A5E6FDA"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Categorical Nominal</w:t>
            </w:r>
          </w:p>
        </w:tc>
        <w:tc>
          <w:tcPr>
            <w:tcW w:w="728" w:type="pct"/>
          </w:tcPr>
          <w:p w14:paraId="33F5C8AD"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Dimension</w:t>
            </w:r>
          </w:p>
        </w:tc>
        <w:tc>
          <w:tcPr>
            <w:tcW w:w="2600" w:type="pct"/>
          </w:tcPr>
          <w:p w14:paraId="77205D73"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North, South, East, West. One-hot encoded for modelling.</w:t>
            </w:r>
          </w:p>
        </w:tc>
      </w:tr>
      <w:tr w:rsidR="00446DA0" w14:paraId="54B833E8" w14:textId="77777777" w:rsidTr="001B21F5">
        <w:tc>
          <w:tcPr>
            <w:cnfStyle w:val="001000000000" w:firstRow="0" w:lastRow="0" w:firstColumn="1" w:lastColumn="0" w:oddVBand="0" w:evenVBand="0" w:oddHBand="0" w:evenHBand="0" w:firstRowFirstColumn="0" w:firstRowLastColumn="0" w:lastRowFirstColumn="0" w:lastRowLastColumn="0"/>
            <w:tcW w:w="943" w:type="pct"/>
          </w:tcPr>
          <w:p w14:paraId="42104236" w14:textId="77777777" w:rsidR="00446DA0" w:rsidRDefault="00EB2C8A" w:rsidP="00104B02">
            <w:pPr>
              <w:jc w:val="both"/>
            </w:pPr>
            <w:r>
              <w:t>department</w:t>
            </w:r>
          </w:p>
        </w:tc>
        <w:tc>
          <w:tcPr>
            <w:tcW w:w="728" w:type="pct"/>
          </w:tcPr>
          <w:p w14:paraId="04C8D668"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Categorical Nominal</w:t>
            </w:r>
          </w:p>
        </w:tc>
        <w:tc>
          <w:tcPr>
            <w:tcW w:w="728" w:type="pct"/>
          </w:tcPr>
          <w:p w14:paraId="27D5FD85"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Dimension</w:t>
            </w:r>
          </w:p>
        </w:tc>
        <w:tc>
          <w:tcPr>
            <w:tcW w:w="2600" w:type="pct"/>
          </w:tcPr>
          <w:p w14:paraId="576B9176" w14:textId="69F1AA63"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 xml:space="preserve">Cardiology, Neurology, </w:t>
            </w:r>
            <w:r w:rsidR="005F3792">
              <w:t>Orthopaedics</w:t>
            </w:r>
            <w:r>
              <w:t xml:space="preserve">, </w:t>
            </w:r>
            <w:r w:rsidR="005F3792">
              <w:t>Paediatrics</w:t>
            </w:r>
            <w:r>
              <w:t>, General Medicine.</w:t>
            </w:r>
          </w:p>
        </w:tc>
      </w:tr>
      <w:tr w:rsidR="00446DA0" w14:paraId="3FC653D1" w14:textId="77777777" w:rsidTr="001B2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39AC3588" w14:textId="77777777" w:rsidR="00446DA0" w:rsidRDefault="00EB2C8A" w:rsidP="00104B02">
            <w:pPr>
              <w:jc w:val="both"/>
            </w:pPr>
            <w:proofErr w:type="spellStart"/>
            <w:r>
              <w:t>treatment_type</w:t>
            </w:r>
            <w:proofErr w:type="spellEnd"/>
          </w:p>
        </w:tc>
        <w:tc>
          <w:tcPr>
            <w:tcW w:w="728" w:type="pct"/>
          </w:tcPr>
          <w:p w14:paraId="1E8E6B9D"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Categorical Nominal</w:t>
            </w:r>
          </w:p>
        </w:tc>
        <w:tc>
          <w:tcPr>
            <w:tcW w:w="728" w:type="pct"/>
          </w:tcPr>
          <w:p w14:paraId="58C32B45"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Dimension</w:t>
            </w:r>
          </w:p>
        </w:tc>
        <w:tc>
          <w:tcPr>
            <w:tcW w:w="2600" w:type="pct"/>
          </w:tcPr>
          <w:p w14:paraId="525FC99C"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Medication, Surgery, Therapy, Observation. Key cost driver.</w:t>
            </w:r>
          </w:p>
        </w:tc>
      </w:tr>
      <w:tr w:rsidR="00446DA0" w14:paraId="10D6A8E0" w14:textId="77777777" w:rsidTr="001B21F5">
        <w:tc>
          <w:tcPr>
            <w:cnfStyle w:val="001000000000" w:firstRow="0" w:lastRow="0" w:firstColumn="1" w:lastColumn="0" w:oddVBand="0" w:evenVBand="0" w:oddHBand="0" w:evenHBand="0" w:firstRowFirstColumn="0" w:firstRowLastColumn="0" w:lastRowFirstColumn="0" w:lastRowLastColumn="0"/>
            <w:tcW w:w="943" w:type="pct"/>
          </w:tcPr>
          <w:p w14:paraId="368A5337" w14:textId="77777777" w:rsidR="00446DA0" w:rsidRDefault="00EB2C8A" w:rsidP="00104B02">
            <w:pPr>
              <w:jc w:val="both"/>
            </w:pPr>
            <w:proofErr w:type="spellStart"/>
            <w:r>
              <w:t>visit_type</w:t>
            </w:r>
            <w:proofErr w:type="spellEnd"/>
          </w:p>
        </w:tc>
        <w:tc>
          <w:tcPr>
            <w:tcW w:w="728" w:type="pct"/>
          </w:tcPr>
          <w:p w14:paraId="73A73A19"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Categorical Nominal</w:t>
            </w:r>
          </w:p>
        </w:tc>
        <w:tc>
          <w:tcPr>
            <w:tcW w:w="728" w:type="pct"/>
          </w:tcPr>
          <w:p w14:paraId="716CB81B"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Dimension</w:t>
            </w:r>
          </w:p>
        </w:tc>
        <w:tc>
          <w:tcPr>
            <w:tcW w:w="2600" w:type="pct"/>
          </w:tcPr>
          <w:p w14:paraId="72DFDAB8" w14:textId="3806ED9F"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 xml:space="preserve">Routine or Emergency. Strong predictor of </w:t>
            </w:r>
            <w:r w:rsidR="00C70E64">
              <w:t>LOS (LENGTH OF STAY)</w:t>
            </w:r>
            <w:r>
              <w:t xml:space="preserve"> and readmission risk.</w:t>
            </w:r>
          </w:p>
        </w:tc>
      </w:tr>
      <w:tr w:rsidR="00446DA0" w14:paraId="577BC3A9" w14:textId="77777777" w:rsidTr="001B2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16195FBC" w14:textId="77777777" w:rsidR="00446DA0" w:rsidRDefault="00EB2C8A" w:rsidP="00104B02">
            <w:pPr>
              <w:jc w:val="both"/>
            </w:pPr>
            <w:proofErr w:type="spellStart"/>
            <w:r>
              <w:t>length_of_stay_days</w:t>
            </w:r>
            <w:proofErr w:type="spellEnd"/>
          </w:p>
        </w:tc>
        <w:tc>
          <w:tcPr>
            <w:tcW w:w="728" w:type="pct"/>
          </w:tcPr>
          <w:p w14:paraId="667A7846"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Float Continuous</w:t>
            </w:r>
          </w:p>
        </w:tc>
        <w:tc>
          <w:tcPr>
            <w:tcW w:w="728" w:type="pct"/>
          </w:tcPr>
          <w:p w14:paraId="0365127D"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Measure</w:t>
            </w:r>
          </w:p>
        </w:tc>
        <w:tc>
          <w:tcPr>
            <w:tcW w:w="2600" w:type="pct"/>
          </w:tcPr>
          <w:p w14:paraId="5782FEF4" w14:textId="52D09EAF"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Days admitted (0 to 11.9 days). Bed utilisation proxy. 16 zero-</w:t>
            </w:r>
            <w:r w:rsidR="00C70E64">
              <w:t>LOS (LENGTH OF STAY)</w:t>
            </w:r>
            <w:r>
              <w:t xml:space="preserve"> same-day records.</w:t>
            </w:r>
          </w:p>
        </w:tc>
      </w:tr>
      <w:tr w:rsidR="00446DA0" w14:paraId="455592ED" w14:textId="77777777" w:rsidTr="001B21F5">
        <w:tc>
          <w:tcPr>
            <w:cnfStyle w:val="001000000000" w:firstRow="0" w:lastRow="0" w:firstColumn="1" w:lastColumn="0" w:oddVBand="0" w:evenVBand="0" w:oddHBand="0" w:evenHBand="0" w:firstRowFirstColumn="0" w:firstRowLastColumn="0" w:lastRowFirstColumn="0" w:lastRowLastColumn="0"/>
            <w:tcW w:w="943" w:type="pct"/>
          </w:tcPr>
          <w:p w14:paraId="420E0F40" w14:textId="77777777" w:rsidR="00446DA0" w:rsidRDefault="00EB2C8A" w:rsidP="00104B02">
            <w:pPr>
              <w:jc w:val="both"/>
            </w:pPr>
            <w:proofErr w:type="spellStart"/>
            <w:r>
              <w:t>treatment_cost</w:t>
            </w:r>
            <w:proofErr w:type="spellEnd"/>
          </w:p>
        </w:tc>
        <w:tc>
          <w:tcPr>
            <w:tcW w:w="728" w:type="pct"/>
          </w:tcPr>
          <w:p w14:paraId="306BD076"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Float Continuous</w:t>
            </w:r>
          </w:p>
        </w:tc>
        <w:tc>
          <w:tcPr>
            <w:tcW w:w="728" w:type="pct"/>
          </w:tcPr>
          <w:p w14:paraId="3328F9E9"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Measure</w:t>
            </w:r>
          </w:p>
        </w:tc>
        <w:tc>
          <w:tcPr>
            <w:tcW w:w="2600" w:type="pct"/>
          </w:tcPr>
          <w:p w14:paraId="46083E94"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Total visit cost ($746 to $119,307). Primary financial KPI.</w:t>
            </w:r>
          </w:p>
        </w:tc>
      </w:tr>
      <w:tr w:rsidR="00446DA0" w14:paraId="10447003" w14:textId="77777777" w:rsidTr="001B2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7EF25BCB" w14:textId="77777777" w:rsidR="00446DA0" w:rsidRDefault="00EB2C8A" w:rsidP="00104B02">
            <w:pPr>
              <w:jc w:val="both"/>
            </w:pPr>
            <w:proofErr w:type="spellStart"/>
            <w:r>
              <w:t>recovery_score</w:t>
            </w:r>
            <w:proofErr w:type="spellEnd"/>
          </w:p>
        </w:tc>
        <w:tc>
          <w:tcPr>
            <w:tcW w:w="728" w:type="pct"/>
          </w:tcPr>
          <w:p w14:paraId="32B888D0"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Float 0-100</w:t>
            </w:r>
          </w:p>
        </w:tc>
        <w:tc>
          <w:tcPr>
            <w:tcW w:w="728" w:type="pct"/>
          </w:tcPr>
          <w:p w14:paraId="6C655606"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Measure</w:t>
            </w:r>
          </w:p>
        </w:tc>
        <w:tc>
          <w:tcPr>
            <w:tcW w:w="2600" w:type="pct"/>
          </w:tcPr>
          <w:p w14:paraId="06A20271" w14:textId="77777777" w:rsidR="00446DA0" w:rsidRDefault="00EB2C8A" w:rsidP="00104B02">
            <w:pPr>
              <w:jc w:val="both"/>
              <w:cnfStyle w:val="000000100000" w:firstRow="0" w:lastRow="0" w:firstColumn="0" w:lastColumn="0" w:oddVBand="0" w:evenVBand="0" w:oddHBand="1" w:evenHBand="0" w:firstRowFirstColumn="0" w:firstRowLastColumn="0" w:lastRowFirstColumn="0" w:lastRowLastColumn="0"/>
            </w:pPr>
            <w:r>
              <w:t>Clinical outcome index. Higher = better. Observed range 33 to 100.</w:t>
            </w:r>
          </w:p>
        </w:tc>
      </w:tr>
      <w:tr w:rsidR="00446DA0" w14:paraId="5336B5A9" w14:textId="77777777" w:rsidTr="001B21F5">
        <w:tc>
          <w:tcPr>
            <w:cnfStyle w:val="001000000000" w:firstRow="0" w:lastRow="0" w:firstColumn="1" w:lastColumn="0" w:oddVBand="0" w:evenVBand="0" w:oddHBand="0" w:evenHBand="0" w:firstRowFirstColumn="0" w:firstRowLastColumn="0" w:lastRowFirstColumn="0" w:lastRowLastColumn="0"/>
            <w:tcW w:w="943" w:type="pct"/>
          </w:tcPr>
          <w:p w14:paraId="2C89D717" w14:textId="77777777" w:rsidR="00446DA0" w:rsidRDefault="00EB2C8A" w:rsidP="00104B02">
            <w:pPr>
              <w:jc w:val="both"/>
            </w:pPr>
            <w:proofErr w:type="spellStart"/>
            <w:r>
              <w:t>readmission_risk</w:t>
            </w:r>
            <w:proofErr w:type="spellEnd"/>
          </w:p>
        </w:tc>
        <w:tc>
          <w:tcPr>
            <w:tcW w:w="728" w:type="pct"/>
          </w:tcPr>
          <w:p w14:paraId="3F0D6971"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Float 0-1</w:t>
            </w:r>
          </w:p>
        </w:tc>
        <w:tc>
          <w:tcPr>
            <w:tcW w:w="728" w:type="pct"/>
          </w:tcPr>
          <w:p w14:paraId="0092F6F6"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Measure</w:t>
            </w:r>
          </w:p>
        </w:tc>
        <w:tc>
          <w:tcPr>
            <w:tcW w:w="2600" w:type="pct"/>
          </w:tcPr>
          <w:p w14:paraId="2118E5DB" w14:textId="77777777" w:rsidR="00446DA0" w:rsidRDefault="00EB2C8A" w:rsidP="00104B02">
            <w:pPr>
              <w:jc w:val="both"/>
              <w:cnfStyle w:val="000000000000" w:firstRow="0" w:lastRow="0" w:firstColumn="0" w:lastColumn="0" w:oddVBand="0" w:evenVBand="0" w:oddHBand="0" w:evenHBand="0" w:firstRowFirstColumn="0" w:firstRowLastColumn="0" w:lastRowFirstColumn="0" w:lastRowLastColumn="0"/>
            </w:pPr>
            <w:r>
              <w:t xml:space="preserve">30-day readmission probability (max 0.84 observed). Primary target variable. </w:t>
            </w:r>
            <w:proofErr w:type="spellStart"/>
            <w:r>
              <w:t>Binarised</w:t>
            </w:r>
            <w:proofErr w:type="spellEnd"/>
            <w:r>
              <w:t xml:space="preserve"> at 0.40.</w:t>
            </w:r>
          </w:p>
        </w:tc>
      </w:tr>
    </w:tbl>
    <w:p w14:paraId="74E3F516" w14:textId="33B6AED0" w:rsidR="00446DA0" w:rsidRPr="00416593" w:rsidRDefault="00EB2C8A" w:rsidP="00104B02">
      <w:pPr>
        <w:pStyle w:val="Heading1"/>
        <w:spacing w:after="160"/>
        <w:jc w:val="both"/>
        <w:rPr>
          <w:rFonts w:asciiTheme="minorHAnsi" w:hAnsiTheme="minorHAnsi" w:cstheme="minorHAnsi"/>
          <w:color w:val="1F4E79" w:themeColor="accent5" w:themeShade="80"/>
        </w:rPr>
      </w:pPr>
      <w:r w:rsidRPr="00416593">
        <w:rPr>
          <w:rFonts w:asciiTheme="minorHAnsi" w:hAnsiTheme="minorHAnsi" w:cstheme="minorHAnsi"/>
          <w:b/>
          <w:color w:val="1F4E79" w:themeColor="accent5" w:themeShade="80"/>
          <w:sz w:val="36"/>
        </w:rPr>
        <w:lastRenderedPageBreak/>
        <w:t>Steps Used for Analysis</w:t>
      </w:r>
    </w:p>
    <w:p w14:paraId="683E49AC" w14:textId="77777777" w:rsidR="00446DA0" w:rsidRDefault="00EB2C8A" w:rsidP="00104B02">
      <w:pPr>
        <w:spacing w:after="160"/>
        <w:jc w:val="both"/>
      </w:pPr>
      <w:r>
        <w:t>The following six-step analytical workflow was applied sequentially. Each step builds on the previous and feeds directly into the next.</w:t>
      </w:r>
    </w:p>
    <w:p w14:paraId="389D2EEA" w14:textId="77777777" w:rsidR="00446DA0" w:rsidRDefault="00EB2C8A" w:rsidP="00104B02">
      <w:pPr>
        <w:pStyle w:val="Heading2"/>
        <w:spacing w:before="200" w:after="120"/>
        <w:jc w:val="both"/>
      </w:pPr>
      <w:r>
        <w:rPr>
          <w:b/>
          <w:sz w:val="28"/>
        </w:rPr>
        <w:t>Step 1: Data Ingestion</w:t>
      </w:r>
    </w:p>
    <w:p w14:paraId="011DA246" w14:textId="0A854B2A" w:rsidR="00446DA0" w:rsidRDefault="00EB2C8A" w:rsidP="00104B02">
      <w:pPr>
        <w:spacing w:after="160"/>
        <w:jc w:val="both"/>
      </w:pPr>
      <w:r>
        <w:t xml:space="preserve">The source CSV was loaded into a </w:t>
      </w:r>
      <w:r w:rsidR="00416593">
        <w:t xml:space="preserve">panda </w:t>
      </w:r>
      <w:proofErr w:type="spellStart"/>
      <w:r w:rsidR="00416593">
        <w:t>DataFrame</w:t>
      </w:r>
      <w:proofErr w:type="spellEnd"/>
      <w:r>
        <w:t xml:space="preserve"> using </w:t>
      </w:r>
      <w:proofErr w:type="spellStart"/>
      <w:proofErr w:type="gramStart"/>
      <w:r>
        <w:t>pd.read</w:t>
      </w:r>
      <w:proofErr w:type="gramEnd"/>
      <w:r>
        <w:t>_</w:t>
      </w:r>
      <w:proofErr w:type="gramStart"/>
      <w:r>
        <w:t>csv</w:t>
      </w:r>
      <w:proofErr w:type="spellEnd"/>
      <w:r>
        <w:t>(</w:t>
      </w:r>
      <w:proofErr w:type="gramEnd"/>
      <w:r>
        <w:t>). An immediate structural audit confirmed the expected shape of 5,000 rows by 12 columns, verified column names and data types, and printed the first five rows and descriptive statistics. This baseline snapshot establishes the pre-transformation state of the data before any modification is applied.</w:t>
      </w:r>
    </w:p>
    <w:p w14:paraId="68E7140B" w14:textId="77777777" w:rsidR="00446DA0" w:rsidRDefault="00EB2C8A" w:rsidP="00104B02">
      <w:pPr>
        <w:pStyle w:val="Heading2"/>
        <w:spacing w:before="200" w:after="120"/>
        <w:jc w:val="both"/>
      </w:pPr>
      <w:r>
        <w:rPr>
          <w:b/>
          <w:sz w:val="28"/>
        </w:rPr>
        <w:t>Step 2: Data Cleaning</w:t>
      </w:r>
    </w:p>
    <w:p w14:paraId="03F8E82E" w14:textId="77777777" w:rsidR="00446DA0" w:rsidRDefault="00EB2C8A" w:rsidP="00104B02">
      <w:pPr>
        <w:spacing w:after="100"/>
        <w:jc w:val="both"/>
      </w:pPr>
      <w:r>
        <w:t>Five concrete cleaning operations were applied in sequence with defined decision rules:</w:t>
      </w:r>
    </w:p>
    <w:p w14:paraId="7EEFE727" w14:textId="3033F8F5" w:rsidR="00446DA0" w:rsidRDefault="00EB2C8A" w:rsidP="00104B02">
      <w:pPr>
        <w:numPr>
          <w:ilvl w:val="0"/>
          <w:numId w:val="3"/>
        </w:numPr>
        <w:spacing w:after="80"/>
        <w:jc w:val="both"/>
      </w:pPr>
      <w:r>
        <w:t xml:space="preserve">Null Value Audit: All 12 columns were checked. Numerical nulls were filled with the column median (robust to skew in cost and </w:t>
      </w:r>
      <w:r w:rsidR="00C70E64">
        <w:t>LOS (LENGTH OF STAY)</w:t>
      </w:r>
      <w:r>
        <w:t xml:space="preserve"> distributions). Categorical nulls were filled with the column mode. The dataset contained zero null values.</w:t>
      </w:r>
    </w:p>
    <w:p w14:paraId="5483B715" w14:textId="77777777" w:rsidR="00446DA0" w:rsidRDefault="00EB2C8A" w:rsidP="00104B02">
      <w:pPr>
        <w:numPr>
          <w:ilvl w:val="0"/>
          <w:numId w:val="3"/>
        </w:numPr>
        <w:spacing w:after="80"/>
        <w:jc w:val="both"/>
      </w:pPr>
      <w:r>
        <w:t>Duplicate Row Removal: Exact duplicate rows were dropped and the removal count logged. Zero duplicates were found.</w:t>
      </w:r>
    </w:p>
    <w:p w14:paraId="5C137A77" w14:textId="77777777" w:rsidR="00446DA0" w:rsidRDefault="00EB2C8A" w:rsidP="00104B02">
      <w:pPr>
        <w:numPr>
          <w:ilvl w:val="0"/>
          <w:numId w:val="3"/>
        </w:numPr>
        <w:spacing w:after="80"/>
        <w:jc w:val="both"/>
      </w:pPr>
      <w:r>
        <w:t xml:space="preserve">Unique Patient ID Check: Duplicate </w:t>
      </w:r>
      <w:proofErr w:type="spellStart"/>
      <w:r>
        <w:t>patient_id</w:t>
      </w:r>
      <w:proofErr w:type="spellEnd"/>
      <w:r>
        <w:t xml:space="preserve"> values were identified and resolved by keeping the first occurrence and flagging duplicates for manual review. All 5,000 IDs were unique.</w:t>
      </w:r>
    </w:p>
    <w:p w14:paraId="724E1F43" w14:textId="77777777" w:rsidR="00446DA0" w:rsidRDefault="00EB2C8A" w:rsidP="00104B02">
      <w:pPr>
        <w:numPr>
          <w:ilvl w:val="0"/>
          <w:numId w:val="3"/>
        </w:numPr>
        <w:spacing w:after="80"/>
        <w:jc w:val="both"/>
      </w:pPr>
      <w:r>
        <w:t xml:space="preserve">Date Parsing: </w:t>
      </w:r>
      <w:proofErr w:type="spellStart"/>
      <w:r>
        <w:t>visit_date</w:t>
      </w:r>
      <w:proofErr w:type="spellEnd"/>
      <w:r>
        <w:t xml:space="preserve"> was cast from string to datetime64 using errors='coerce'. An assertion confirmed zero </w:t>
      </w:r>
      <w:proofErr w:type="spellStart"/>
      <w:r>
        <w:t>NaT</w:t>
      </w:r>
      <w:proofErr w:type="spellEnd"/>
      <w:r>
        <w:t xml:space="preserve"> (failed parse) values.</w:t>
      </w:r>
    </w:p>
    <w:p w14:paraId="3A124D18" w14:textId="77777777" w:rsidR="00446DA0" w:rsidRDefault="00EB2C8A" w:rsidP="00104B02">
      <w:pPr>
        <w:numPr>
          <w:ilvl w:val="0"/>
          <w:numId w:val="3"/>
        </w:numPr>
        <w:spacing w:after="160"/>
        <w:jc w:val="both"/>
      </w:pPr>
      <w:r>
        <w:t xml:space="preserve">Categorical </w:t>
      </w:r>
      <w:proofErr w:type="spellStart"/>
      <w:r>
        <w:t>Dtype</w:t>
      </w:r>
      <w:proofErr w:type="spellEnd"/>
      <w:r>
        <w:t xml:space="preserve"> Enforcement: The six categorical columns (</w:t>
      </w:r>
      <w:proofErr w:type="spellStart"/>
      <w:r>
        <w:t>age_group</w:t>
      </w:r>
      <w:proofErr w:type="spellEnd"/>
      <w:r>
        <w:t xml:space="preserve">, gender, region, department, </w:t>
      </w:r>
      <w:proofErr w:type="spellStart"/>
      <w:r>
        <w:t>treatment_type</w:t>
      </w:r>
      <w:proofErr w:type="spellEnd"/>
      <w:r>
        <w:t xml:space="preserve">, </w:t>
      </w:r>
      <w:proofErr w:type="spellStart"/>
      <w:r>
        <w:t>visit_type</w:t>
      </w:r>
      <w:proofErr w:type="spellEnd"/>
      <w:r>
        <w:t xml:space="preserve">) were cast to category </w:t>
      </w:r>
      <w:proofErr w:type="spellStart"/>
      <w:r>
        <w:t>dtype</w:t>
      </w:r>
      <w:proofErr w:type="spellEnd"/>
      <w:r>
        <w:t xml:space="preserve"> for memory efficiency and downstream encoding.</w:t>
      </w:r>
    </w:p>
    <w:p w14:paraId="6B246004" w14:textId="77777777" w:rsidR="00446DA0" w:rsidRDefault="00EB2C8A" w:rsidP="00104B02">
      <w:pPr>
        <w:pStyle w:val="Heading2"/>
        <w:spacing w:before="200" w:after="120"/>
        <w:jc w:val="both"/>
      </w:pPr>
      <w:r>
        <w:rPr>
          <w:b/>
          <w:sz w:val="28"/>
        </w:rPr>
        <w:t>Step 2b: Categorical Encoding</w:t>
      </w:r>
    </w:p>
    <w:p w14:paraId="6D847289" w14:textId="77777777" w:rsidR="00446DA0" w:rsidRDefault="00EB2C8A" w:rsidP="00104B02">
      <w:pPr>
        <w:spacing w:after="160"/>
        <w:jc w:val="both"/>
      </w:pPr>
      <w:r>
        <w:t xml:space="preserve">Encoding was applied after cleaning and before feature engineering. </w:t>
      </w:r>
      <w:proofErr w:type="spellStart"/>
      <w:r>
        <w:t>age_group</w:t>
      </w:r>
      <w:proofErr w:type="spellEnd"/>
      <w:r>
        <w:t xml:space="preserve"> was ordinally encoded (0=18-30, 1=31-45, 2=46-60, 3=60+) using </w:t>
      </w:r>
      <w:proofErr w:type="spellStart"/>
      <w:r>
        <w:t>sklearn's</w:t>
      </w:r>
      <w:proofErr w:type="spellEnd"/>
      <w:r>
        <w:t xml:space="preserve"> </w:t>
      </w:r>
      <w:proofErr w:type="spellStart"/>
      <w:r>
        <w:t>OrdinalEncoder</w:t>
      </w:r>
      <w:proofErr w:type="spellEnd"/>
      <w:r>
        <w:t xml:space="preserve"> to preserve rank order. gender was binary label-encoded (Male=1, Female=0). The remaining four nominal columns (region, department, </w:t>
      </w:r>
      <w:proofErr w:type="spellStart"/>
      <w:r>
        <w:t>treatment_type</w:t>
      </w:r>
      <w:proofErr w:type="spellEnd"/>
      <w:r>
        <w:t xml:space="preserve">, </w:t>
      </w:r>
      <w:proofErr w:type="spellStart"/>
      <w:r>
        <w:t>visit_type</w:t>
      </w:r>
      <w:proofErr w:type="spellEnd"/>
      <w:r>
        <w:t xml:space="preserve">) were one-hot encoded using </w:t>
      </w:r>
      <w:proofErr w:type="spellStart"/>
      <w:r>
        <w:t>pd.get_</w:t>
      </w:r>
      <w:proofErr w:type="gramStart"/>
      <w:r>
        <w:t>dummies</w:t>
      </w:r>
      <w:proofErr w:type="spellEnd"/>
      <w:r>
        <w:t>(</w:t>
      </w:r>
      <w:proofErr w:type="gramEnd"/>
      <w:r>
        <w:t xml:space="preserve">) with </w:t>
      </w:r>
      <w:proofErr w:type="spellStart"/>
      <w:r>
        <w:t>drop_first</w:t>
      </w:r>
      <w:proofErr w:type="spellEnd"/>
      <w:r>
        <w:t>=True.</w:t>
      </w:r>
    </w:p>
    <w:p w14:paraId="0D2ADFFE" w14:textId="77777777" w:rsidR="00446DA0" w:rsidRDefault="00EB2C8A" w:rsidP="00104B02">
      <w:pPr>
        <w:pStyle w:val="Heading2"/>
        <w:spacing w:before="200" w:after="120"/>
        <w:jc w:val="both"/>
      </w:pPr>
      <w:r>
        <w:rPr>
          <w:b/>
          <w:sz w:val="28"/>
        </w:rPr>
        <w:t>Step 3: Feature Engineering</w:t>
      </w:r>
    </w:p>
    <w:p w14:paraId="40DFCE3E" w14:textId="77777777" w:rsidR="00446DA0" w:rsidRDefault="00EB2C8A" w:rsidP="00104B02">
      <w:pPr>
        <w:spacing w:after="100"/>
        <w:jc w:val="both"/>
      </w:pPr>
      <w:r>
        <w:t>Six derived columns were created to extend the cleaned dataset:</w:t>
      </w:r>
    </w:p>
    <w:p w14:paraId="64F7F87D" w14:textId="7ADA518C" w:rsidR="00446DA0" w:rsidRDefault="00EB2C8A" w:rsidP="00104B02">
      <w:pPr>
        <w:numPr>
          <w:ilvl w:val="0"/>
          <w:numId w:val="4"/>
        </w:numPr>
        <w:spacing w:after="80"/>
        <w:jc w:val="both"/>
      </w:pPr>
      <w:proofErr w:type="spellStart"/>
      <w:r>
        <w:t>daily_treatment_cost</w:t>
      </w:r>
      <w:proofErr w:type="spellEnd"/>
      <w:r>
        <w:t xml:space="preserve">: </w:t>
      </w:r>
      <w:proofErr w:type="spellStart"/>
      <w:r>
        <w:t>treatment_cost</w:t>
      </w:r>
      <w:proofErr w:type="spellEnd"/>
      <w:r>
        <w:t xml:space="preserve"> divided by </w:t>
      </w:r>
      <w:proofErr w:type="spellStart"/>
      <w:r>
        <w:t>length_of_stay_days</w:t>
      </w:r>
      <w:proofErr w:type="spellEnd"/>
      <w:r>
        <w:t xml:space="preserve">. Returns </w:t>
      </w:r>
      <w:proofErr w:type="spellStart"/>
      <w:r>
        <w:t>NaN</w:t>
      </w:r>
      <w:proofErr w:type="spellEnd"/>
      <w:r>
        <w:t xml:space="preserve"> for zero-</w:t>
      </w:r>
      <w:r w:rsidR="00C70E64">
        <w:t>LOS (LENGTH OF STAY)</w:t>
      </w:r>
      <w:r>
        <w:t xml:space="preserve"> records (16 same-day discharges) to prevent division by zero. Formula: </w:t>
      </w:r>
      <w:proofErr w:type="spellStart"/>
      <w:r>
        <w:t>daily_treatment_cost</w:t>
      </w:r>
      <w:proofErr w:type="spellEnd"/>
      <w:r>
        <w:t xml:space="preserve"> = </w:t>
      </w:r>
      <w:proofErr w:type="spellStart"/>
      <w:r>
        <w:t>treatment_cost</w:t>
      </w:r>
      <w:proofErr w:type="spellEnd"/>
      <w:r>
        <w:t xml:space="preserve"> / </w:t>
      </w:r>
      <w:proofErr w:type="spellStart"/>
      <w:r>
        <w:t>length_of_stay_days</w:t>
      </w:r>
      <w:proofErr w:type="spellEnd"/>
      <w:r>
        <w:t xml:space="preserve"> where </w:t>
      </w:r>
      <w:r w:rsidR="00C70E64">
        <w:t>LOS (LENGTH OF STAY)</w:t>
      </w:r>
      <w:r>
        <w:t xml:space="preserve"> &gt; 0, else </w:t>
      </w:r>
      <w:proofErr w:type="spellStart"/>
      <w:r>
        <w:t>NaN</w:t>
      </w:r>
      <w:proofErr w:type="spellEnd"/>
      <w:r>
        <w:t>. Example: Patient 1 - $59,151 / 5.8 days = $10,198.45 per day.</w:t>
      </w:r>
    </w:p>
    <w:p w14:paraId="1804B6B1" w14:textId="77777777" w:rsidR="00446DA0" w:rsidRDefault="00EB2C8A" w:rsidP="00104B02">
      <w:pPr>
        <w:numPr>
          <w:ilvl w:val="0"/>
          <w:numId w:val="4"/>
        </w:numPr>
        <w:spacing w:after="80"/>
        <w:jc w:val="both"/>
      </w:pPr>
      <w:proofErr w:type="spellStart"/>
      <w:r>
        <w:t>is_high_risk</w:t>
      </w:r>
      <w:proofErr w:type="spellEnd"/>
      <w:r>
        <w:t xml:space="preserve">: Binary flag (1 if </w:t>
      </w:r>
      <w:proofErr w:type="spellStart"/>
      <w:r>
        <w:t>readmission_risk</w:t>
      </w:r>
      <w:proofErr w:type="spellEnd"/>
      <w:r>
        <w:t xml:space="preserve"> &gt;= 0.40, else 0). Threshold 0.40 represents the clinically significant risk inflection point. 1,152 patients flagged (23.0%).</w:t>
      </w:r>
    </w:p>
    <w:p w14:paraId="07E171A1" w14:textId="77777777" w:rsidR="00446DA0" w:rsidRDefault="00EB2C8A" w:rsidP="00104B02">
      <w:pPr>
        <w:numPr>
          <w:ilvl w:val="0"/>
          <w:numId w:val="4"/>
        </w:numPr>
        <w:spacing w:after="80"/>
        <w:jc w:val="both"/>
      </w:pPr>
      <w:proofErr w:type="spellStart"/>
      <w:r>
        <w:t>is_high_cost</w:t>
      </w:r>
      <w:proofErr w:type="spellEnd"/>
      <w:r>
        <w:t>: Binary flag using IQR upper fence method (Q3 + 1.5 x IQR = $108,163). Only 14 patients (0.3%) exceed this threshold.</w:t>
      </w:r>
    </w:p>
    <w:p w14:paraId="6ED0F258" w14:textId="77777777" w:rsidR="00446DA0" w:rsidRDefault="00EB2C8A" w:rsidP="00104B02">
      <w:pPr>
        <w:numPr>
          <w:ilvl w:val="0"/>
          <w:numId w:val="4"/>
        </w:numPr>
        <w:spacing w:after="160"/>
        <w:jc w:val="both"/>
      </w:pPr>
      <w:proofErr w:type="spellStart"/>
      <w:r>
        <w:lastRenderedPageBreak/>
        <w:t>visit_month</w:t>
      </w:r>
      <w:proofErr w:type="spellEnd"/>
      <w:r>
        <w:t xml:space="preserve">, </w:t>
      </w:r>
      <w:proofErr w:type="spellStart"/>
      <w:r>
        <w:t>visit_quarter</w:t>
      </w:r>
      <w:proofErr w:type="spellEnd"/>
      <w:r>
        <w:t xml:space="preserve">, </w:t>
      </w:r>
      <w:proofErr w:type="spellStart"/>
      <w:r>
        <w:t>visit_dow</w:t>
      </w:r>
      <w:proofErr w:type="spellEnd"/>
      <w:r>
        <w:t xml:space="preserve">: Temporal features extracted from </w:t>
      </w:r>
      <w:proofErr w:type="spellStart"/>
      <w:r>
        <w:t>visit_date</w:t>
      </w:r>
      <w:proofErr w:type="spellEnd"/>
      <w:r>
        <w:t xml:space="preserve"> for seasonality and demand pattern analysis.</w:t>
      </w:r>
    </w:p>
    <w:p w14:paraId="60EE1766" w14:textId="77777777" w:rsidR="00446DA0" w:rsidRDefault="00EB2C8A" w:rsidP="00104B02">
      <w:pPr>
        <w:pStyle w:val="Heading2"/>
        <w:spacing w:before="200" w:after="120"/>
        <w:jc w:val="both"/>
      </w:pPr>
      <w:r>
        <w:rPr>
          <w:b/>
          <w:sz w:val="28"/>
        </w:rPr>
        <w:t>Step 4: Aggregations and KPI Calculations</w:t>
      </w:r>
    </w:p>
    <w:p w14:paraId="29048098" w14:textId="77777777" w:rsidR="00446DA0" w:rsidRDefault="00EB2C8A" w:rsidP="00104B02">
      <w:pPr>
        <w:spacing w:after="100"/>
        <w:jc w:val="both"/>
      </w:pPr>
      <w:r>
        <w:t xml:space="preserve">Five named groupby aggregations were computed to answer distinct operational questions. Each produced a summary </w:t>
      </w:r>
      <w:proofErr w:type="spellStart"/>
      <w:r>
        <w:t>DataFrame</w:t>
      </w:r>
      <w:proofErr w:type="spellEnd"/>
      <w:r>
        <w:t xml:space="preserve"> fed directly into the visualisation layer:</w:t>
      </w:r>
    </w:p>
    <w:p w14:paraId="2CC60736" w14:textId="152D708F" w:rsidR="00446DA0" w:rsidRDefault="00EB2C8A" w:rsidP="00104B02">
      <w:pPr>
        <w:numPr>
          <w:ilvl w:val="0"/>
          <w:numId w:val="5"/>
        </w:numPr>
        <w:spacing w:after="80"/>
        <w:jc w:val="both"/>
      </w:pPr>
      <w:r>
        <w:t xml:space="preserve">Department Summary (4a): total visits, average cost, total spend, average </w:t>
      </w:r>
      <w:r w:rsidR="00C70E64">
        <w:t>LOS (LENGTH OF STAY)</w:t>
      </w:r>
      <w:r>
        <w:t>, average recovery score, and high-risk rate grouped by department.</w:t>
      </w:r>
    </w:p>
    <w:p w14:paraId="440F5ABD" w14:textId="77777777" w:rsidR="00446DA0" w:rsidRDefault="00EB2C8A" w:rsidP="00104B02">
      <w:pPr>
        <w:numPr>
          <w:ilvl w:val="0"/>
          <w:numId w:val="5"/>
        </w:numPr>
        <w:spacing w:after="80"/>
        <w:jc w:val="both"/>
      </w:pPr>
      <w:r>
        <w:t xml:space="preserve">Age Group Profile (4b): average cost, average recovery score, and high-risk percentage grouped by </w:t>
      </w:r>
      <w:proofErr w:type="spellStart"/>
      <w:r>
        <w:t>age_group</w:t>
      </w:r>
      <w:proofErr w:type="spellEnd"/>
      <w:r>
        <w:t>.</w:t>
      </w:r>
    </w:p>
    <w:p w14:paraId="1C18E060" w14:textId="47D98553" w:rsidR="00446DA0" w:rsidRDefault="00EB2C8A" w:rsidP="00104B02">
      <w:pPr>
        <w:numPr>
          <w:ilvl w:val="0"/>
          <w:numId w:val="5"/>
        </w:numPr>
        <w:spacing w:after="80"/>
        <w:jc w:val="both"/>
      </w:pPr>
      <w:r>
        <w:t xml:space="preserve">Visit Type Comparison (4c): average cost, average </w:t>
      </w:r>
      <w:r w:rsidR="00C70E64">
        <w:t>LOS (LENGTH OF STAY)</w:t>
      </w:r>
      <w:r>
        <w:t>, and high-risk rate for Routine vs Emergency.</w:t>
      </w:r>
    </w:p>
    <w:p w14:paraId="016482F1" w14:textId="77777777" w:rsidR="00446DA0" w:rsidRDefault="00EB2C8A" w:rsidP="00104B02">
      <w:pPr>
        <w:numPr>
          <w:ilvl w:val="0"/>
          <w:numId w:val="5"/>
        </w:numPr>
        <w:spacing w:after="80"/>
        <w:jc w:val="both"/>
      </w:pPr>
      <w:r>
        <w:t xml:space="preserve">Monthly Volume Trend (4d): visit count grouped by </w:t>
      </w:r>
      <w:proofErr w:type="spellStart"/>
      <w:r>
        <w:t>visit_month</w:t>
      </w:r>
      <w:proofErr w:type="spellEnd"/>
      <w:r>
        <w:t xml:space="preserve"> for seasonal demand analysis.</w:t>
      </w:r>
    </w:p>
    <w:p w14:paraId="080016A5" w14:textId="77777777" w:rsidR="00446DA0" w:rsidRDefault="00EB2C8A" w:rsidP="00104B02">
      <w:pPr>
        <w:numPr>
          <w:ilvl w:val="0"/>
          <w:numId w:val="5"/>
        </w:numPr>
        <w:spacing w:after="160"/>
        <w:jc w:val="both"/>
      </w:pPr>
      <w:r>
        <w:t>Regional Cost Matrix (4e): average treatment cost grouped by region and department producing a heatmap input matrix.</w:t>
      </w:r>
    </w:p>
    <w:p w14:paraId="0671692D" w14:textId="77777777" w:rsidR="00446DA0" w:rsidRDefault="00EB2C8A" w:rsidP="00104B02">
      <w:pPr>
        <w:pStyle w:val="Heading2"/>
        <w:spacing w:before="200" w:after="120"/>
        <w:jc w:val="both"/>
      </w:pPr>
      <w:r>
        <w:rPr>
          <w:b/>
          <w:sz w:val="28"/>
        </w:rPr>
        <w:t>Step 5: Visual Analytics</w:t>
      </w:r>
    </w:p>
    <w:p w14:paraId="47DC88ED" w14:textId="6EA71F13" w:rsidR="00446DA0" w:rsidRDefault="00EB2C8A" w:rsidP="00104B02">
      <w:pPr>
        <w:spacing w:after="100"/>
        <w:jc w:val="both"/>
      </w:pPr>
      <w:r>
        <w:t>Four charts were produced using Matplotlib and Seaborn</w:t>
      </w:r>
      <w:r w:rsidR="002D11B7">
        <w:t>:</w:t>
      </w:r>
    </w:p>
    <w:p w14:paraId="727DB650" w14:textId="77777777" w:rsidR="00446DA0" w:rsidRDefault="00EB2C8A" w:rsidP="00104B02">
      <w:pPr>
        <w:numPr>
          <w:ilvl w:val="0"/>
          <w:numId w:val="6"/>
        </w:numPr>
        <w:spacing w:after="80"/>
        <w:jc w:val="both"/>
      </w:pPr>
      <w:r>
        <w:t>Plot 1 - Horizontal Bar Chart: Average treatment cost by department, sorted descending, with a dashed reference line at the hospital average of $54,915.</w:t>
      </w:r>
    </w:p>
    <w:p w14:paraId="5BC804DC" w14:textId="77777777" w:rsidR="00446DA0" w:rsidRDefault="00EB2C8A" w:rsidP="00104B02">
      <w:pPr>
        <w:numPr>
          <w:ilvl w:val="0"/>
          <w:numId w:val="6"/>
        </w:numPr>
        <w:spacing w:after="80"/>
        <w:jc w:val="both"/>
      </w:pPr>
      <w:r>
        <w:t>Plot 2 - Stacked Bar Chart: High-risk vs standard-risk patient composition by department, with a reference line at 23.0% hospital average.</w:t>
      </w:r>
    </w:p>
    <w:p w14:paraId="236F580C" w14:textId="77777777" w:rsidR="00446DA0" w:rsidRDefault="00EB2C8A" w:rsidP="00104B02">
      <w:pPr>
        <w:numPr>
          <w:ilvl w:val="0"/>
          <w:numId w:val="6"/>
        </w:numPr>
        <w:spacing w:after="80"/>
        <w:jc w:val="both"/>
      </w:pPr>
      <w:r>
        <w:t>Plot 3 - Scatter Plot with Regression Line: Length of stay vs recovery score per patient, coloured by department, with an OLS regression line and mean crosshair reference lines.</w:t>
      </w:r>
    </w:p>
    <w:p w14:paraId="01917BF6" w14:textId="77777777" w:rsidR="00446DA0" w:rsidRDefault="00EB2C8A" w:rsidP="00104B02">
      <w:pPr>
        <w:numPr>
          <w:ilvl w:val="0"/>
          <w:numId w:val="6"/>
        </w:numPr>
        <w:spacing w:after="160"/>
        <w:jc w:val="both"/>
      </w:pPr>
      <w:r>
        <w:t>Plot 4 - Donut Chart: Patient distribution by visit type (Routine 68.6% vs Emergency 31.4%) with total patient count annotated at centre.</w:t>
      </w:r>
    </w:p>
    <w:p w14:paraId="3E4F61E3" w14:textId="77777777" w:rsidR="00446DA0" w:rsidRDefault="00EB2C8A" w:rsidP="00104B02">
      <w:pPr>
        <w:pStyle w:val="Heading2"/>
        <w:spacing w:before="200" w:after="120"/>
        <w:jc w:val="both"/>
      </w:pPr>
      <w:r>
        <w:rPr>
          <w:b/>
          <w:sz w:val="28"/>
        </w:rPr>
        <w:t>Step 6: Business Application</w:t>
      </w:r>
    </w:p>
    <w:p w14:paraId="066B0966" w14:textId="77777777" w:rsidR="00446DA0" w:rsidRDefault="00EB2C8A" w:rsidP="00104B02">
      <w:pPr>
        <w:spacing w:after="240"/>
        <w:jc w:val="both"/>
      </w:pPr>
      <w:r>
        <w:t>Every analytical finding was mapped to a concrete hospital management decision. The four operational programmes derived from this step are documented in full in Section 5. Each programme includes a named owner, a measurable success metric, and a delivery timeline, converting data output into an executable operational mandate.</w:t>
      </w:r>
    </w:p>
    <w:p w14:paraId="53544FEA" w14:textId="77777777" w:rsidR="00446DA0" w:rsidRDefault="00EB2C8A" w:rsidP="00104B02">
      <w:pPr>
        <w:jc w:val="both"/>
      </w:pPr>
      <w:r>
        <w:rPr>
          <w:b/>
        </w:rPr>
        <w:t>List of Figures</w:t>
      </w:r>
    </w:p>
    <w:p w14:paraId="648AB73F" w14:textId="7575776D" w:rsidR="00446DA0" w:rsidRDefault="00EB2C8A" w:rsidP="00104B02">
      <w:pPr>
        <w:jc w:val="both"/>
      </w:pPr>
      <w:r>
        <w:t>Figure 1 -- Average Treatment Cost by Department (Horizontal Bar Chart) ......................</w:t>
      </w:r>
      <w:r w:rsidR="00B4050A">
        <w:t xml:space="preserve">... </w:t>
      </w:r>
      <w:r>
        <w:t>Section 4, Finding 1</w:t>
      </w:r>
    </w:p>
    <w:p w14:paraId="38A4D3AA" w14:textId="0FB8A50A" w:rsidR="00446DA0" w:rsidRDefault="00EB2C8A" w:rsidP="00104B02">
      <w:pPr>
        <w:jc w:val="both"/>
      </w:pPr>
      <w:r>
        <w:t>Figure 2 -- High-Risk Readmission Rate by Department (Stacked Bar Chart) .....................</w:t>
      </w:r>
      <w:r w:rsidR="00B4050A">
        <w:t>...</w:t>
      </w:r>
      <w:r>
        <w:t xml:space="preserve"> Section 4, Finding 2</w:t>
      </w:r>
    </w:p>
    <w:p w14:paraId="2658EA30" w14:textId="7ECEB040" w:rsidR="00446DA0" w:rsidRDefault="00EB2C8A" w:rsidP="00104B02">
      <w:pPr>
        <w:jc w:val="both"/>
      </w:pPr>
      <w:r>
        <w:t>Figure 3 -- Length of Stay vs Recovery Score (Scatter Plot with Regression Line) ...........</w:t>
      </w:r>
      <w:r w:rsidR="00B4050A">
        <w:t>......</w:t>
      </w:r>
      <w:r>
        <w:t xml:space="preserve"> Section 4, Finding 3</w:t>
      </w:r>
    </w:p>
    <w:p w14:paraId="3C1D0D94" w14:textId="51E0484C" w:rsidR="00446DA0" w:rsidRDefault="00EB2C8A" w:rsidP="00104B02">
      <w:pPr>
        <w:jc w:val="both"/>
      </w:pPr>
      <w:r>
        <w:t>Figure 4 -- Average Treatment Cost and Recovery Score by Age Group (Grouped Bar Chart</w:t>
      </w:r>
      <w:proofErr w:type="gramStart"/>
      <w:r>
        <w:t>)</w:t>
      </w:r>
      <w:r w:rsidR="00B4050A">
        <w:t>.</w:t>
      </w:r>
      <w:r w:rsidR="002D11B7">
        <w:t>.</w:t>
      </w:r>
      <w:proofErr w:type="gramEnd"/>
      <w:r>
        <w:t>Section 4, Finding 4</w:t>
      </w:r>
    </w:p>
    <w:p w14:paraId="419EADF3" w14:textId="77777777" w:rsidR="00446DA0" w:rsidRDefault="00EB2C8A" w:rsidP="00104B02">
      <w:pPr>
        <w:jc w:val="both"/>
      </w:pPr>
      <w:r>
        <w:t>Figure 5 -- Average Recovery Score by Treatment Type (Horizontal Bar Chart) .................. Section 4, Finding 5</w:t>
      </w:r>
    </w:p>
    <w:p w14:paraId="7F840C2E" w14:textId="5DE52598" w:rsidR="00446DA0" w:rsidRDefault="00EB2C8A" w:rsidP="00104B02">
      <w:pPr>
        <w:jc w:val="both"/>
      </w:pPr>
      <w:r>
        <w:t>Figure 6 -- Patient Visit Type Distribution (Donut Chart) ..................................................</w:t>
      </w:r>
      <w:r w:rsidR="002D11B7">
        <w:t>...</w:t>
      </w:r>
      <w:r>
        <w:t xml:space="preserve"> Section 4, Finding 6</w:t>
      </w:r>
    </w:p>
    <w:p w14:paraId="07D436CD" w14:textId="77777777" w:rsidR="00446DA0" w:rsidRDefault="00EB2C8A" w:rsidP="00104B02">
      <w:pPr>
        <w:jc w:val="both"/>
      </w:pPr>
      <w:r>
        <w:t>Figure 7 -- Executive KPI Dashboard (Four-Panel Summary) ............................................... Section 4, Finding 7</w:t>
      </w:r>
    </w:p>
    <w:p w14:paraId="78494E64" w14:textId="5BC964AD" w:rsidR="00E1385F" w:rsidRDefault="00EB2C8A" w:rsidP="00E1385F">
      <w:pPr>
        <w:pStyle w:val="Heading1"/>
        <w:spacing w:after="160"/>
        <w:jc w:val="both"/>
        <w:rPr>
          <w:rFonts w:asciiTheme="minorHAnsi" w:hAnsiTheme="minorHAnsi" w:cstheme="minorHAnsi"/>
          <w:b/>
          <w:color w:val="2F5496" w:themeColor="accent1" w:themeShade="BF"/>
          <w:sz w:val="36"/>
        </w:rPr>
      </w:pPr>
      <w:r w:rsidRPr="00EE13C4">
        <w:rPr>
          <w:rFonts w:asciiTheme="minorHAnsi" w:hAnsiTheme="minorHAnsi" w:cstheme="minorHAnsi"/>
          <w:b/>
          <w:color w:val="2F5496" w:themeColor="accent1" w:themeShade="BF"/>
          <w:sz w:val="36"/>
        </w:rPr>
        <w:lastRenderedPageBreak/>
        <w:t>Live Analysis and KPI Findings</w:t>
      </w:r>
    </w:p>
    <w:p w14:paraId="1F795E7F" w14:textId="77777777" w:rsidR="002B585D" w:rsidRDefault="002B585D">
      <w:pPr>
        <w:rPr>
          <w:kern w:val="2"/>
          <w14:ligatures w14:val="standardContextual"/>
        </w:rPr>
      </w:pPr>
      <w:r>
        <w:t>The following questions were analysed, with the findings presented below.</w:t>
      </w:r>
    </w:p>
    <w:p w14:paraId="0BA904F3" w14:textId="41DA8C68" w:rsidR="00446DA0" w:rsidRDefault="00EB2C8A" w:rsidP="00104B02">
      <w:pPr>
        <w:pStyle w:val="Heading2"/>
        <w:spacing w:before="200" w:after="120"/>
        <w:jc w:val="both"/>
      </w:pPr>
      <w:r>
        <w:rPr>
          <w:b/>
        </w:rPr>
        <w:t>Finding 1: Which medical department incurs the highest total and average treatment cost?</w:t>
      </w:r>
    </w:p>
    <w:p w14:paraId="6E2FA0A9" w14:textId="5A81F174" w:rsidR="00446DA0" w:rsidRDefault="00EB2C8A" w:rsidP="00104B02">
      <w:pPr>
        <w:spacing w:after="100"/>
        <w:jc w:val="both"/>
      </w:pPr>
      <w:r>
        <w:t xml:space="preserve">Neurology posts the highest average cost at $55,762 per visit. Cardiology follows at $55,633. On total spend, </w:t>
      </w:r>
      <w:r w:rsidR="00EE13C4">
        <w:t>Orthopaedics</w:t>
      </w:r>
      <w:r>
        <w:t xml:space="preserve"> leads at $58.1M driven by its largest patient volume of 1,058 visits. All five departments sit within a $2,256 per-visit spread ($53,506 to $55,762), indicating system-wide cost uniformity rather than a single outlier department.</w:t>
      </w:r>
    </w:p>
    <w:p w14:paraId="3433710D" w14:textId="0E809F76" w:rsidR="00446DA0" w:rsidRDefault="00EB2C8A" w:rsidP="00104B02">
      <w:pPr>
        <w:numPr>
          <w:ilvl w:val="0"/>
          <w:numId w:val="7"/>
        </w:numPr>
        <w:spacing w:after="60"/>
        <w:jc w:val="both"/>
      </w:pPr>
      <w:r w:rsidRPr="00EE13C4">
        <w:rPr>
          <w:b/>
          <w:bCs/>
        </w:rPr>
        <w:t>Neurology:</w:t>
      </w:r>
      <w:r>
        <w:t xml:space="preserve"> 967 visits | </w:t>
      </w:r>
      <w:proofErr w:type="spellStart"/>
      <w:r>
        <w:t>Avg</w:t>
      </w:r>
      <w:proofErr w:type="spellEnd"/>
      <w:r>
        <w:t xml:space="preserve"> $55,762 | Total $53.9M | </w:t>
      </w:r>
      <w:proofErr w:type="spellStart"/>
      <w:r>
        <w:t>Avg</w:t>
      </w:r>
      <w:proofErr w:type="spellEnd"/>
      <w:r>
        <w:t xml:space="preserve"> </w:t>
      </w:r>
      <w:r w:rsidR="00C70E64">
        <w:t>LOS (LENGTH OF STAY)</w:t>
      </w:r>
      <w:r>
        <w:t xml:space="preserve"> 4.06d | Risk 23.3%</w:t>
      </w:r>
    </w:p>
    <w:p w14:paraId="3484CABA" w14:textId="6F494712" w:rsidR="00446DA0" w:rsidRDefault="00EB2C8A" w:rsidP="00104B02">
      <w:pPr>
        <w:numPr>
          <w:ilvl w:val="0"/>
          <w:numId w:val="7"/>
        </w:numPr>
        <w:spacing w:after="60"/>
        <w:jc w:val="both"/>
      </w:pPr>
      <w:r w:rsidRPr="00EE13C4">
        <w:rPr>
          <w:b/>
          <w:bCs/>
        </w:rPr>
        <w:t>Cardiology:</w:t>
      </w:r>
      <w:r>
        <w:t xml:space="preserve"> 995 visits | </w:t>
      </w:r>
      <w:proofErr w:type="spellStart"/>
      <w:r>
        <w:t>Avg</w:t>
      </w:r>
      <w:proofErr w:type="spellEnd"/>
      <w:r>
        <w:t xml:space="preserve"> $55,633 | Total $55.4M | </w:t>
      </w:r>
      <w:proofErr w:type="spellStart"/>
      <w:r>
        <w:t>Avg</w:t>
      </w:r>
      <w:proofErr w:type="spellEnd"/>
      <w:r>
        <w:t xml:space="preserve"> </w:t>
      </w:r>
      <w:r w:rsidR="00C70E64">
        <w:t>LOS (LENGTH OF STAY)</w:t>
      </w:r>
      <w:r>
        <w:t xml:space="preserve"> 4.03d | Risk 22.2%</w:t>
      </w:r>
    </w:p>
    <w:p w14:paraId="65621497" w14:textId="3703365C" w:rsidR="00446DA0" w:rsidRDefault="00EE13C4" w:rsidP="00104B02">
      <w:pPr>
        <w:numPr>
          <w:ilvl w:val="0"/>
          <w:numId w:val="7"/>
        </w:numPr>
        <w:spacing w:after="60"/>
        <w:jc w:val="both"/>
      </w:pPr>
      <w:r w:rsidRPr="00EE13C4">
        <w:rPr>
          <w:b/>
          <w:bCs/>
        </w:rPr>
        <w:t>Orthopaedics:</w:t>
      </w:r>
      <w:r>
        <w:t xml:space="preserve"> 1,058 visits | </w:t>
      </w:r>
      <w:proofErr w:type="spellStart"/>
      <w:r>
        <w:t>Avg</w:t>
      </w:r>
      <w:proofErr w:type="spellEnd"/>
      <w:r>
        <w:t xml:space="preserve"> $54,913 | Total $58.1M | </w:t>
      </w:r>
      <w:proofErr w:type="spellStart"/>
      <w:r>
        <w:t>Avg</w:t>
      </w:r>
      <w:proofErr w:type="spellEnd"/>
      <w:r>
        <w:t xml:space="preserve"> </w:t>
      </w:r>
      <w:r w:rsidR="00C70E64">
        <w:t>LOS (LENGTH OF STAY)</w:t>
      </w:r>
      <w:r>
        <w:t xml:space="preserve"> 4.01d | Risk 22.6%</w:t>
      </w:r>
    </w:p>
    <w:p w14:paraId="7EBCC895" w14:textId="3E6E4626" w:rsidR="00446DA0" w:rsidRDefault="00EE13C4" w:rsidP="00104B02">
      <w:pPr>
        <w:numPr>
          <w:ilvl w:val="0"/>
          <w:numId w:val="7"/>
        </w:numPr>
        <w:spacing w:after="60"/>
        <w:jc w:val="both"/>
      </w:pPr>
      <w:r w:rsidRPr="00EE13C4">
        <w:rPr>
          <w:b/>
          <w:bCs/>
        </w:rPr>
        <w:t>Paediatrics:</w:t>
      </w:r>
      <w:r>
        <w:t xml:space="preserve"> 989 visits | </w:t>
      </w:r>
      <w:proofErr w:type="spellStart"/>
      <w:r>
        <w:t>Avg</w:t>
      </w:r>
      <w:proofErr w:type="spellEnd"/>
      <w:r>
        <w:t xml:space="preserve"> $54,782 | Total $54.2M | </w:t>
      </w:r>
      <w:proofErr w:type="spellStart"/>
      <w:r>
        <w:t>Avg</w:t>
      </w:r>
      <w:proofErr w:type="spellEnd"/>
      <w:r>
        <w:t xml:space="preserve"> </w:t>
      </w:r>
      <w:r w:rsidR="00C70E64">
        <w:t>LOS (LENGTH OF STAY)</w:t>
      </w:r>
      <w:r>
        <w:t xml:space="preserve"> 4.14d | Risk 22.9%</w:t>
      </w:r>
    </w:p>
    <w:p w14:paraId="2B67F344" w14:textId="56C78324" w:rsidR="00446DA0" w:rsidRDefault="00EB2C8A" w:rsidP="00104B02">
      <w:pPr>
        <w:numPr>
          <w:ilvl w:val="0"/>
          <w:numId w:val="7"/>
        </w:numPr>
        <w:spacing w:after="160"/>
        <w:jc w:val="both"/>
      </w:pPr>
      <w:r w:rsidRPr="00EE13C4">
        <w:rPr>
          <w:b/>
          <w:bCs/>
        </w:rPr>
        <w:t>General Medicine:</w:t>
      </w:r>
      <w:r>
        <w:t xml:space="preserve"> 991 visits | </w:t>
      </w:r>
      <w:proofErr w:type="spellStart"/>
      <w:r>
        <w:t>Avg</w:t>
      </w:r>
      <w:proofErr w:type="spellEnd"/>
      <w:r>
        <w:t xml:space="preserve"> $53,506 | Total $53.0M | </w:t>
      </w:r>
      <w:proofErr w:type="spellStart"/>
      <w:r>
        <w:t>Avg</w:t>
      </w:r>
      <w:proofErr w:type="spellEnd"/>
      <w:r>
        <w:t xml:space="preserve"> </w:t>
      </w:r>
      <w:r w:rsidR="00C70E64">
        <w:t>LOS (LENGTH OF STAY)</w:t>
      </w:r>
      <w:r>
        <w:t xml:space="preserve"> 4.07d | Risk 24.3%</w:t>
      </w:r>
    </w:p>
    <w:p w14:paraId="4101E040" w14:textId="0004CCBF" w:rsidR="00BE64D6" w:rsidRDefault="00BE64D6" w:rsidP="00104B02">
      <w:pPr>
        <w:jc w:val="both"/>
        <w:rPr>
          <w:i/>
        </w:rPr>
      </w:pPr>
      <w:r>
        <w:rPr>
          <w:noProof/>
        </w:rPr>
        <w:drawing>
          <wp:anchor distT="0" distB="0" distL="114300" distR="114300" simplePos="0" relativeHeight="251660288" behindDoc="0" locked="0" layoutInCell="1" allowOverlap="1" wp14:anchorId="532F7887" wp14:editId="470AA1E6">
            <wp:simplePos x="0" y="0"/>
            <wp:positionH relativeFrom="margin">
              <wp:align>center</wp:align>
            </wp:positionH>
            <wp:positionV relativeFrom="paragraph">
              <wp:posOffset>7962</wp:posOffset>
            </wp:positionV>
            <wp:extent cx="5400000" cy="2956561"/>
            <wp:effectExtent l="19050" t="19050" r="10795" b="15240"/>
            <wp:wrapTopAndBottom/>
            <wp:docPr id="1" name="fig1_cost_by_d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cost_by_dep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2956561"/>
                    </a:xfrm>
                    <a:prstGeom prst="rect">
                      <a:avLst/>
                    </a:prstGeom>
                    <a:ln>
                      <a:solidFill>
                        <a:schemeClr val="tx1"/>
                      </a:solidFill>
                    </a:ln>
                  </pic:spPr>
                </pic:pic>
              </a:graphicData>
            </a:graphic>
          </wp:anchor>
        </w:drawing>
      </w:r>
    </w:p>
    <w:p w14:paraId="4DEC4A59" w14:textId="0435D8C9" w:rsidR="00446DA0" w:rsidRDefault="00EB2C8A" w:rsidP="00104B02">
      <w:pPr>
        <w:jc w:val="both"/>
        <w:rPr>
          <w:iCs/>
        </w:rPr>
      </w:pPr>
      <w:r w:rsidRPr="005666F8">
        <w:rPr>
          <w:b/>
          <w:bCs/>
          <w:i/>
        </w:rPr>
        <w:t>Figure 1. Average treatment cost per visit by department (n=5,000).</w:t>
      </w:r>
      <w:r>
        <w:rPr>
          <w:i/>
        </w:rPr>
        <w:t xml:space="preserve"> </w:t>
      </w:r>
      <w:r w:rsidRPr="005666F8">
        <w:rPr>
          <w:iCs/>
        </w:rPr>
        <w:t xml:space="preserve">Neurology leads at $55,762 and General Medicine trails at $53,506, a total spread of $2,256 -- confirming system-wide cost uniformity rather than a single outlier department. The dashed vertical reference line marks the hospital-wide average of $54,915. </w:t>
      </w:r>
    </w:p>
    <w:p w14:paraId="4C15E176" w14:textId="77777777" w:rsidR="00EE13C4" w:rsidRDefault="00EE13C4" w:rsidP="00104B02">
      <w:pPr>
        <w:jc w:val="both"/>
        <w:rPr>
          <w:iCs/>
        </w:rPr>
      </w:pPr>
    </w:p>
    <w:p w14:paraId="400D8A30" w14:textId="77777777" w:rsidR="00EE13C4" w:rsidRDefault="00EE13C4" w:rsidP="00104B02">
      <w:pPr>
        <w:jc w:val="both"/>
        <w:rPr>
          <w:iCs/>
        </w:rPr>
      </w:pPr>
    </w:p>
    <w:p w14:paraId="2748F3B6" w14:textId="77777777" w:rsidR="00EE13C4" w:rsidRDefault="00EE13C4" w:rsidP="00104B02">
      <w:pPr>
        <w:jc w:val="both"/>
        <w:rPr>
          <w:iCs/>
        </w:rPr>
      </w:pPr>
    </w:p>
    <w:p w14:paraId="6D9F5B96" w14:textId="77777777" w:rsidR="00EE13C4" w:rsidRDefault="00EE13C4" w:rsidP="00104B02">
      <w:pPr>
        <w:jc w:val="both"/>
        <w:rPr>
          <w:iCs/>
        </w:rPr>
      </w:pPr>
    </w:p>
    <w:p w14:paraId="58DBBEC1" w14:textId="77777777" w:rsidR="00EE13C4" w:rsidRDefault="00EE13C4" w:rsidP="00104B02">
      <w:pPr>
        <w:jc w:val="both"/>
        <w:rPr>
          <w:iCs/>
        </w:rPr>
      </w:pPr>
    </w:p>
    <w:p w14:paraId="7027AD44" w14:textId="77777777" w:rsidR="00EE13C4" w:rsidRDefault="00EE13C4" w:rsidP="00104B02">
      <w:pPr>
        <w:jc w:val="both"/>
        <w:rPr>
          <w:iCs/>
        </w:rPr>
      </w:pPr>
    </w:p>
    <w:p w14:paraId="4CCD7255" w14:textId="77777777" w:rsidR="00EE13C4" w:rsidRDefault="00EE13C4" w:rsidP="00104B02">
      <w:pPr>
        <w:jc w:val="both"/>
        <w:rPr>
          <w:iCs/>
        </w:rPr>
      </w:pPr>
    </w:p>
    <w:p w14:paraId="32AB332E" w14:textId="77777777" w:rsidR="00EE13C4" w:rsidRDefault="00EE13C4" w:rsidP="00104B02">
      <w:pPr>
        <w:pStyle w:val="Heading2"/>
        <w:spacing w:before="200" w:after="120"/>
        <w:jc w:val="both"/>
        <w:rPr>
          <w:b/>
        </w:rPr>
      </w:pPr>
    </w:p>
    <w:p w14:paraId="68142CB2" w14:textId="77777777" w:rsidR="00EE13C4" w:rsidRPr="00EE13C4" w:rsidRDefault="00EE13C4" w:rsidP="00EE13C4"/>
    <w:p w14:paraId="2FE17C82" w14:textId="3DD5159E" w:rsidR="00446DA0" w:rsidRDefault="00EB2C8A" w:rsidP="00104B02">
      <w:pPr>
        <w:pStyle w:val="Heading2"/>
        <w:spacing w:before="200" w:after="120"/>
        <w:jc w:val="both"/>
      </w:pPr>
      <w:r>
        <w:rPr>
          <w:b/>
        </w:rPr>
        <w:t>Finding 2: Which department and visit type account for the highest readmission risk?</w:t>
      </w:r>
    </w:p>
    <w:p w14:paraId="787257EC" w14:textId="77777777" w:rsidR="00446DA0" w:rsidRDefault="00EB2C8A" w:rsidP="00104B02">
      <w:pPr>
        <w:spacing w:after="100"/>
        <w:jc w:val="both"/>
      </w:pPr>
      <w:r>
        <w:t>General Medicine has the highest high-risk rate at 24.3% (241 of 991 patients). Routine visits carry a higher high-risk rate (23.4%, 802 patients) than Emergency visits (22.3%, 350 patients). An Emergency-only discharge screen would miss 802 of 1,152 high-risk patients, representing 69.6% of the cohort. General Medicine Routine admissions specifically reach 24.7%.</w:t>
      </w:r>
    </w:p>
    <w:p w14:paraId="55A3EAA0" w14:textId="77777777" w:rsidR="00446DA0" w:rsidRDefault="00EB2C8A" w:rsidP="00104B02">
      <w:pPr>
        <w:numPr>
          <w:ilvl w:val="0"/>
          <w:numId w:val="8"/>
        </w:numPr>
        <w:spacing w:after="60"/>
        <w:jc w:val="both"/>
      </w:pPr>
      <w:r>
        <w:t>General Medicine: 24.3% risk rate | 241 high-risk patients</w:t>
      </w:r>
    </w:p>
    <w:p w14:paraId="0C6CD990" w14:textId="77777777" w:rsidR="00446DA0" w:rsidRDefault="00EB2C8A" w:rsidP="00104B02">
      <w:pPr>
        <w:numPr>
          <w:ilvl w:val="0"/>
          <w:numId w:val="8"/>
        </w:numPr>
        <w:spacing w:after="60"/>
        <w:jc w:val="both"/>
      </w:pPr>
      <w:r>
        <w:t>Neurology: 23.3% risk rate | 225 high-risk patients</w:t>
      </w:r>
    </w:p>
    <w:p w14:paraId="46E33032" w14:textId="77777777" w:rsidR="00446DA0" w:rsidRDefault="00EB2C8A" w:rsidP="00104B02">
      <w:pPr>
        <w:numPr>
          <w:ilvl w:val="0"/>
          <w:numId w:val="8"/>
        </w:numPr>
        <w:spacing w:after="60"/>
        <w:jc w:val="both"/>
      </w:pPr>
      <w:proofErr w:type="spellStart"/>
      <w:r>
        <w:t>Pediatrics</w:t>
      </w:r>
      <w:proofErr w:type="spellEnd"/>
      <w:r>
        <w:t>: 22.9% risk rate | 226 high-risk patients</w:t>
      </w:r>
    </w:p>
    <w:p w14:paraId="14BCC190" w14:textId="77777777" w:rsidR="00446DA0" w:rsidRDefault="00EB2C8A" w:rsidP="00104B02">
      <w:pPr>
        <w:numPr>
          <w:ilvl w:val="0"/>
          <w:numId w:val="8"/>
        </w:numPr>
        <w:spacing w:after="60"/>
        <w:jc w:val="both"/>
      </w:pPr>
      <w:proofErr w:type="spellStart"/>
      <w:r>
        <w:t>Orthopedics</w:t>
      </w:r>
      <w:proofErr w:type="spellEnd"/>
      <w:r>
        <w:t>: 22.6% risk rate | 239 high-risk patients</w:t>
      </w:r>
    </w:p>
    <w:p w14:paraId="285A6B29" w14:textId="77777777" w:rsidR="00446DA0" w:rsidRDefault="00EB2C8A" w:rsidP="00104B02">
      <w:pPr>
        <w:numPr>
          <w:ilvl w:val="0"/>
          <w:numId w:val="8"/>
        </w:numPr>
        <w:spacing w:after="60"/>
        <w:jc w:val="both"/>
      </w:pPr>
      <w:r>
        <w:t>Cardiology: 22.2% risk rate | 221 high-risk patients</w:t>
      </w:r>
    </w:p>
    <w:p w14:paraId="2FCDC010" w14:textId="790A6A64" w:rsidR="00446DA0" w:rsidRDefault="00EE13C4" w:rsidP="00104B02">
      <w:pPr>
        <w:numPr>
          <w:ilvl w:val="0"/>
          <w:numId w:val="8"/>
        </w:numPr>
        <w:spacing w:after="160"/>
        <w:jc w:val="both"/>
      </w:pPr>
      <w:r>
        <w:rPr>
          <w:noProof/>
        </w:rPr>
        <w:drawing>
          <wp:anchor distT="0" distB="0" distL="114300" distR="114300" simplePos="0" relativeHeight="251661312" behindDoc="0" locked="0" layoutInCell="1" allowOverlap="1" wp14:anchorId="41EB5BF1" wp14:editId="1E2686B5">
            <wp:simplePos x="0" y="0"/>
            <wp:positionH relativeFrom="margin">
              <wp:align>center</wp:align>
            </wp:positionH>
            <wp:positionV relativeFrom="paragraph">
              <wp:posOffset>269435</wp:posOffset>
            </wp:positionV>
            <wp:extent cx="5400000" cy="2930487"/>
            <wp:effectExtent l="19050" t="19050" r="10795" b="22860"/>
            <wp:wrapTopAndBottom/>
            <wp:docPr id="2" name="fig2_readmission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eadmission_ris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00" cy="2930487"/>
                    </a:xfrm>
                    <a:prstGeom prst="rect">
                      <a:avLst/>
                    </a:prstGeom>
                    <a:ln>
                      <a:solidFill>
                        <a:schemeClr val="tx1"/>
                      </a:solidFill>
                    </a:ln>
                  </pic:spPr>
                </pic:pic>
              </a:graphicData>
            </a:graphic>
          </wp:anchor>
        </w:drawing>
      </w:r>
      <w:r>
        <w:t xml:space="preserve">Routine </w:t>
      </w:r>
      <w:proofErr w:type="gramStart"/>
      <w:r>
        <w:t>visit</w:t>
      </w:r>
      <w:proofErr w:type="gramEnd"/>
      <w:r>
        <w:t xml:space="preserve"> high-risk rate: 23.4% (802 patients) vs Emergency: 22.3% (350 patients)</w:t>
      </w:r>
    </w:p>
    <w:p w14:paraId="148FB83F" w14:textId="694E39C0" w:rsidR="00EE13C4" w:rsidRDefault="00EE13C4" w:rsidP="00104B02">
      <w:pPr>
        <w:jc w:val="both"/>
        <w:rPr>
          <w:b/>
          <w:bCs/>
          <w:i/>
        </w:rPr>
      </w:pPr>
    </w:p>
    <w:p w14:paraId="1CFA3C53" w14:textId="3846F0C6" w:rsidR="00EE13C4" w:rsidRDefault="00EB2C8A" w:rsidP="00104B02">
      <w:pPr>
        <w:jc w:val="both"/>
        <w:rPr>
          <w:i/>
        </w:rPr>
      </w:pPr>
      <w:r w:rsidRPr="00EE13C4">
        <w:rPr>
          <w:b/>
          <w:bCs/>
          <w:i/>
        </w:rPr>
        <w:t>Figure 2. Proportion of high-risk (readmission risk &gt;= 0.40) vs standard-risk patients by department. General Medicine posts the highest rate at 24.3% (241 of 991 patients); Cardiology the lowest at 22.2% (221 of 995 patients). The dashed reference line marks the hospital-wide average of 23.0%.</w:t>
      </w:r>
      <w:r>
        <w:rPr>
          <w:i/>
        </w:rPr>
        <w:t xml:space="preserve"> </w:t>
      </w:r>
    </w:p>
    <w:p w14:paraId="034DFA30" w14:textId="4B8A8AC3" w:rsidR="00446DA0" w:rsidRDefault="00EB2C8A" w:rsidP="00104B02">
      <w:pPr>
        <w:jc w:val="both"/>
      </w:pPr>
      <w:r w:rsidRPr="00EE13C4">
        <w:rPr>
          <w:iCs/>
        </w:rPr>
        <w:t>The chart also annotates Routine vs Emergency split, confirming Routine pathways produce 69.6% of all high-risk discharges.</w:t>
      </w:r>
    </w:p>
    <w:p w14:paraId="12555FFB" w14:textId="77777777" w:rsidR="00446DA0" w:rsidRDefault="00EB2C8A" w:rsidP="00104B02">
      <w:pPr>
        <w:pStyle w:val="Heading2"/>
        <w:spacing w:before="200" w:after="120"/>
        <w:jc w:val="both"/>
      </w:pPr>
      <w:r>
        <w:rPr>
          <w:b/>
        </w:rPr>
        <w:t>Finding 3: Is there a correlation between length of stay and patient recovery score?</w:t>
      </w:r>
    </w:p>
    <w:p w14:paraId="704FEA0F" w14:textId="661E3878" w:rsidR="00446DA0" w:rsidRDefault="00EB2C8A" w:rsidP="00104B02">
      <w:pPr>
        <w:spacing w:after="100"/>
        <w:jc w:val="both"/>
      </w:pPr>
      <w:r>
        <w:t xml:space="preserve">No meaningful correlation exists. Pearson r = +0.012 (p = 0.3891). Recovery score is essentially independent of how long a patient stays. Binned </w:t>
      </w:r>
      <w:r w:rsidR="00C70E64">
        <w:t>LOS (LENGTH OF STAY)</w:t>
      </w:r>
      <w:r>
        <w:t xml:space="preserve"> analysis confirms this: average recovery moves only from 74.52 (0-2 days) to 75.93 (9-11 days), a 1.41-point range across the entire </w:t>
      </w:r>
      <w:r w:rsidR="00C70E64">
        <w:t>LOS (LENGTH OF STAY)</w:t>
      </w:r>
      <w:r>
        <w:t xml:space="preserve"> spectrum. </w:t>
      </w:r>
      <w:r w:rsidR="00C70E64">
        <w:t>LOS (LENGTH OF STAY)</w:t>
      </w:r>
      <w:r>
        <w:t xml:space="preserve"> reduction programmes carry no evidence-based clinical outcome risk.</w:t>
      </w:r>
    </w:p>
    <w:p w14:paraId="44D34566" w14:textId="535BEF4F" w:rsidR="00446DA0" w:rsidRDefault="00C70E64" w:rsidP="00104B02">
      <w:pPr>
        <w:numPr>
          <w:ilvl w:val="0"/>
          <w:numId w:val="9"/>
        </w:numPr>
        <w:spacing w:after="60"/>
        <w:jc w:val="both"/>
      </w:pPr>
      <w:r>
        <w:t>LOS (LENGTH OF STAY)</w:t>
      </w:r>
      <w:r w:rsidR="00EB2C8A">
        <w:t xml:space="preserve"> 0-2 days: </w:t>
      </w:r>
      <w:proofErr w:type="spellStart"/>
      <w:r w:rsidR="00EB2C8A">
        <w:t>avg</w:t>
      </w:r>
      <w:proofErr w:type="spellEnd"/>
      <w:r w:rsidR="00EB2C8A">
        <w:t xml:space="preserve"> recovery score 74.52</w:t>
      </w:r>
    </w:p>
    <w:p w14:paraId="781A2EF2" w14:textId="3F68477D" w:rsidR="00446DA0" w:rsidRDefault="00C70E64" w:rsidP="00104B02">
      <w:pPr>
        <w:numPr>
          <w:ilvl w:val="0"/>
          <w:numId w:val="9"/>
        </w:numPr>
        <w:spacing w:after="60"/>
        <w:jc w:val="both"/>
      </w:pPr>
      <w:r>
        <w:t>LOS (LENGTH OF STAY)</w:t>
      </w:r>
      <w:r w:rsidR="00EB2C8A">
        <w:t xml:space="preserve"> 3-5 days: </w:t>
      </w:r>
      <w:proofErr w:type="spellStart"/>
      <w:r w:rsidR="00EB2C8A">
        <w:t>avg</w:t>
      </w:r>
      <w:proofErr w:type="spellEnd"/>
      <w:r w:rsidR="00EB2C8A">
        <w:t xml:space="preserve"> recovery score 74.58</w:t>
      </w:r>
    </w:p>
    <w:p w14:paraId="1F87F267" w14:textId="63153323" w:rsidR="00446DA0" w:rsidRDefault="00C70E64" w:rsidP="00104B02">
      <w:pPr>
        <w:numPr>
          <w:ilvl w:val="0"/>
          <w:numId w:val="9"/>
        </w:numPr>
        <w:spacing w:after="60"/>
        <w:jc w:val="both"/>
      </w:pPr>
      <w:r>
        <w:lastRenderedPageBreak/>
        <w:t>LOS (LENGTH OF STAY)</w:t>
      </w:r>
      <w:r w:rsidR="00EB2C8A">
        <w:t xml:space="preserve"> 6-8 days: </w:t>
      </w:r>
      <w:proofErr w:type="spellStart"/>
      <w:r w:rsidR="00EB2C8A">
        <w:t>avg</w:t>
      </w:r>
      <w:proofErr w:type="spellEnd"/>
      <w:r w:rsidR="00EB2C8A">
        <w:t xml:space="preserve"> recovery score 75.06</w:t>
      </w:r>
    </w:p>
    <w:p w14:paraId="3D6B0FE4" w14:textId="224B5CD5" w:rsidR="00446DA0" w:rsidRDefault="00C70E64" w:rsidP="00104B02">
      <w:pPr>
        <w:numPr>
          <w:ilvl w:val="0"/>
          <w:numId w:val="9"/>
        </w:numPr>
        <w:spacing w:after="160"/>
        <w:jc w:val="both"/>
      </w:pPr>
      <w:r>
        <w:t>LOS (LENGTH OF STAY)</w:t>
      </w:r>
      <w:r w:rsidR="00EB2C8A">
        <w:t xml:space="preserve"> 9-11 days: </w:t>
      </w:r>
      <w:proofErr w:type="spellStart"/>
      <w:r w:rsidR="00EB2C8A">
        <w:t>avg</w:t>
      </w:r>
      <w:proofErr w:type="spellEnd"/>
      <w:r w:rsidR="00EB2C8A">
        <w:t xml:space="preserve"> recovery score 75.93</w:t>
      </w:r>
    </w:p>
    <w:p w14:paraId="4F4D79B1" w14:textId="71DF7C8E" w:rsidR="00446DA0" w:rsidRDefault="00B33268" w:rsidP="00104B02">
      <w:pPr>
        <w:pStyle w:val="Heading2"/>
        <w:spacing w:before="200" w:after="120"/>
        <w:jc w:val="both"/>
      </w:pPr>
      <w:r>
        <w:rPr>
          <w:noProof/>
        </w:rPr>
        <w:drawing>
          <wp:anchor distT="0" distB="0" distL="114300" distR="114300" simplePos="0" relativeHeight="251662336" behindDoc="0" locked="0" layoutInCell="1" allowOverlap="1" wp14:anchorId="5E69B887" wp14:editId="0B5C6ABF">
            <wp:simplePos x="0" y="0"/>
            <wp:positionH relativeFrom="margin">
              <wp:align>center</wp:align>
            </wp:positionH>
            <wp:positionV relativeFrom="paragraph">
              <wp:posOffset>327130</wp:posOffset>
            </wp:positionV>
            <wp:extent cx="5532120" cy="3654425"/>
            <wp:effectExtent l="19050" t="19050" r="11430" b="22225"/>
            <wp:wrapTopAndBottom/>
            <wp:docPr id="3" name="fig3_stay_vs_re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stay_vs_recover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2120" cy="3654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rPr>
        <w:t>Finding 4: How does average treatment cost vary across age groups?</w:t>
      </w:r>
    </w:p>
    <w:p w14:paraId="3CE87366" w14:textId="791A7360" w:rsidR="00B33268" w:rsidRPr="00B33268" w:rsidRDefault="00B33268" w:rsidP="00104B02">
      <w:pPr>
        <w:jc w:val="both"/>
        <w:rPr>
          <w:b/>
          <w:bCs/>
          <w:i/>
        </w:rPr>
      </w:pPr>
    </w:p>
    <w:p w14:paraId="43C35A05" w14:textId="77777777" w:rsidR="00B33268" w:rsidRDefault="00EB2C8A" w:rsidP="00B33268">
      <w:pPr>
        <w:jc w:val="both"/>
        <w:rPr>
          <w:i/>
        </w:rPr>
      </w:pPr>
      <w:r w:rsidRPr="00B33268">
        <w:rPr>
          <w:b/>
          <w:bCs/>
          <w:i/>
        </w:rPr>
        <w:t>Figure 3. Scatter plot of individual patient length of stay (x-axis, days) against recovery score (y-axis, 0-100), coloured by department.</w:t>
      </w:r>
      <w:r>
        <w:rPr>
          <w:i/>
        </w:rPr>
        <w:t xml:space="preserve"> </w:t>
      </w:r>
    </w:p>
    <w:p w14:paraId="6A946A19" w14:textId="53046AA5" w:rsidR="00B33268" w:rsidRDefault="00EB2C8A" w:rsidP="00B33268">
      <w:pPr>
        <w:jc w:val="both"/>
        <w:rPr>
          <w:iCs/>
        </w:rPr>
      </w:pPr>
      <w:r w:rsidRPr="00B33268">
        <w:rPr>
          <w:iCs/>
        </w:rPr>
        <w:t xml:space="preserve">The OLS regression line is nearly flat (slope ~0.07), corresponding to Pearson r = +0.012 (p = 0.3891). Mean crosshair reference lines intersect at 4.06 days and 74.72 score. The flat regression line provides the evidence mandate for </w:t>
      </w:r>
      <w:r w:rsidR="00C70E64">
        <w:rPr>
          <w:iCs/>
        </w:rPr>
        <w:t>LOS (LENGTH OF STAY)</w:t>
      </w:r>
      <w:r w:rsidRPr="00B33268">
        <w:rPr>
          <w:iCs/>
        </w:rPr>
        <w:t xml:space="preserve">-reduction initiatives with zero clinical outcome risk. </w:t>
      </w:r>
    </w:p>
    <w:p w14:paraId="231B7892" w14:textId="77777777" w:rsidR="00302D4B" w:rsidRPr="00302D4B" w:rsidRDefault="00302D4B" w:rsidP="00B33268">
      <w:pPr>
        <w:jc w:val="both"/>
        <w:rPr>
          <w:iCs/>
        </w:rPr>
      </w:pPr>
    </w:p>
    <w:p w14:paraId="672B9F6A" w14:textId="77777777" w:rsidR="00446DA0" w:rsidRDefault="00EB2C8A" w:rsidP="00104B02">
      <w:pPr>
        <w:spacing w:after="100"/>
        <w:jc w:val="both"/>
      </w:pPr>
      <w:r>
        <w:t>The 18-30 age group incurs the highest average cost at $55,871, which is $1,951 more per visit than the 60+ cohort at $53,920 - the lowest average despite being the clinically most complex demographic. The 31-45 and 46-60 groups sit near-identically at $54,748 each. The total spread across all four age bands is only $1,951, confirming age group is a weak standalone cost predictor.</w:t>
      </w:r>
    </w:p>
    <w:p w14:paraId="0F8F8545" w14:textId="77777777" w:rsidR="00446DA0" w:rsidRDefault="00EB2C8A" w:rsidP="00104B02">
      <w:pPr>
        <w:numPr>
          <w:ilvl w:val="0"/>
          <w:numId w:val="10"/>
        </w:numPr>
        <w:spacing w:after="60"/>
        <w:jc w:val="both"/>
      </w:pPr>
      <w:r>
        <w:t xml:space="preserve">18-30: $55,871 </w:t>
      </w:r>
      <w:proofErr w:type="spellStart"/>
      <w:r>
        <w:t>avg</w:t>
      </w:r>
      <w:proofErr w:type="spellEnd"/>
      <w:r>
        <w:t xml:space="preserve"> cost | 1,283 patients | Recovery score 74.48 (lowest)</w:t>
      </w:r>
    </w:p>
    <w:p w14:paraId="0FF860CA" w14:textId="77777777" w:rsidR="00446DA0" w:rsidRDefault="00EB2C8A" w:rsidP="00104B02">
      <w:pPr>
        <w:numPr>
          <w:ilvl w:val="0"/>
          <w:numId w:val="10"/>
        </w:numPr>
        <w:spacing w:after="60"/>
        <w:jc w:val="both"/>
      </w:pPr>
      <w:r>
        <w:t xml:space="preserve">46-60: $54,749 </w:t>
      </w:r>
      <w:proofErr w:type="spellStart"/>
      <w:r>
        <w:t>avg</w:t>
      </w:r>
      <w:proofErr w:type="spellEnd"/>
      <w:r>
        <w:t xml:space="preserve"> cost | 1,271 patients | Risk rate 23.8% (highest)</w:t>
      </w:r>
    </w:p>
    <w:p w14:paraId="46A5EC1D" w14:textId="77777777" w:rsidR="00446DA0" w:rsidRDefault="00EB2C8A" w:rsidP="00104B02">
      <w:pPr>
        <w:numPr>
          <w:ilvl w:val="0"/>
          <w:numId w:val="10"/>
        </w:numPr>
        <w:spacing w:after="60"/>
        <w:jc w:val="both"/>
      </w:pPr>
      <w:r>
        <w:t xml:space="preserve">31-45: $54,748 </w:t>
      </w:r>
      <w:proofErr w:type="spellStart"/>
      <w:r>
        <w:t>avg</w:t>
      </w:r>
      <w:proofErr w:type="spellEnd"/>
      <w:r>
        <w:t xml:space="preserve"> cost | 1,716 patients | Risk rate 23.6%</w:t>
      </w:r>
    </w:p>
    <w:p w14:paraId="6660005B" w14:textId="77777777" w:rsidR="00446DA0" w:rsidRDefault="00EB2C8A" w:rsidP="00104B02">
      <w:pPr>
        <w:numPr>
          <w:ilvl w:val="0"/>
          <w:numId w:val="10"/>
        </w:numPr>
        <w:spacing w:after="160"/>
        <w:jc w:val="both"/>
      </w:pPr>
      <w:r>
        <w:t xml:space="preserve">60+: $53,920 </w:t>
      </w:r>
      <w:proofErr w:type="spellStart"/>
      <w:r>
        <w:t>avg</w:t>
      </w:r>
      <w:proofErr w:type="spellEnd"/>
      <w:r>
        <w:t xml:space="preserve"> cost | 730 patients | Risk rate 22.7%</w:t>
      </w:r>
    </w:p>
    <w:p w14:paraId="7BFC3127" w14:textId="77777777" w:rsidR="00302D4B" w:rsidRDefault="00302D4B" w:rsidP="00104B02">
      <w:pPr>
        <w:jc w:val="both"/>
        <w:rPr>
          <w:i/>
        </w:rPr>
      </w:pPr>
    </w:p>
    <w:p w14:paraId="5372936F" w14:textId="77777777" w:rsidR="00302D4B" w:rsidRDefault="00302D4B" w:rsidP="00104B02">
      <w:pPr>
        <w:jc w:val="both"/>
        <w:rPr>
          <w:i/>
        </w:rPr>
      </w:pPr>
    </w:p>
    <w:p w14:paraId="1D4338B8" w14:textId="77777777" w:rsidR="00302D4B" w:rsidRDefault="00302D4B" w:rsidP="00104B02">
      <w:pPr>
        <w:jc w:val="both"/>
        <w:rPr>
          <w:i/>
        </w:rPr>
      </w:pPr>
    </w:p>
    <w:p w14:paraId="5509C3CA" w14:textId="77777777" w:rsidR="00302D4B" w:rsidRDefault="00302D4B" w:rsidP="00104B02">
      <w:pPr>
        <w:jc w:val="both"/>
        <w:rPr>
          <w:i/>
        </w:rPr>
      </w:pPr>
    </w:p>
    <w:p w14:paraId="5687BF8D" w14:textId="77777777" w:rsidR="00302D4B" w:rsidRDefault="00302D4B" w:rsidP="00104B02">
      <w:pPr>
        <w:jc w:val="both"/>
        <w:rPr>
          <w:i/>
        </w:rPr>
      </w:pPr>
    </w:p>
    <w:p w14:paraId="2CEACA58" w14:textId="77777777" w:rsidR="00302D4B" w:rsidRDefault="00302D4B" w:rsidP="00104B02">
      <w:pPr>
        <w:jc w:val="both"/>
        <w:rPr>
          <w:i/>
        </w:rPr>
      </w:pPr>
    </w:p>
    <w:p w14:paraId="22F5EFED" w14:textId="77777777" w:rsidR="00302D4B" w:rsidRDefault="00302D4B" w:rsidP="00104B02">
      <w:pPr>
        <w:jc w:val="both"/>
        <w:rPr>
          <w:i/>
        </w:rPr>
      </w:pPr>
    </w:p>
    <w:p w14:paraId="79A177F8" w14:textId="77777777" w:rsidR="00302D4B" w:rsidRDefault="00302D4B" w:rsidP="00104B02">
      <w:pPr>
        <w:jc w:val="both"/>
        <w:rPr>
          <w:i/>
        </w:rPr>
      </w:pPr>
    </w:p>
    <w:p w14:paraId="68CACD69" w14:textId="77777777" w:rsidR="00302D4B" w:rsidRDefault="00302D4B" w:rsidP="00104B02">
      <w:pPr>
        <w:jc w:val="both"/>
        <w:rPr>
          <w:i/>
        </w:rPr>
      </w:pPr>
    </w:p>
    <w:p w14:paraId="71AB2F33" w14:textId="77777777" w:rsidR="00302D4B" w:rsidRDefault="00302D4B" w:rsidP="00104B02">
      <w:pPr>
        <w:jc w:val="both"/>
        <w:rPr>
          <w:i/>
        </w:rPr>
      </w:pPr>
    </w:p>
    <w:p w14:paraId="2F80C7B5" w14:textId="766DEB0E" w:rsidR="00302D4B" w:rsidRDefault="00302D4B" w:rsidP="00104B02">
      <w:pPr>
        <w:jc w:val="both"/>
        <w:rPr>
          <w:i/>
        </w:rPr>
      </w:pPr>
      <w:r>
        <w:rPr>
          <w:noProof/>
        </w:rPr>
        <w:drawing>
          <wp:anchor distT="0" distB="0" distL="114300" distR="114300" simplePos="0" relativeHeight="251663360" behindDoc="0" locked="0" layoutInCell="1" allowOverlap="1" wp14:anchorId="3B1FE102" wp14:editId="1DA33B4D">
            <wp:simplePos x="0" y="0"/>
            <wp:positionH relativeFrom="margin">
              <wp:align>center</wp:align>
            </wp:positionH>
            <wp:positionV relativeFrom="paragraph">
              <wp:posOffset>372</wp:posOffset>
            </wp:positionV>
            <wp:extent cx="5400000" cy="3036715"/>
            <wp:effectExtent l="19050" t="19050" r="10795" b="11430"/>
            <wp:wrapTopAndBottom/>
            <wp:docPr id="4" name="fig6_age_reg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6_age_region_heatma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30367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10E750D" w14:textId="77777777" w:rsidR="00302D4B" w:rsidRDefault="00EB2C8A" w:rsidP="00302D4B">
      <w:pPr>
        <w:jc w:val="both"/>
        <w:rPr>
          <w:b/>
          <w:bCs/>
          <w:i/>
        </w:rPr>
      </w:pPr>
      <w:r w:rsidRPr="00302D4B">
        <w:rPr>
          <w:b/>
          <w:bCs/>
          <w:i/>
        </w:rPr>
        <w:t>Figure 4. Grouped bar chart showing average treatment cost (primary axis, left) and average recovery score (secondary axis, right) for each age group ordered 18-30, 31-45, 46-60, 60+. The 18-30 bar is tallest for cost ($55,871) yet shortest for recovery (74.48), and the 60+ bar is the reverse -- lowest cost ($53,920) with the highest risk tolerance.</w:t>
      </w:r>
    </w:p>
    <w:p w14:paraId="25C6DC03" w14:textId="52AD5CD9" w:rsidR="00446DA0" w:rsidRDefault="00EB2C8A" w:rsidP="00302D4B">
      <w:pPr>
        <w:jc w:val="both"/>
        <w:rPr>
          <w:iCs/>
        </w:rPr>
      </w:pPr>
      <w:r w:rsidRPr="00302D4B">
        <w:rPr>
          <w:iCs/>
        </w:rPr>
        <w:t xml:space="preserve">The cost-recovery inversion across age groups is the primary counterintuitive finding in the demographic analysis. </w:t>
      </w:r>
    </w:p>
    <w:p w14:paraId="7E313DC9" w14:textId="77777777" w:rsidR="00302D4B" w:rsidRDefault="00302D4B" w:rsidP="00302D4B">
      <w:pPr>
        <w:jc w:val="both"/>
        <w:rPr>
          <w:iCs/>
        </w:rPr>
      </w:pPr>
    </w:p>
    <w:p w14:paraId="532AF785" w14:textId="77777777" w:rsidR="00302D4B" w:rsidRDefault="00302D4B" w:rsidP="00302D4B">
      <w:pPr>
        <w:jc w:val="both"/>
        <w:rPr>
          <w:iCs/>
        </w:rPr>
      </w:pPr>
    </w:p>
    <w:p w14:paraId="2437EAE2" w14:textId="77777777" w:rsidR="00302D4B" w:rsidRDefault="00302D4B" w:rsidP="00302D4B">
      <w:pPr>
        <w:jc w:val="both"/>
        <w:rPr>
          <w:iCs/>
        </w:rPr>
      </w:pPr>
    </w:p>
    <w:p w14:paraId="34E5A7CA" w14:textId="77777777" w:rsidR="00302D4B" w:rsidRDefault="00302D4B" w:rsidP="00302D4B">
      <w:pPr>
        <w:jc w:val="both"/>
        <w:rPr>
          <w:iCs/>
        </w:rPr>
      </w:pPr>
    </w:p>
    <w:p w14:paraId="0B3FFD8D" w14:textId="77777777" w:rsidR="00302D4B" w:rsidRDefault="00302D4B" w:rsidP="00302D4B">
      <w:pPr>
        <w:jc w:val="both"/>
        <w:rPr>
          <w:iCs/>
        </w:rPr>
      </w:pPr>
    </w:p>
    <w:p w14:paraId="513B35D9" w14:textId="77777777" w:rsidR="00302D4B" w:rsidRDefault="00302D4B" w:rsidP="00302D4B">
      <w:pPr>
        <w:jc w:val="both"/>
        <w:rPr>
          <w:iCs/>
        </w:rPr>
      </w:pPr>
    </w:p>
    <w:p w14:paraId="3DCC0B53" w14:textId="77777777" w:rsidR="00302D4B" w:rsidRDefault="00302D4B" w:rsidP="00302D4B">
      <w:pPr>
        <w:jc w:val="both"/>
        <w:rPr>
          <w:iCs/>
        </w:rPr>
      </w:pPr>
    </w:p>
    <w:p w14:paraId="0F30909E" w14:textId="77777777" w:rsidR="00302D4B" w:rsidRDefault="00302D4B" w:rsidP="00302D4B">
      <w:pPr>
        <w:jc w:val="both"/>
        <w:rPr>
          <w:iCs/>
        </w:rPr>
      </w:pPr>
    </w:p>
    <w:p w14:paraId="15B46BF0" w14:textId="77777777" w:rsidR="00302D4B" w:rsidRDefault="00302D4B" w:rsidP="00302D4B">
      <w:pPr>
        <w:jc w:val="both"/>
        <w:rPr>
          <w:iCs/>
        </w:rPr>
      </w:pPr>
    </w:p>
    <w:p w14:paraId="482CEB21" w14:textId="77777777" w:rsidR="00302D4B" w:rsidRDefault="00302D4B" w:rsidP="00302D4B">
      <w:pPr>
        <w:jc w:val="both"/>
        <w:rPr>
          <w:iCs/>
        </w:rPr>
      </w:pPr>
    </w:p>
    <w:p w14:paraId="3C24943C" w14:textId="77777777" w:rsidR="00302D4B" w:rsidRDefault="00302D4B" w:rsidP="00302D4B">
      <w:pPr>
        <w:jc w:val="both"/>
        <w:rPr>
          <w:iCs/>
        </w:rPr>
      </w:pPr>
    </w:p>
    <w:p w14:paraId="553CD66C" w14:textId="77777777" w:rsidR="00302D4B" w:rsidRDefault="00302D4B" w:rsidP="00302D4B">
      <w:pPr>
        <w:jc w:val="both"/>
        <w:rPr>
          <w:iCs/>
        </w:rPr>
      </w:pPr>
    </w:p>
    <w:p w14:paraId="4526F067" w14:textId="77777777" w:rsidR="00302D4B" w:rsidRDefault="00302D4B" w:rsidP="00302D4B">
      <w:pPr>
        <w:jc w:val="both"/>
        <w:rPr>
          <w:iCs/>
        </w:rPr>
      </w:pPr>
    </w:p>
    <w:p w14:paraId="402F7F15" w14:textId="77777777" w:rsidR="00302D4B" w:rsidRDefault="00302D4B" w:rsidP="00302D4B">
      <w:pPr>
        <w:jc w:val="both"/>
        <w:rPr>
          <w:iCs/>
        </w:rPr>
      </w:pPr>
    </w:p>
    <w:p w14:paraId="069CC0DC" w14:textId="77777777" w:rsidR="00302D4B" w:rsidRDefault="00302D4B" w:rsidP="00302D4B">
      <w:pPr>
        <w:jc w:val="both"/>
        <w:rPr>
          <w:iCs/>
        </w:rPr>
      </w:pPr>
    </w:p>
    <w:p w14:paraId="6C584031" w14:textId="77777777" w:rsidR="00302D4B" w:rsidRDefault="00302D4B" w:rsidP="00302D4B">
      <w:pPr>
        <w:jc w:val="both"/>
        <w:rPr>
          <w:iCs/>
        </w:rPr>
      </w:pPr>
    </w:p>
    <w:p w14:paraId="6B5C5A87" w14:textId="77777777" w:rsidR="00302D4B" w:rsidRDefault="00302D4B" w:rsidP="00302D4B">
      <w:pPr>
        <w:jc w:val="both"/>
        <w:rPr>
          <w:iCs/>
        </w:rPr>
      </w:pPr>
    </w:p>
    <w:p w14:paraId="0172A328" w14:textId="77777777" w:rsidR="00302D4B" w:rsidRDefault="00302D4B" w:rsidP="00302D4B">
      <w:pPr>
        <w:jc w:val="both"/>
        <w:rPr>
          <w:iCs/>
        </w:rPr>
      </w:pPr>
    </w:p>
    <w:p w14:paraId="1A465BC6" w14:textId="77777777" w:rsidR="00302D4B" w:rsidRDefault="00302D4B" w:rsidP="00302D4B">
      <w:pPr>
        <w:jc w:val="both"/>
        <w:rPr>
          <w:iCs/>
        </w:rPr>
      </w:pPr>
    </w:p>
    <w:p w14:paraId="3ABE10C0" w14:textId="77777777" w:rsidR="00302D4B" w:rsidRDefault="00302D4B" w:rsidP="00302D4B">
      <w:pPr>
        <w:jc w:val="both"/>
        <w:rPr>
          <w:iCs/>
        </w:rPr>
      </w:pPr>
    </w:p>
    <w:p w14:paraId="0935A66D" w14:textId="77777777" w:rsidR="00302D4B" w:rsidRDefault="00302D4B" w:rsidP="00302D4B">
      <w:pPr>
        <w:jc w:val="both"/>
        <w:rPr>
          <w:iCs/>
        </w:rPr>
      </w:pPr>
    </w:p>
    <w:p w14:paraId="76D2AC39" w14:textId="77777777" w:rsidR="00302D4B" w:rsidRPr="00302D4B" w:rsidRDefault="00302D4B" w:rsidP="00302D4B">
      <w:pPr>
        <w:jc w:val="both"/>
        <w:rPr>
          <w:iCs/>
        </w:rPr>
      </w:pPr>
    </w:p>
    <w:p w14:paraId="58F31423" w14:textId="77777777" w:rsidR="00446DA0" w:rsidRDefault="00EB2C8A" w:rsidP="00104B02">
      <w:pPr>
        <w:pStyle w:val="Heading2"/>
        <w:spacing w:before="200" w:after="120"/>
        <w:jc w:val="both"/>
      </w:pPr>
      <w:r>
        <w:rPr>
          <w:b/>
        </w:rPr>
        <w:t>Finding 5: Which treatment type achieves the highest average recovery score?</w:t>
      </w:r>
    </w:p>
    <w:p w14:paraId="005873A3" w14:textId="77777777" w:rsidR="00446DA0" w:rsidRDefault="00EB2C8A" w:rsidP="00104B02">
      <w:pPr>
        <w:spacing w:after="100"/>
        <w:jc w:val="both"/>
      </w:pPr>
      <w:r>
        <w:t>Observation and Therapy tie at 74.81, marginally ahead of Surgery at 74.70 and Medication at 74.55. The spread across all four modalities is only 0.27 points, making treatment type a statistically negligible predictor of recovery score. All four types span the full possible range (min 33-38, max 100), confirming that within-group patient variance overwhelms any between-group treatment difference.</w:t>
      </w:r>
    </w:p>
    <w:p w14:paraId="5C58DD6D" w14:textId="77777777" w:rsidR="00446DA0" w:rsidRDefault="00EB2C8A" w:rsidP="00104B02">
      <w:pPr>
        <w:numPr>
          <w:ilvl w:val="0"/>
          <w:numId w:val="11"/>
        </w:numPr>
        <w:spacing w:after="60"/>
        <w:jc w:val="both"/>
      </w:pPr>
      <w:r>
        <w:t xml:space="preserve">Observation: 74.81 </w:t>
      </w:r>
      <w:proofErr w:type="spellStart"/>
      <w:r>
        <w:t>avg</w:t>
      </w:r>
      <w:proofErr w:type="spellEnd"/>
      <w:r>
        <w:t xml:space="preserve"> recovery | 1,270 patients | Min 38 | Max 100</w:t>
      </w:r>
    </w:p>
    <w:p w14:paraId="583374B1" w14:textId="77777777" w:rsidR="00446DA0" w:rsidRDefault="00EB2C8A" w:rsidP="00104B02">
      <w:pPr>
        <w:numPr>
          <w:ilvl w:val="0"/>
          <w:numId w:val="11"/>
        </w:numPr>
        <w:spacing w:after="60"/>
        <w:jc w:val="both"/>
      </w:pPr>
      <w:r>
        <w:t xml:space="preserve">Therapy: 74.81 </w:t>
      </w:r>
      <w:proofErr w:type="spellStart"/>
      <w:r>
        <w:t>avg</w:t>
      </w:r>
      <w:proofErr w:type="spellEnd"/>
      <w:r>
        <w:t xml:space="preserve"> recovery | 1,232 patients | Min 33 | Max 100</w:t>
      </w:r>
    </w:p>
    <w:p w14:paraId="49108736" w14:textId="77777777" w:rsidR="00446DA0" w:rsidRDefault="00EB2C8A" w:rsidP="00104B02">
      <w:pPr>
        <w:numPr>
          <w:ilvl w:val="0"/>
          <w:numId w:val="11"/>
        </w:numPr>
        <w:spacing w:after="60"/>
        <w:jc w:val="both"/>
      </w:pPr>
      <w:r>
        <w:t xml:space="preserve">Surgery: 74.70 </w:t>
      </w:r>
      <w:proofErr w:type="spellStart"/>
      <w:r>
        <w:t>avg</w:t>
      </w:r>
      <w:proofErr w:type="spellEnd"/>
      <w:r>
        <w:t xml:space="preserve"> recovery | 1,262 patients | Min 34 | Max 100</w:t>
      </w:r>
    </w:p>
    <w:p w14:paraId="33AD3E47" w14:textId="13D39897" w:rsidR="00302D4B" w:rsidRDefault="00302D4B" w:rsidP="00302D4B">
      <w:pPr>
        <w:numPr>
          <w:ilvl w:val="0"/>
          <w:numId w:val="11"/>
        </w:numPr>
        <w:spacing w:after="160"/>
        <w:jc w:val="both"/>
      </w:pPr>
      <w:r>
        <w:rPr>
          <w:noProof/>
        </w:rPr>
        <w:drawing>
          <wp:anchor distT="0" distB="0" distL="114300" distR="114300" simplePos="0" relativeHeight="251665408" behindDoc="0" locked="0" layoutInCell="1" allowOverlap="1" wp14:anchorId="4C822ECA" wp14:editId="702A3455">
            <wp:simplePos x="0" y="0"/>
            <wp:positionH relativeFrom="margin">
              <wp:align>center</wp:align>
            </wp:positionH>
            <wp:positionV relativeFrom="paragraph">
              <wp:posOffset>316820</wp:posOffset>
            </wp:positionV>
            <wp:extent cx="5400000" cy="2956561"/>
            <wp:effectExtent l="19050" t="19050" r="10795" b="15240"/>
            <wp:wrapTopAndBottom/>
            <wp:docPr id="5" name="fig5_treatment_effic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treatment_efficacy.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2956561"/>
                    </a:xfrm>
                    <a:prstGeom prst="rect">
                      <a:avLst/>
                    </a:prstGeom>
                    <a:ln>
                      <a:solidFill>
                        <a:schemeClr val="tx1"/>
                      </a:solidFill>
                    </a:ln>
                  </pic:spPr>
                </pic:pic>
              </a:graphicData>
            </a:graphic>
          </wp:anchor>
        </w:drawing>
      </w:r>
      <w:r>
        <w:t xml:space="preserve">Medication: 74.55 </w:t>
      </w:r>
      <w:proofErr w:type="spellStart"/>
      <w:r>
        <w:t>avg</w:t>
      </w:r>
      <w:proofErr w:type="spellEnd"/>
      <w:r>
        <w:t xml:space="preserve"> recovery | 1,236 patients | Min 34 | Max 100</w:t>
      </w:r>
    </w:p>
    <w:p w14:paraId="698FDEB5" w14:textId="77777777" w:rsidR="00302D4B" w:rsidRPr="00302D4B" w:rsidRDefault="00302D4B" w:rsidP="00302D4B">
      <w:pPr>
        <w:spacing w:after="160"/>
        <w:jc w:val="both"/>
        <w:rPr>
          <w:sz w:val="6"/>
          <w:szCs w:val="6"/>
        </w:rPr>
      </w:pPr>
    </w:p>
    <w:p w14:paraId="4A1DFF14" w14:textId="77777777" w:rsidR="00302D4B" w:rsidRPr="00302D4B" w:rsidRDefault="00EB2C8A" w:rsidP="00104B02">
      <w:pPr>
        <w:jc w:val="both"/>
        <w:rPr>
          <w:b/>
          <w:bCs/>
          <w:i/>
        </w:rPr>
      </w:pPr>
      <w:r w:rsidRPr="00302D4B">
        <w:rPr>
          <w:b/>
          <w:bCs/>
          <w:i/>
        </w:rPr>
        <w:t xml:space="preserve">Figure 5. Horizontal bar chart of average recovery score per treatment type (Observation, Therapy, Surgery, Medication), sorted descending. Observation and Therapy tie at 74.81; Medication trails at 74.55 -- a total spread of only 0.27 points across 5,000 patients. Error bars show 95% confidence intervals. </w:t>
      </w:r>
    </w:p>
    <w:p w14:paraId="597DD6A8" w14:textId="2889D0DA" w:rsidR="00446DA0" w:rsidRPr="00302D4B" w:rsidRDefault="00EB2C8A" w:rsidP="00104B02">
      <w:pPr>
        <w:jc w:val="both"/>
        <w:rPr>
          <w:iCs/>
        </w:rPr>
      </w:pPr>
      <w:r w:rsidRPr="00302D4B">
        <w:rPr>
          <w:iCs/>
        </w:rPr>
        <w:t xml:space="preserve">The near-zero inter-group spread confirms treatment type is a negligible recovery predictor; within-group patient variance is the dominant effect. </w:t>
      </w:r>
    </w:p>
    <w:p w14:paraId="1653D11C" w14:textId="77777777" w:rsidR="00302D4B" w:rsidRDefault="00302D4B" w:rsidP="00104B02">
      <w:pPr>
        <w:jc w:val="both"/>
      </w:pPr>
    </w:p>
    <w:p w14:paraId="4BA0C89E" w14:textId="2CC0AB9A" w:rsidR="00446DA0" w:rsidRDefault="00446DA0" w:rsidP="00104B02">
      <w:pPr>
        <w:spacing w:line="240" w:lineRule="auto"/>
        <w:jc w:val="both"/>
      </w:pPr>
    </w:p>
    <w:p w14:paraId="297DFB38" w14:textId="77777777" w:rsidR="00F46A93" w:rsidRDefault="00F46A93" w:rsidP="00104B02">
      <w:pPr>
        <w:spacing w:line="240" w:lineRule="auto"/>
        <w:jc w:val="both"/>
      </w:pPr>
    </w:p>
    <w:p w14:paraId="706CE175" w14:textId="77777777" w:rsidR="00F46A93" w:rsidRDefault="00F46A93" w:rsidP="00104B02">
      <w:pPr>
        <w:spacing w:line="240" w:lineRule="auto"/>
        <w:jc w:val="both"/>
      </w:pPr>
    </w:p>
    <w:p w14:paraId="7FFE310E" w14:textId="77777777" w:rsidR="00F46A93" w:rsidRDefault="00F46A93" w:rsidP="00104B02">
      <w:pPr>
        <w:spacing w:line="240" w:lineRule="auto"/>
        <w:jc w:val="both"/>
      </w:pPr>
    </w:p>
    <w:p w14:paraId="6422A12E" w14:textId="77777777" w:rsidR="00F46A93" w:rsidRDefault="00F46A93" w:rsidP="00104B02">
      <w:pPr>
        <w:spacing w:line="240" w:lineRule="auto"/>
        <w:jc w:val="both"/>
      </w:pPr>
    </w:p>
    <w:p w14:paraId="2EDCFE67" w14:textId="77777777" w:rsidR="00F46A93" w:rsidRDefault="00F46A93" w:rsidP="00104B02">
      <w:pPr>
        <w:spacing w:line="240" w:lineRule="auto"/>
        <w:jc w:val="both"/>
      </w:pPr>
    </w:p>
    <w:p w14:paraId="1CBE02D5" w14:textId="77777777" w:rsidR="00F46A93" w:rsidRDefault="00F46A93" w:rsidP="00104B02">
      <w:pPr>
        <w:spacing w:line="240" w:lineRule="auto"/>
        <w:jc w:val="both"/>
      </w:pPr>
    </w:p>
    <w:p w14:paraId="716690E2" w14:textId="77777777" w:rsidR="00F46A93" w:rsidRDefault="00F46A93" w:rsidP="00104B02">
      <w:pPr>
        <w:spacing w:line="240" w:lineRule="auto"/>
        <w:jc w:val="both"/>
      </w:pPr>
    </w:p>
    <w:p w14:paraId="1E6F202D" w14:textId="77777777" w:rsidR="00F46A93" w:rsidRDefault="00F46A93" w:rsidP="00104B02">
      <w:pPr>
        <w:spacing w:line="240" w:lineRule="auto"/>
        <w:jc w:val="both"/>
      </w:pPr>
    </w:p>
    <w:p w14:paraId="26975E29" w14:textId="77777777" w:rsidR="00F46A93" w:rsidRDefault="00F46A93" w:rsidP="00104B02">
      <w:pPr>
        <w:spacing w:line="240" w:lineRule="auto"/>
        <w:jc w:val="both"/>
      </w:pPr>
    </w:p>
    <w:p w14:paraId="317C65CC" w14:textId="77777777" w:rsidR="00F46A93" w:rsidRDefault="00F46A93" w:rsidP="00104B02">
      <w:pPr>
        <w:spacing w:line="240" w:lineRule="auto"/>
        <w:jc w:val="both"/>
      </w:pPr>
    </w:p>
    <w:p w14:paraId="723D2A37" w14:textId="77777777" w:rsidR="00446DA0" w:rsidRDefault="00EB2C8A" w:rsidP="00104B02">
      <w:pPr>
        <w:pStyle w:val="Heading2"/>
        <w:spacing w:before="200" w:after="120"/>
        <w:jc w:val="both"/>
      </w:pPr>
      <w:r>
        <w:rPr>
          <w:b/>
        </w:rPr>
        <w:lastRenderedPageBreak/>
        <w:t>Finding 6: What is the distribution of visit types across all patient records?</w:t>
      </w:r>
    </w:p>
    <w:p w14:paraId="2F897180" w14:textId="77777777" w:rsidR="00446DA0" w:rsidRDefault="00EB2C8A" w:rsidP="00104B02">
      <w:pPr>
        <w:spacing w:after="100"/>
        <w:jc w:val="both"/>
      </w:pPr>
      <w:r>
        <w:t>68.6% of all visits are Routine (3,432 records) and 31.4% are Emergency (1,568 records). The 2.19:1 Routine-to-Emergency ratio is consistent with real-world hospital admission benchmarks. Routine visits contain 802 high-risk discharges vs 350 from Emergency, making the Routine pathway the larger and marginally riskier cohort for readmission intervention.</w:t>
      </w:r>
    </w:p>
    <w:p w14:paraId="46D3F62B" w14:textId="77777777" w:rsidR="00446DA0" w:rsidRDefault="00EB2C8A" w:rsidP="00104B02">
      <w:pPr>
        <w:numPr>
          <w:ilvl w:val="0"/>
          <w:numId w:val="12"/>
        </w:numPr>
        <w:spacing w:after="60"/>
        <w:jc w:val="both"/>
      </w:pPr>
      <w:r>
        <w:t>Routine: 3,432 visits (68.6%) | 802 high-risk discharges (23.4% rate)</w:t>
      </w:r>
    </w:p>
    <w:p w14:paraId="4C97B214" w14:textId="77777777" w:rsidR="00446DA0" w:rsidRDefault="00EB2C8A" w:rsidP="00104B02">
      <w:pPr>
        <w:numPr>
          <w:ilvl w:val="0"/>
          <w:numId w:val="12"/>
        </w:numPr>
        <w:spacing w:after="60"/>
        <w:jc w:val="both"/>
      </w:pPr>
      <w:r>
        <w:t>Emergency: 1,568 visits (31.4%) | 350 high-risk discharges (22.3% rate)</w:t>
      </w:r>
    </w:p>
    <w:p w14:paraId="729776AA" w14:textId="700E767A" w:rsidR="00446DA0" w:rsidRDefault="00F46A93" w:rsidP="00104B02">
      <w:pPr>
        <w:numPr>
          <w:ilvl w:val="0"/>
          <w:numId w:val="12"/>
        </w:numPr>
        <w:spacing w:after="160"/>
        <w:jc w:val="both"/>
      </w:pPr>
      <w:r>
        <w:rPr>
          <w:noProof/>
        </w:rPr>
        <w:drawing>
          <wp:anchor distT="0" distB="0" distL="114300" distR="114300" simplePos="0" relativeHeight="251666432" behindDoc="0" locked="0" layoutInCell="1" allowOverlap="1" wp14:anchorId="0858225B" wp14:editId="7EDC9AC3">
            <wp:simplePos x="0" y="0"/>
            <wp:positionH relativeFrom="margin">
              <wp:align>center</wp:align>
            </wp:positionH>
            <wp:positionV relativeFrom="paragraph">
              <wp:posOffset>237314</wp:posOffset>
            </wp:positionV>
            <wp:extent cx="3051607" cy="3407433"/>
            <wp:effectExtent l="19050" t="19050" r="15875" b="21590"/>
            <wp:wrapTopAndBottom/>
            <wp:docPr id="6" name="fig4_visi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4_visit_distribu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1607" cy="3407433"/>
                    </a:xfrm>
                    <a:prstGeom prst="rect">
                      <a:avLst/>
                    </a:prstGeom>
                    <a:ln>
                      <a:solidFill>
                        <a:schemeClr val="tx1"/>
                      </a:solidFill>
                    </a:ln>
                  </pic:spPr>
                </pic:pic>
              </a:graphicData>
            </a:graphic>
          </wp:anchor>
        </w:drawing>
      </w:r>
      <w:proofErr w:type="spellStart"/>
      <w:r>
        <w:t>Routine:Emergency</w:t>
      </w:r>
      <w:proofErr w:type="spellEnd"/>
      <w:r>
        <w:t xml:space="preserve"> ratio: 2.19:1</w:t>
      </w:r>
    </w:p>
    <w:p w14:paraId="578C904D" w14:textId="03626021" w:rsidR="00F46A93" w:rsidRDefault="00F46A93" w:rsidP="00104B02">
      <w:pPr>
        <w:jc w:val="both"/>
        <w:rPr>
          <w:i/>
        </w:rPr>
      </w:pPr>
    </w:p>
    <w:p w14:paraId="21CA22DE" w14:textId="77777777" w:rsidR="00F46A93" w:rsidRPr="00F46A93" w:rsidRDefault="00EB2C8A" w:rsidP="00104B02">
      <w:pPr>
        <w:jc w:val="both"/>
        <w:rPr>
          <w:b/>
          <w:bCs/>
          <w:i/>
        </w:rPr>
      </w:pPr>
      <w:r w:rsidRPr="00F46A93">
        <w:rPr>
          <w:b/>
          <w:bCs/>
          <w:i/>
        </w:rPr>
        <w:t xml:space="preserve">Figure 6. Donut chart showing the split of 5,000 patient visits between Routine (68.6%, 3,432 records) and Emergency (31.4%, 1,568 records). </w:t>
      </w:r>
    </w:p>
    <w:p w14:paraId="0111C23A" w14:textId="1BD8B849" w:rsidR="00446DA0" w:rsidRDefault="00EB2C8A" w:rsidP="00F46A93">
      <w:pPr>
        <w:jc w:val="both"/>
        <w:rPr>
          <w:iCs/>
        </w:rPr>
      </w:pPr>
      <w:r w:rsidRPr="00F46A93">
        <w:rPr>
          <w:iCs/>
        </w:rPr>
        <w:t xml:space="preserve">Total patient count is annotated at the centre. The 2.19:1 Routine-to-Emergency ratio is consistent with real-world hospital admission benchmarks and establishes that the Routine pathway -- not Emergency -- is the dominant cohort for both volume and high-risk discharge prevalence. </w:t>
      </w:r>
    </w:p>
    <w:p w14:paraId="4D1AC957" w14:textId="77777777" w:rsidR="00F46A93" w:rsidRDefault="00F46A93" w:rsidP="00F46A93">
      <w:pPr>
        <w:jc w:val="both"/>
        <w:rPr>
          <w:iCs/>
        </w:rPr>
      </w:pPr>
    </w:p>
    <w:p w14:paraId="11CC98CA" w14:textId="77777777" w:rsidR="00F46A93" w:rsidRDefault="00F46A93" w:rsidP="00F46A93">
      <w:pPr>
        <w:jc w:val="both"/>
        <w:rPr>
          <w:iCs/>
        </w:rPr>
      </w:pPr>
    </w:p>
    <w:p w14:paraId="48B7569E" w14:textId="77777777" w:rsidR="00F46A93" w:rsidRDefault="00F46A93" w:rsidP="00F46A93">
      <w:pPr>
        <w:jc w:val="both"/>
        <w:rPr>
          <w:iCs/>
        </w:rPr>
      </w:pPr>
    </w:p>
    <w:p w14:paraId="02D2246F" w14:textId="77777777" w:rsidR="00F46A93" w:rsidRDefault="00F46A93" w:rsidP="00F46A93">
      <w:pPr>
        <w:jc w:val="both"/>
        <w:rPr>
          <w:iCs/>
        </w:rPr>
      </w:pPr>
    </w:p>
    <w:p w14:paraId="096513BC" w14:textId="77777777" w:rsidR="00F46A93" w:rsidRDefault="00F46A93" w:rsidP="00F46A93">
      <w:pPr>
        <w:jc w:val="both"/>
        <w:rPr>
          <w:iCs/>
        </w:rPr>
      </w:pPr>
    </w:p>
    <w:p w14:paraId="356F57E3" w14:textId="77777777" w:rsidR="00F46A93" w:rsidRDefault="00F46A93" w:rsidP="00F46A93">
      <w:pPr>
        <w:jc w:val="both"/>
        <w:rPr>
          <w:iCs/>
        </w:rPr>
      </w:pPr>
    </w:p>
    <w:p w14:paraId="01D60A35" w14:textId="77777777" w:rsidR="00F46A93" w:rsidRDefault="00F46A93" w:rsidP="00F46A93">
      <w:pPr>
        <w:jc w:val="both"/>
        <w:rPr>
          <w:iCs/>
        </w:rPr>
      </w:pPr>
    </w:p>
    <w:p w14:paraId="70788E32" w14:textId="77777777" w:rsidR="00F46A93" w:rsidRDefault="00F46A93" w:rsidP="00F46A93">
      <w:pPr>
        <w:jc w:val="both"/>
        <w:rPr>
          <w:iCs/>
        </w:rPr>
      </w:pPr>
    </w:p>
    <w:p w14:paraId="3E928650" w14:textId="77777777" w:rsidR="00F46A93" w:rsidRDefault="00F46A93" w:rsidP="00F46A93">
      <w:pPr>
        <w:jc w:val="both"/>
        <w:rPr>
          <w:iCs/>
        </w:rPr>
      </w:pPr>
    </w:p>
    <w:p w14:paraId="6BE6B898" w14:textId="77777777" w:rsidR="00F46A93" w:rsidRDefault="00F46A93" w:rsidP="00F46A93">
      <w:pPr>
        <w:jc w:val="both"/>
      </w:pPr>
    </w:p>
    <w:p w14:paraId="2154E178" w14:textId="4628D3FF" w:rsidR="00446DA0" w:rsidRDefault="00EB2C8A" w:rsidP="00104B02">
      <w:pPr>
        <w:pStyle w:val="Heading2"/>
        <w:spacing w:before="200" w:after="120"/>
        <w:jc w:val="both"/>
      </w:pPr>
      <w:r>
        <w:rPr>
          <w:b/>
        </w:rPr>
        <w:lastRenderedPageBreak/>
        <w:t xml:space="preserve">Finding 7: What </w:t>
      </w:r>
      <w:r w:rsidR="006F262D">
        <w:rPr>
          <w:b/>
        </w:rPr>
        <w:t>is</w:t>
      </w:r>
      <w:r>
        <w:rPr>
          <w:b/>
        </w:rPr>
        <w:t xml:space="preserve"> the overall hospital-wide KPIs?</w:t>
      </w:r>
    </w:p>
    <w:p w14:paraId="505A8D7D" w14:textId="143C75BC" w:rsidR="00446DA0" w:rsidRDefault="00EB2C8A" w:rsidP="00104B02">
      <w:pPr>
        <w:spacing w:after="100"/>
        <w:jc w:val="both"/>
      </w:pPr>
      <w:r>
        <w:t xml:space="preserve">Hospital-wide average recovery score is 74.72 out of 100 (median 75.0, standard deviation 11.87). Average length of stay is 4.06 days (median 4.0 days, standard deviation 1.93). One standard deviation around the </w:t>
      </w:r>
      <w:r w:rsidR="00C70E64">
        <w:t>LOS (LENGTH OF STAY)</w:t>
      </w:r>
      <w:r>
        <w:t xml:space="preserve"> </w:t>
      </w:r>
      <w:proofErr w:type="gramStart"/>
      <w:r>
        <w:t>mean</w:t>
      </w:r>
      <w:proofErr w:type="gramEnd"/>
      <w:r>
        <w:t xml:space="preserve"> spans 2.13 to 5.99 days, meaning 68% of patients stay between 2.1 and 6.0 days. The treatment cost coefficient of variation is 35.5%, indicating high within-hospital cost dispersion.</w:t>
      </w:r>
    </w:p>
    <w:p w14:paraId="3CF2D209" w14:textId="77777777" w:rsidR="00446DA0" w:rsidRDefault="00EB2C8A" w:rsidP="00104B02">
      <w:pPr>
        <w:numPr>
          <w:ilvl w:val="0"/>
          <w:numId w:val="13"/>
        </w:numPr>
        <w:spacing w:after="60"/>
        <w:jc w:val="both"/>
      </w:pPr>
      <w:r>
        <w:t xml:space="preserve">Total </w:t>
      </w:r>
      <w:proofErr w:type="gramStart"/>
      <w:r>
        <w:t>network</w:t>
      </w:r>
      <w:proofErr w:type="gramEnd"/>
      <w:r>
        <w:t xml:space="preserve"> spend: $274,577,359 across 5,000 visits</w:t>
      </w:r>
    </w:p>
    <w:p w14:paraId="4A70685A" w14:textId="77777777" w:rsidR="00446DA0" w:rsidRDefault="00EB2C8A" w:rsidP="00104B02">
      <w:pPr>
        <w:numPr>
          <w:ilvl w:val="0"/>
          <w:numId w:val="13"/>
        </w:numPr>
        <w:spacing w:after="60"/>
        <w:jc w:val="both"/>
      </w:pPr>
      <w:r>
        <w:t>Average treatment cost: $54,915 (median $55,124, standard deviation $19,481, CV 35.5%)</w:t>
      </w:r>
    </w:p>
    <w:p w14:paraId="556030AA" w14:textId="77777777" w:rsidR="00446DA0" w:rsidRDefault="00EB2C8A" w:rsidP="00104B02">
      <w:pPr>
        <w:numPr>
          <w:ilvl w:val="0"/>
          <w:numId w:val="13"/>
        </w:numPr>
        <w:spacing w:after="60"/>
        <w:jc w:val="both"/>
      </w:pPr>
      <w:r>
        <w:t>Average recovery score: 74.72 out of 100 (median 75.0, gap to maximum: 25.28 points)</w:t>
      </w:r>
    </w:p>
    <w:p w14:paraId="6637E024" w14:textId="77777777" w:rsidR="00446DA0" w:rsidRDefault="00EB2C8A" w:rsidP="00104B02">
      <w:pPr>
        <w:numPr>
          <w:ilvl w:val="0"/>
          <w:numId w:val="13"/>
        </w:numPr>
        <w:spacing w:after="60"/>
        <w:jc w:val="both"/>
      </w:pPr>
      <w:r>
        <w:t>Average length of stay: 4.06 days (P75 threshold: 5.4 days, 1,210 patients exceed P75)</w:t>
      </w:r>
    </w:p>
    <w:p w14:paraId="41732238" w14:textId="3DCA1D99" w:rsidR="001B293C" w:rsidRDefault="001B293C" w:rsidP="001B293C">
      <w:pPr>
        <w:numPr>
          <w:ilvl w:val="0"/>
          <w:numId w:val="13"/>
        </w:numPr>
        <w:spacing w:after="240"/>
        <w:jc w:val="both"/>
      </w:pPr>
      <w:r>
        <w:rPr>
          <w:noProof/>
        </w:rPr>
        <w:drawing>
          <wp:anchor distT="0" distB="0" distL="114300" distR="114300" simplePos="0" relativeHeight="251667456" behindDoc="0" locked="0" layoutInCell="1" allowOverlap="1" wp14:anchorId="08F67327" wp14:editId="2A13AF84">
            <wp:simplePos x="0" y="0"/>
            <wp:positionH relativeFrom="column">
              <wp:posOffset>493395</wp:posOffset>
            </wp:positionH>
            <wp:positionV relativeFrom="paragraph">
              <wp:posOffset>398780</wp:posOffset>
            </wp:positionV>
            <wp:extent cx="5399405" cy="1996440"/>
            <wp:effectExtent l="19050" t="19050" r="10795" b="22860"/>
            <wp:wrapTopAndBottom/>
            <wp:docPr id="7" name="fig7_executive_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executive_kp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9405" cy="1996440"/>
                    </a:xfrm>
                    <a:prstGeom prst="rect">
                      <a:avLst/>
                    </a:prstGeom>
                    <a:ln>
                      <a:solidFill>
                        <a:schemeClr val="tx1"/>
                      </a:solidFill>
                    </a:ln>
                  </pic:spPr>
                </pic:pic>
              </a:graphicData>
            </a:graphic>
            <wp14:sizeRelV relativeFrom="margin">
              <wp14:pctHeight>0</wp14:pctHeight>
            </wp14:sizeRelV>
          </wp:anchor>
        </w:drawing>
      </w:r>
      <w:r>
        <w:t>High readmission risk rate: 23.0% (1,152 of 5,000 patients with risk score &gt;= 0.40)</w:t>
      </w:r>
    </w:p>
    <w:p w14:paraId="23729FE9" w14:textId="77777777" w:rsidR="001B293C" w:rsidRPr="001B293C" w:rsidRDefault="001B293C" w:rsidP="001B293C">
      <w:pPr>
        <w:spacing w:after="240"/>
        <w:jc w:val="both"/>
        <w:rPr>
          <w:sz w:val="12"/>
          <w:szCs w:val="12"/>
        </w:rPr>
      </w:pPr>
    </w:p>
    <w:p w14:paraId="1430AAC3" w14:textId="5B411A3D" w:rsidR="001B293C" w:rsidRDefault="00EB2C8A" w:rsidP="001B293C">
      <w:pPr>
        <w:jc w:val="both"/>
        <w:rPr>
          <w:b/>
          <w:bCs/>
          <w:i/>
        </w:rPr>
      </w:pPr>
      <w:r w:rsidRPr="001B293C">
        <w:rPr>
          <w:b/>
          <w:bCs/>
          <w:i/>
        </w:rPr>
        <w:t xml:space="preserve">Figure 7. Four-panel executive dashboard summarising hospital-wide KPIs: (top-left) total network spend $274,577,359 with cost distribution histogram; (top-right) average treatment cost $54,915 vs recovery score 74.72 scatter by department; (bottom-left) average </w:t>
      </w:r>
      <w:r w:rsidR="00C70E64">
        <w:rPr>
          <w:b/>
          <w:bCs/>
          <w:i/>
        </w:rPr>
        <w:t>LOS (LENGTH OF STAY)</w:t>
      </w:r>
      <w:r w:rsidRPr="001B293C">
        <w:rPr>
          <w:b/>
          <w:bCs/>
          <w:i/>
        </w:rPr>
        <w:t xml:space="preserve"> 4.06 days with P75 threshold at 5.4 days annotated; (bottom-right) high-risk patient rate 23.0% (1,152 of 5,000) broken down by visit type. </w:t>
      </w:r>
    </w:p>
    <w:p w14:paraId="31C1F2D8" w14:textId="30FD9B0C" w:rsidR="00446DA0" w:rsidRDefault="00EB2C8A" w:rsidP="001B293C">
      <w:pPr>
        <w:jc w:val="both"/>
        <w:rPr>
          <w:iCs/>
        </w:rPr>
      </w:pPr>
      <w:r w:rsidRPr="001B293C">
        <w:rPr>
          <w:iCs/>
        </w:rPr>
        <w:t xml:space="preserve">This single panel provides the complete operational snapshot that drives the four recommendations </w:t>
      </w:r>
      <w:r w:rsidR="00F41D35">
        <w:rPr>
          <w:iCs/>
        </w:rPr>
        <w:t>for the next part.</w:t>
      </w:r>
    </w:p>
    <w:p w14:paraId="1B3822C0" w14:textId="77777777" w:rsidR="00F41D35" w:rsidRDefault="00F41D35" w:rsidP="001B293C">
      <w:pPr>
        <w:jc w:val="both"/>
        <w:rPr>
          <w:iCs/>
        </w:rPr>
      </w:pPr>
    </w:p>
    <w:p w14:paraId="52AA62D0" w14:textId="77777777" w:rsidR="00F41D35" w:rsidRDefault="00F41D35" w:rsidP="001B293C">
      <w:pPr>
        <w:jc w:val="both"/>
        <w:rPr>
          <w:iCs/>
        </w:rPr>
      </w:pPr>
    </w:p>
    <w:p w14:paraId="56BBF8C4" w14:textId="77777777" w:rsidR="00F41D35" w:rsidRDefault="00F41D35" w:rsidP="001B293C">
      <w:pPr>
        <w:jc w:val="both"/>
        <w:rPr>
          <w:iCs/>
        </w:rPr>
      </w:pPr>
    </w:p>
    <w:p w14:paraId="258EA469" w14:textId="77777777" w:rsidR="00F41D35" w:rsidRDefault="00F41D35" w:rsidP="001B293C">
      <w:pPr>
        <w:jc w:val="both"/>
        <w:rPr>
          <w:iCs/>
        </w:rPr>
      </w:pPr>
    </w:p>
    <w:p w14:paraId="59780938" w14:textId="77777777" w:rsidR="00F41D35" w:rsidRDefault="00F41D35" w:rsidP="001B293C">
      <w:pPr>
        <w:jc w:val="both"/>
        <w:rPr>
          <w:iCs/>
        </w:rPr>
      </w:pPr>
    </w:p>
    <w:p w14:paraId="307E55BE" w14:textId="77777777" w:rsidR="00F41D35" w:rsidRDefault="00F41D35" w:rsidP="001B293C">
      <w:pPr>
        <w:jc w:val="both"/>
        <w:rPr>
          <w:iCs/>
        </w:rPr>
      </w:pPr>
    </w:p>
    <w:p w14:paraId="5EB5F24D" w14:textId="77777777" w:rsidR="00F41D35" w:rsidRDefault="00F41D35" w:rsidP="001B293C">
      <w:pPr>
        <w:jc w:val="both"/>
        <w:rPr>
          <w:iCs/>
        </w:rPr>
      </w:pPr>
    </w:p>
    <w:p w14:paraId="50F6EDF5" w14:textId="77777777" w:rsidR="00F41D35" w:rsidRDefault="00F41D35" w:rsidP="001B293C">
      <w:pPr>
        <w:jc w:val="both"/>
        <w:rPr>
          <w:iCs/>
        </w:rPr>
      </w:pPr>
    </w:p>
    <w:p w14:paraId="0A0E4DA5" w14:textId="77777777" w:rsidR="00F41D35" w:rsidRDefault="00F41D35" w:rsidP="001B293C">
      <w:pPr>
        <w:jc w:val="both"/>
        <w:rPr>
          <w:iCs/>
        </w:rPr>
      </w:pPr>
    </w:p>
    <w:p w14:paraId="6B927894" w14:textId="77777777" w:rsidR="00F41D35" w:rsidRDefault="00F41D35" w:rsidP="001B293C">
      <w:pPr>
        <w:jc w:val="both"/>
        <w:rPr>
          <w:iCs/>
        </w:rPr>
      </w:pPr>
    </w:p>
    <w:p w14:paraId="4C45FA9F" w14:textId="77777777" w:rsidR="00F41D35" w:rsidRDefault="00F41D35" w:rsidP="001B293C">
      <w:pPr>
        <w:jc w:val="both"/>
        <w:rPr>
          <w:iCs/>
        </w:rPr>
      </w:pPr>
    </w:p>
    <w:p w14:paraId="7CCD3B6C" w14:textId="77777777" w:rsidR="00F41D35" w:rsidRDefault="00F41D35" w:rsidP="001B293C">
      <w:pPr>
        <w:jc w:val="both"/>
        <w:rPr>
          <w:iCs/>
        </w:rPr>
      </w:pPr>
    </w:p>
    <w:p w14:paraId="5091FE5D" w14:textId="77777777" w:rsidR="00F41D35" w:rsidRPr="001B293C" w:rsidRDefault="00F41D35" w:rsidP="001B293C">
      <w:pPr>
        <w:jc w:val="both"/>
        <w:rPr>
          <w:b/>
          <w:bCs/>
          <w:i/>
        </w:rPr>
      </w:pPr>
    </w:p>
    <w:p w14:paraId="788E1531" w14:textId="4406D0C3" w:rsidR="00446DA0" w:rsidRPr="009C7985" w:rsidRDefault="00EB2C8A" w:rsidP="00104B02">
      <w:pPr>
        <w:pStyle w:val="Heading1"/>
        <w:spacing w:after="160"/>
        <w:jc w:val="both"/>
        <w:rPr>
          <w:rFonts w:asciiTheme="minorHAnsi" w:hAnsiTheme="minorHAnsi" w:cstheme="minorHAnsi"/>
        </w:rPr>
      </w:pPr>
      <w:r w:rsidRPr="009C7985">
        <w:rPr>
          <w:rFonts w:asciiTheme="minorHAnsi" w:hAnsiTheme="minorHAnsi" w:cstheme="minorHAnsi"/>
          <w:b/>
          <w:sz w:val="36"/>
        </w:rPr>
        <w:lastRenderedPageBreak/>
        <w:t>Business Decisions and Actionable Recommendations</w:t>
      </w:r>
    </w:p>
    <w:p w14:paraId="493538DE" w14:textId="77777777" w:rsidR="00F20FD5" w:rsidRDefault="00F20FD5" w:rsidP="00F20FD5">
      <w:pPr>
        <w:pStyle w:val="Heading2"/>
        <w:spacing w:before="200" w:after="120"/>
        <w:jc w:val="both"/>
        <w:rPr>
          <w:kern w:val="2"/>
          <w14:ligatures w14:val="standardContextual"/>
        </w:rPr>
      </w:pPr>
      <w:r>
        <w:rPr>
          <w:rFonts w:ascii="Calibri" w:hAnsi="Calibri" w:cs="Calibri"/>
          <w:color w:val="auto"/>
          <w:sz w:val="22"/>
          <w:szCs w:val="22"/>
        </w:rPr>
        <w:t>The following recommendations translate the analytical findings into practical, measurable actions for improving hospital efficiency, patient outcomes, and cost management.</w:t>
      </w:r>
    </w:p>
    <w:p w14:paraId="2E906D1D" w14:textId="1565497B" w:rsidR="00446DA0" w:rsidRDefault="00EB2C8A" w:rsidP="00104B02">
      <w:pPr>
        <w:pStyle w:val="Heading2"/>
        <w:spacing w:before="200" w:after="120"/>
        <w:jc w:val="both"/>
      </w:pPr>
      <w:r>
        <w:rPr>
          <w:b/>
          <w:sz w:val="28"/>
        </w:rPr>
        <w:t>Recommendation 1: Bed and Capacity Management</w:t>
      </w:r>
    </w:p>
    <w:p w14:paraId="58EEDFF4" w14:textId="77777777" w:rsidR="00520872" w:rsidRDefault="00EB2C8A" w:rsidP="00104B02">
      <w:pPr>
        <w:spacing w:after="120"/>
        <w:jc w:val="both"/>
      </w:pPr>
      <w:r>
        <w:t xml:space="preserve">Data Anchor: </w:t>
      </w:r>
    </w:p>
    <w:p w14:paraId="75B6AB9A" w14:textId="5A4C27CB" w:rsidR="00446DA0" w:rsidRDefault="00EB2C8A" w:rsidP="00104B02">
      <w:pPr>
        <w:spacing w:after="120"/>
        <w:jc w:val="both"/>
      </w:pPr>
      <w:r>
        <w:t xml:space="preserve">Average </w:t>
      </w:r>
      <w:r w:rsidR="00C70E64">
        <w:t>LOS (LENGTH OF STAY)</w:t>
      </w:r>
      <w:r>
        <w:t xml:space="preserve"> = 4.06 days (P75 = 5.4 days). 1,210 patients (24.2%) exceed P75. Pearson r between </w:t>
      </w:r>
      <w:r w:rsidR="00C70E64">
        <w:t>LOS (LENGTH OF STAY)</w:t>
      </w:r>
      <w:r>
        <w:t xml:space="preserve"> and recovery = +0.012 confirming zero clinical risk from </w:t>
      </w:r>
      <w:r w:rsidR="00C70E64">
        <w:t>LOS (LENGTH OF STAY)</w:t>
      </w:r>
      <w:r>
        <w:t xml:space="preserve"> reduction. </w:t>
      </w:r>
      <w:proofErr w:type="spellStart"/>
      <w:r>
        <w:t>Pediatrics</w:t>
      </w:r>
      <w:proofErr w:type="spellEnd"/>
      <w:r>
        <w:t xml:space="preserve"> leads at 4.14 days mean. Emergency visits average 4.10 days vs Routine at 4.04 days.</w:t>
      </w:r>
    </w:p>
    <w:p w14:paraId="3EAA376A" w14:textId="77777777" w:rsidR="00474576" w:rsidRDefault="00EB2C8A" w:rsidP="005E6970">
      <w:pPr>
        <w:numPr>
          <w:ilvl w:val="0"/>
          <w:numId w:val="14"/>
        </w:numPr>
        <w:spacing w:after="100"/>
        <w:jc w:val="both"/>
      </w:pPr>
      <w:r w:rsidRPr="005E6970">
        <w:rPr>
          <w:b/>
          <w:bCs/>
        </w:rPr>
        <w:t>Initiative 1A - P75 Discharge Review Trigger:</w:t>
      </w:r>
      <w:r>
        <w:t xml:space="preserve"> </w:t>
      </w:r>
    </w:p>
    <w:p w14:paraId="721EC356" w14:textId="02101960" w:rsidR="005E6970" w:rsidRDefault="00EB2C8A" w:rsidP="00474576">
      <w:pPr>
        <w:spacing w:after="100"/>
        <w:ind w:left="720"/>
        <w:jc w:val="both"/>
      </w:pPr>
      <w:r>
        <w:t>Flag any patient reaching 5.4 inpatient days for an automatic daily discharge review. Clinical teams assess whether continued admission can transition to community care or outpatient follow-up.</w:t>
      </w:r>
    </w:p>
    <w:p w14:paraId="1721E6ED" w14:textId="21860FF0" w:rsidR="005E6970" w:rsidRDefault="00EB2C8A" w:rsidP="005E6970">
      <w:pPr>
        <w:spacing w:after="100"/>
        <w:ind w:left="720"/>
        <w:jc w:val="both"/>
      </w:pPr>
      <w:r>
        <w:t xml:space="preserve">Target: </w:t>
      </w:r>
      <w:r w:rsidR="006B6300">
        <w:t>R</w:t>
      </w:r>
      <w:r>
        <w:t xml:space="preserve">educe mean </w:t>
      </w:r>
      <w:r w:rsidR="00C70E64">
        <w:t>LOS (LENGTH OF STAY)</w:t>
      </w:r>
      <w:r>
        <w:t xml:space="preserve"> from 4.06 to 3.80 days within two quarters. </w:t>
      </w:r>
    </w:p>
    <w:p w14:paraId="71026A21" w14:textId="77777777" w:rsidR="005E6970" w:rsidRDefault="00EB2C8A" w:rsidP="005E6970">
      <w:pPr>
        <w:spacing w:after="100"/>
        <w:ind w:left="720"/>
        <w:jc w:val="both"/>
      </w:pPr>
      <w:r>
        <w:t xml:space="preserve">Owner: Bed Management Lead. </w:t>
      </w:r>
    </w:p>
    <w:p w14:paraId="7BE22A61" w14:textId="32D4C3E1" w:rsidR="00446DA0" w:rsidRDefault="00EB2C8A" w:rsidP="005E6970">
      <w:pPr>
        <w:spacing w:after="100"/>
        <w:ind w:left="720"/>
        <w:jc w:val="both"/>
      </w:pPr>
      <w:r>
        <w:t xml:space="preserve">Measure: Mean </w:t>
      </w:r>
      <w:r w:rsidR="00C70E64">
        <w:t>LOS (LENGTH OF STAY)</w:t>
      </w:r>
      <w:r>
        <w:t xml:space="preserve"> tracked monthly per department.</w:t>
      </w:r>
    </w:p>
    <w:p w14:paraId="1FE0B7F1" w14:textId="503CECE5" w:rsidR="00474576" w:rsidRPr="00474576" w:rsidRDefault="00EB2C8A" w:rsidP="00F67BC6">
      <w:pPr>
        <w:numPr>
          <w:ilvl w:val="0"/>
          <w:numId w:val="14"/>
        </w:numPr>
        <w:spacing w:after="100"/>
        <w:jc w:val="both"/>
      </w:pPr>
      <w:r w:rsidRPr="00F67BC6">
        <w:rPr>
          <w:b/>
          <w:bCs/>
        </w:rPr>
        <w:t xml:space="preserve">Initiative 1B - </w:t>
      </w:r>
      <w:r w:rsidR="00474576" w:rsidRPr="00F67BC6">
        <w:rPr>
          <w:b/>
          <w:bCs/>
        </w:rPr>
        <w:t>Paediatrics</w:t>
      </w:r>
      <w:r w:rsidRPr="00F67BC6">
        <w:rPr>
          <w:b/>
          <w:bCs/>
        </w:rPr>
        <w:t xml:space="preserve"> Case-Mix Audit: </w:t>
      </w:r>
    </w:p>
    <w:p w14:paraId="5F14D3F8" w14:textId="20B3B76A" w:rsidR="00F67BC6" w:rsidRDefault="00474576" w:rsidP="00474576">
      <w:pPr>
        <w:spacing w:after="100"/>
        <w:ind w:left="720"/>
        <w:jc w:val="both"/>
      </w:pPr>
      <w:r>
        <w:t xml:space="preserve">Paediatrics leads all departments at 4.14 days mean </w:t>
      </w:r>
      <w:r w:rsidR="00C70E64">
        <w:t>LOS (LENGTH OF STAY)</w:t>
      </w:r>
      <w:r>
        <w:t xml:space="preserve"> (0.08 days above hospital average). The Paediatrics Clinical Director and Operations Manager jointly review top-quartile </w:t>
      </w:r>
      <w:r w:rsidR="00C70E64">
        <w:t>LOS (LENGTH OF STAY)</w:t>
      </w:r>
      <w:r>
        <w:t xml:space="preserve"> cases within 30 days, identifying whether the driver is procedure complexity, discharge pathway delay, or consent process. A 60-day remediation plan follows. </w:t>
      </w:r>
    </w:p>
    <w:p w14:paraId="2E80B9C2" w14:textId="5F926BA0" w:rsidR="00446DA0" w:rsidRDefault="00EB2C8A" w:rsidP="00F67BC6">
      <w:pPr>
        <w:spacing w:after="100"/>
        <w:ind w:left="720"/>
        <w:jc w:val="both"/>
      </w:pPr>
      <w:r>
        <w:t xml:space="preserve">Owner: </w:t>
      </w:r>
      <w:r w:rsidR="00474576">
        <w:t>Paediatrics</w:t>
      </w:r>
      <w:r>
        <w:t xml:space="preserve"> Clinical Director and Ops Manager.</w:t>
      </w:r>
    </w:p>
    <w:p w14:paraId="5280A33E" w14:textId="19669403" w:rsidR="00EA11FF" w:rsidRDefault="00EB2C8A" w:rsidP="00104B02">
      <w:pPr>
        <w:numPr>
          <w:ilvl w:val="0"/>
          <w:numId w:val="14"/>
        </w:numPr>
        <w:spacing w:after="100"/>
        <w:jc w:val="both"/>
      </w:pPr>
      <w:r w:rsidRPr="006B6300">
        <w:rPr>
          <w:b/>
          <w:bCs/>
        </w:rPr>
        <w:t>Initiative 1C - Zero-</w:t>
      </w:r>
      <w:r w:rsidR="00C70E64">
        <w:rPr>
          <w:b/>
          <w:bCs/>
        </w:rPr>
        <w:t>LOS (LENGTH OF STAY)</w:t>
      </w:r>
      <w:r w:rsidRPr="006B6300">
        <w:rPr>
          <w:b/>
          <w:bCs/>
        </w:rPr>
        <w:t xml:space="preserve"> Day-Procedure Pathway</w:t>
      </w:r>
      <w:r>
        <w:t xml:space="preserve">: </w:t>
      </w:r>
    </w:p>
    <w:p w14:paraId="15C92BB6" w14:textId="7E5C7BC0" w:rsidR="006B6300" w:rsidRDefault="00EB2C8A" w:rsidP="00EA11FF">
      <w:pPr>
        <w:spacing w:after="100"/>
        <w:ind w:left="720"/>
        <w:jc w:val="both"/>
      </w:pPr>
      <w:r>
        <w:t xml:space="preserve">The 16 same-day discharge patients are currently pooled in inpatient bed accounting, distorting </w:t>
      </w:r>
      <w:r w:rsidR="00C70E64">
        <w:t>LOS (LENGTH OF STAY)</w:t>
      </w:r>
      <w:r>
        <w:t xml:space="preserve"> averages. Formalise a dedicated day-procedure pathway that removes these records from inpatient metrics. </w:t>
      </w:r>
    </w:p>
    <w:p w14:paraId="1FB209F7" w14:textId="77777777" w:rsidR="006B6300" w:rsidRDefault="00EB2C8A" w:rsidP="006B6300">
      <w:pPr>
        <w:spacing w:after="100"/>
        <w:ind w:left="720"/>
        <w:jc w:val="both"/>
      </w:pPr>
      <w:r>
        <w:t xml:space="preserve">Owner: Operations. </w:t>
      </w:r>
    </w:p>
    <w:p w14:paraId="1B631E52" w14:textId="619EAF25" w:rsidR="00446DA0" w:rsidRDefault="00EB2C8A" w:rsidP="006B6300">
      <w:pPr>
        <w:spacing w:after="100"/>
        <w:ind w:left="720"/>
        <w:jc w:val="both"/>
      </w:pPr>
      <w:r>
        <w:t>Measure: Zero same-day records counted as inpatient bed-days.</w:t>
      </w:r>
    </w:p>
    <w:p w14:paraId="1BA6247D" w14:textId="77777777" w:rsidR="00EA11FF" w:rsidRDefault="00EB2C8A" w:rsidP="00104B02">
      <w:pPr>
        <w:numPr>
          <w:ilvl w:val="0"/>
          <w:numId w:val="14"/>
        </w:numPr>
        <w:spacing w:after="160"/>
        <w:jc w:val="both"/>
      </w:pPr>
      <w:r w:rsidRPr="006B6300">
        <w:rPr>
          <w:b/>
          <w:bCs/>
        </w:rPr>
        <w:t>Initiative 1D - Emergency Surge Protocol with Volume Trigger:</w:t>
      </w:r>
      <w:r>
        <w:t xml:space="preserve"> </w:t>
      </w:r>
    </w:p>
    <w:p w14:paraId="6B7F4399" w14:textId="2C0374D7" w:rsidR="006B6300" w:rsidRDefault="00EB2C8A" w:rsidP="00EA11FF">
      <w:pPr>
        <w:spacing w:after="160"/>
        <w:ind w:left="720"/>
        <w:jc w:val="both"/>
      </w:pPr>
      <w:r>
        <w:t>Activate surge protocol when Emergency visit count in any rolling 7-day window exceeds the monthly average by 15%. Protocol releases pre-designated flex beds from elective Routine cases and deploys on-call discharge coordinators within 4 hours.</w:t>
      </w:r>
    </w:p>
    <w:p w14:paraId="24CB8490" w14:textId="2EA95D95" w:rsidR="006B6300" w:rsidRDefault="00EB2C8A" w:rsidP="006B6300">
      <w:pPr>
        <w:spacing w:after="160"/>
        <w:ind w:left="720"/>
        <w:jc w:val="both"/>
      </w:pPr>
      <w:r>
        <w:t xml:space="preserve">Owner: Emergency Dept Head and Bed Management. </w:t>
      </w:r>
    </w:p>
    <w:p w14:paraId="448EF745" w14:textId="0C5144DD" w:rsidR="00446DA0" w:rsidRDefault="00EB2C8A" w:rsidP="006B6300">
      <w:pPr>
        <w:spacing w:after="160"/>
        <w:ind w:left="720"/>
        <w:jc w:val="both"/>
      </w:pPr>
      <w:r>
        <w:t>Measure: Time-to-flex-bed activation target under 4 hours.</w:t>
      </w:r>
    </w:p>
    <w:p w14:paraId="3D9B2D2A" w14:textId="77777777" w:rsidR="006B6300" w:rsidRDefault="006B6300" w:rsidP="006B6300">
      <w:pPr>
        <w:spacing w:after="160"/>
        <w:ind w:left="720"/>
        <w:jc w:val="both"/>
      </w:pPr>
    </w:p>
    <w:p w14:paraId="4B27D007" w14:textId="77777777" w:rsidR="006B6300" w:rsidRDefault="006B6300" w:rsidP="006B6300">
      <w:pPr>
        <w:spacing w:after="160"/>
        <w:ind w:left="720"/>
        <w:jc w:val="both"/>
      </w:pPr>
    </w:p>
    <w:p w14:paraId="5153531B" w14:textId="77777777" w:rsidR="006B6300" w:rsidRDefault="006B6300" w:rsidP="00EA11FF">
      <w:pPr>
        <w:spacing w:after="160"/>
        <w:jc w:val="both"/>
      </w:pPr>
    </w:p>
    <w:p w14:paraId="3BB0F6D8" w14:textId="77777777" w:rsidR="00446DA0" w:rsidRDefault="00EB2C8A" w:rsidP="00104B02">
      <w:pPr>
        <w:pStyle w:val="Heading2"/>
        <w:spacing w:before="200" w:after="120"/>
        <w:jc w:val="both"/>
      </w:pPr>
      <w:r>
        <w:rPr>
          <w:b/>
          <w:sz w:val="28"/>
        </w:rPr>
        <w:lastRenderedPageBreak/>
        <w:t>Recommendation 2: Post-Discharge and Readmission Protocol</w:t>
      </w:r>
    </w:p>
    <w:p w14:paraId="19335C76" w14:textId="77777777" w:rsidR="006B6300" w:rsidRDefault="00EB2C8A" w:rsidP="00104B02">
      <w:pPr>
        <w:spacing w:after="120"/>
        <w:jc w:val="both"/>
      </w:pPr>
      <w:r>
        <w:t xml:space="preserve">Data Anchor: </w:t>
      </w:r>
    </w:p>
    <w:p w14:paraId="0EFAA213" w14:textId="01A7B0B9" w:rsidR="00446DA0" w:rsidRDefault="00EB2C8A" w:rsidP="00104B02">
      <w:pPr>
        <w:spacing w:after="120"/>
        <w:jc w:val="both"/>
      </w:pPr>
      <w:r>
        <w:t>1,152 patients (23.0%) carry readmission risk &gt;= 0.40. General Medicine leads at 24.3% (241 patients). Routine visits produce 802 high-risk discharges vs 350 from Emergency (rates 23.4% vs 22.3%). An Emergency-only screen misses 69.6% of high-risk patients. The 46-60 age band carries the highest risk at 23.8%.</w:t>
      </w:r>
    </w:p>
    <w:p w14:paraId="68B85134" w14:textId="77777777" w:rsidR="00474576" w:rsidRDefault="00EB2C8A" w:rsidP="00104B02">
      <w:pPr>
        <w:numPr>
          <w:ilvl w:val="0"/>
          <w:numId w:val="15"/>
        </w:numPr>
        <w:spacing w:after="100"/>
        <w:jc w:val="both"/>
      </w:pPr>
      <w:r w:rsidRPr="006B6300">
        <w:rPr>
          <w:b/>
          <w:bCs/>
        </w:rPr>
        <w:t>Initiative 2A - Universal Pre-Discharge Risk Screen:</w:t>
      </w:r>
      <w:r>
        <w:t xml:space="preserve"> </w:t>
      </w:r>
    </w:p>
    <w:p w14:paraId="3E41EABE" w14:textId="667319F9" w:rsidR="006B6300" w:rsidRDefault="00EB2C8A" w:rsidP="00474576">
      <w:pPr>
        <w:spacing w:after="100"/>
        <w:ind w:left="720"/>
        <w:jc w:val="both"/>
      </w:pPr>
      <w:r>
        <w:t xml:space="preserve">Deploy the 0.40 threshold flag as a mandatory pre-discharge check for every patient across all five departments and both visit types. Approximately 230 per 1,000 discharged patients will be flagged and routed to a structured intervention pathway before leaving the facility. </w:t>
      </w:r>
    </w:p>
    <w:p w14:paraId="3E9CFFE9" w14:textId="77777777" w:rsidR="006B6300" w:rsidRDefault="00EB2C8A" w:rsidP="006B6300">
      <w:pPr>
        <w:spacing w:after="100"/>
        <w:ind w:left="720"/>
        <w:jc w:val="both"/>
      </w:pPr>
      <w:r>
        <w:t xml:space="preserve">Owner: Chief Nursing Officer. </w:t>
      </w:r>
    </w:p>
    <w:p w14:paraId="40287211" w14:textId="01D7607B" w:rsidR="00446DA0" w:rsidRDefault="00EB2C8A" w:rsidP="006B6300">
      <w:pPr>
        <w:spacing w:after="100"/>
        <w:ind w:left="720"/>
        <w:jc w:val="both"/>
      </w:pPr>
      <w:r>
        <w:t>Measure: Percentage of flagged patients receiving pre-discharge intervention.</w:t>
      </w:r>
    </w:p>
    <w:p w14:paraId="1F1E3F67" w14:textId="77777777" w:rsidR="00474576" w:rsidRDefault="00EB2C8A" w:rsidP="00104B02">
      <w:pPr>
        <w:numPr>
          <w:ilvl w:val="0"/>
          <w:numId w:val="15"/>
        </w:numPr>
        <w:spacing w:after="100"/>
        <w:jc w:val="both"/>
      </w:pPr>
      <w:r w:rsidRPr="006B6300">
        <w:rPr>
          <w:b/>
          <w:bCs/>
        </w:rPr>
        <w:t>Initiative 2B - General Medicine 72-Hour Callback Programme:</w:t>
      </w:r>
      <w:r>
        <w:t xml:space="preserve"> </w:t>
      </w:r>
    </w:p>
    <w:p w14:paraId="670A3259" w14:textId="51C574CA" w:rsidR="006B6300" w:rsidRDefault="00EB2C8A" w:rsidP="00474576">
      <w:pPr>
        <w:spacing w:after="100"/>
        <w:ind w:left="720"/>
        <w:jc w:val="both"/>
      </w:pPr>
      <w:r>
        <w:t xml:space="preserve">General Medicine's 24.3% rate warrants a dedicated 72-hour post-discharge telephone review for all flagged discharges. The call confirms medication adherence, flags clinical deterioration, and schedules a 7-day outpatient follow-up where indicated. </w:t>
      </w:r>
    </w:p>
    <w:p w14:paraId="1399508A" w14:textId="77777777" w:rsidR="006B6300" w:rsidRDefault="00EB2C8A" w:rsidP="006B6300">
      <w:pPr>
        <w:spacing w:after="100"/>
        <w:ind w:left="720"/>
        <w:jc w:val="both"/>
      </w:pPr>
      <w:r>
        <w:t xml:space="preserve">Owner: General Medicine Department Head. </w:t>
      </w:r>
    </w:p>
    <w:p w14:paraId="6AACD4BC" w14:textId="0D3A609E" w:rsidR="00446DA0" w:rsidRDefault="00EB2C8A" w:rsidP="006B6300">
      <w:pPr>
        <w:spacing w:after="100"/>
        <w:ind w:left="720"/>
        <w:jc w:val="both"/>
      </w:pPr>
      <w:r>
        <w:t>Measure: 30-day readmission rate vs prior period.</w:t>
      </w:r>
    </w:p>
    <w:p w14:paraId="2C83A7B4" w14:textId="77777777" w:rsidR="00474576" w:rsidRPr="00474576" w:rsidRDefault="00EB2C8A" w:rsidP="00104B02">
      <w:pPr>
        <w:numPr>
          <w:ilvl w:val="0"/>
          <w:numId w:val="15"/>
        </w:numPr>
        <w:spacing w:after="100"/>
        <w:jc w:val="both"/>
      </w:pPr>
      <w:r w:rsidRPr="006B6300">
        <w:rPr>
          <w:b/>
          <w:bCs/>
        </w:rPr>
        <w:t xml:space="preserve">Initiative 2C - Routine Pathway Discharge Coordinator: </w:t>
      </w:r>
    </w:p>
    <w:p w14:paraId="2CAA4FE6" w14:textId="06DECDA3" w:rsidR="006B6300" w:rsidRDefault="00EB2C8A" w:rsidP="00474576">
      <w:pPr>
        <w:spacing w:after="100"/>
        <w:ind w:left="720"/>
        <w:jc w:val="both"/>
      </w:pPr>
      <w:r>
        <w:t xml:space="preserve">The 802 high-risk Routine discharges (2.29 times the 350 Emergency high-risk discharges) justify a dedicated discharge coordinator embedded within planned-care pathways. The coordinator activates when a patient's risk score exceeds 0.40 during a Routine admission. </w:t>
      </w:r>
    </w:p>
    <w:p w14:paraId="3EE1F96F" w14:textId="6A7176E2" w:rsidR="006B6300" w:rsidRDefault="00EB2C8A" w:rsidP="006B6300">
      <w:pPr>
        <w:spacing w:after="100"/>
        <w:ind w:left="720"/>
        <w:jc w:val="both"/>
      </w:pPr>
      <w:r>
        <w:t xml:space="preserve">Target: </w:t>
      </w:r>
      <w:r w:rsidR="006B6300">
        <w:t>R</w:t>
      </w:r>
      <w:r>
        <w:t xml:space="preserve">educe </w:t>
      </w:r>
      <w:r w:rsidR="006B6300">
        <w:t>r</w:t>
      </w:r>
      <w:r>
        <w:t xml:space="preserve">outine high-risk 30-day readmission rate by 15% within two quarters. </w:t>
      </w:r>
    </w:p>
    <w:p w14:paraId="5169DECF" w14:textId="77777777" w:rsidR="006B6300" w:rsidRDefault="00EB2C8A" w:rsidP="006B6300">
      <w:pPr>
        <w:spacing w:after="100"/>
        <w:ind w:left="720"/>
        <w:jc w:val="both"/>
      </w:pPr>
      <w:r>
        <w:t xml:space="preserve">Owner: COO. </w:t>
      </w:r>
    </w:p>
    <w:p w14:paraId="036A12FB" w14:textId="7E2AF79B" w:rsidR="00446DA0" w:rsidRDefault="00EB2C8A" w:rsidP="006B6300">
      <w:pPr>
        <w:spacing w:after="100"/>
        <w:ind w:left="720"/>
        <w:jc w:val="both"/>
      </w:pPr>
      <w:r>
        <w:t>Measure: 30-day Routine readmission rate.</w:t>
      </w:r>
    </w:p>
    <w:p w14:paraId="2E4E2499" w14:textId="77777777" w:rsidR="00474576" w:rsidRDefault="00EB2C8A" w:rsidP="00104B02">
      <w:pPr>
        <w:numPr>
          <w:ilvl w:val="0"/>
          <w:numId w:val="15"/>
        </w:numPr>
        <w:spacing w:after="160"/>
        <w:jc w:val="both"/>
      </w:pPr>
      <w:r w:rsidRPr="006B6300">
        <w:rPr>
          <w:b/>
          <w:bCs/>
        </w:rPr>
        <w:t>Initiative 2D - 46-60 Community Care Referral:</w:t>
      </w:r>
      <w:r>
        <w:t xml:space="preserve"> </w:t>
      </w:r>
    </w:p>
    <w:p w14:paraId="32ADB2DC" w14:textId="75147EB7" w:rsidR="006B6300" w:rsidRDefault="00EB2C8A" w:rsidP="00474576">
      <w:pPr>
        <w:spacing w:after="160"/>
        <w:ind w:left="720"/>
        <w:jc w:val="both"/>
      </w:pPr>
      <w:r>
        <w:t xml:space="preserve">The 46-60 cohort carries the highest readmission risk at 23.8% (303 patients). Structured community nursing follow-up within 5 days of discharge reduces 30-day return probability. </w:t>
      </w:r>
    </w:p>
    <w:p w14:paraId="1B1E8AD8" w14:textId="77777777" w:rsidR="006B6300" w:rsidRDefault="00EB2C8A" w:rsidP="006B6300">
      <w:pPr>
        <w:spacing w:after="160"/>
        <w:ind w:left="720"/>
        <w:jc w:val="both"/>
      </w:pPr>
      <w:r>
        <w:t xml:space="preserve">Owner: Community Care Lead. </w:t>
      </w:r>
    </w:p>
    <w:p w14:paraId="1766E321" w14:textId="4CB371B8" w:rsidR="00446DA0" w:rsidRDefault="00EB2C8A" w:rsidP="006B6300">
      <w:pPr>
        <w:spacing w:after="160"/>
        <w:ind w:left="720"/>
        <w:jc w:val="both"/>
      </w:pPr>
      <w:r>
        <w:t>Measure: 30-day readmission rate for 46-60 cohort.</w:t>
      </w:r>
    </w:p>
    <w:p w14:paraId="5690DBB2" w14:textId="77777777" w:rsidR="009C2697" w:rsidRDefault="009C2697" w:rsidP="006B6300">
      <w:pPr>
        <w:spacing w:after="160"/>
        <w:ind w:left="720"/>
        <w:jc w:val="both"/>
      </w:pPr>
    </w:p>
    <w:p w14:paraId="25016514" w14:textId="77777777" w:rsidR="009C2697" w:rsidRDefault="009C2697" w:rsidP="006B6300">
      <w:pPr>
        <w:spacing w:after="160"/>
        <w:ind w:left="720"/>
        <w:jc w:val="both"/>
      </w:pPr>
    </w:p>
    <w:p w14:paraId="3A6462F9" w14:textId="77777777" w:rsidR="009C2697" w:rsidRDefault="009C2697" w:rsidP="006B6300">
      <w:pPr>
        <w:spacing w:after="160"/>
        <w:ind w:left="720"/>
        <w:jc w:val="both"/>
      </w:pPr>
    </w:p>
    <w:p w14:paraId="011490A8" w14:textId="77777777" w:rsidR="009C2697" w:rsidRDefault="009C2697" w:rsidP="006B6300">
      <w:pPr>
        <w:spacing w:after="160"/>
        <w:ind w:left="720"/>
        <w:jc w:val="both"/>
      </w:pPr>
    </w:p>
    <w:p w14:paraId="0F3B9588" w14:textId="77777777" w:rsidR="009C2697" w:rsidRDefault="009C2697" w:rsidP="006B6300">
      <w:pPr>
        <w:spacing w:after="160"/>
        <w:ind w:left="720"/>
        <w:jc w:val="both"/>
      </w:pPr>
    </w:p>
    <w:p w14:paraId="7DE6D5D8" w14:textId="77777777" w:rsidR="009C2697" w:rsidRDefault="009C2697" w:rsidP="006B6300">
      <w:pPr>
        <w:spacing w:after="160"/>
        <w:ind w:left="720"/>
        <w:jc w:val="both"/>
      </w:pPr>
    </w:p>
    <w:p w14:paraId="63B5A207" w14:textId="77777777" w:rsidR="009C2697" w:rsidRDefault="009C2697" w:rsidP="006B6300">
      <w:pPr>
        <w:spacing w:after="160"/>
        <w:ind w:left="720"/>
        <w:jc w:val="both"/>
      </w:pPr>
    </w:p>
    <w:p w14:paraId="61242873" w14:textId="77777777" w:rsidR="00446DA0" w:rsidRDefault="00EB2C8A" w:rsidP="00104B02">
      <w:pPr>
        <w:pStyle w:val="Heading2"/>
        <w:spacing w:before="200" w:after="120"/>
        <w:jc w:val="both"/>
      </w:pPr>
      <w:r>
        <w:rPr>
          <w:b/>
          <w:sz w:val="28"/>
        </w:rPr>
        <w:lastRenderedPageBreak/>
        <w:t>Recommendation 3: Cost Control and Resource Allocation</w:t>
      </w:r>
    </w:p>
    <w:p w14:paraId="44A8FF9F" w14:textId="77777777" w:rsidR="009C2697" w:rsidRDefault="00EB2C8A" w:rsidP="00104B02">
      <w:pPr>
        <w:spacing w:after="120"/>
        <w:jc w:val="both"/>
      </w:pPr>
      <w:r>
        <w:t xml:space="preserve">Data Anchor: </w:t>
      </w:r>
    </w:p>
    <w:p w14:paraId="4330BE36" w14:textId="74E4EB9F" w:rsidR="00446DA0" w:rsidRDefault="00EB2C8A" w:rsidP="00104B02">
      <w:pPr>
        <w:spacing w:after="120"/>
        <w:jc w:val="both"/>
      </w:pPr>
      <w:r>
        <w:t xml:space="preserve">Total network spend $274.6M. Mean cost $54,915, standard deviation $19,481, coefficient of variation 35.5%. The relevant financial target is within-department cost variance (CV 34.8% to 36.3%), not between-department differences ($2,256 spread). </w:t>
      </w:r>
      <w:r w:rsidR="009C2697">
        <w:t>Orthopaedics</w:t>
      </w:r>
      <w:r>
        <w:t xml:space="preserve"> has the highest CV at </w:t>
      </w:r>
      <w:proofErr w:type="gramStart"/>
      <w:r>
        <w:t>36.3%</w:t>
      </w:r>
      <w:proofErr w:type="gramEnd"/>
      <w:r>
        <w:t xml:space="preserve"> and the largest total spend at $58.1M. High-spend patients (above IQR fence $108,163) number only 14 (0.3%) and achieve only 1.72 recovery score points more than standard-cost patients. Treatment type cost spread is only $369 across all four modalities.</w:t>
      </w:r>
    </w:p>
    <w:p w14:paraId="45D53ADB" w14:textId="77777777" w:rsidR="00FC7B7C" w:rsidRDefault="00EB2C8A" w:rsidP="00104B02">
      <w:pPr>
        <w:numPr>
          <w:ilvl w:val="0"/>
          <w:numId w:val="16"/>
        </w:numPr>
        <w:spacing w:after="100"/>
        <w:jc w:val="both"/>
      </w:pPr>
      <w:r w:rsidRPr="009C2697">
        <w:rPr>
          <w:b/>
          <w:bCs/>
        </w:rPr>
        <w:t xml:space="preserve">Initiative 3A - </w:t>
      </w:r>
      <w:r w:rsidR="009C2697" w:rsidRPr="009C2697">
        <w:rPr>
          <w:b/>
          <w:bCs/>
        </w:rPr>
        <w:t>Orthopaedics</w:t>
      </w:r>
      <w:r w:rsidRPr="009C2697">
        <w:rPr>
          <w:b/>
          <w:bCs/>
        </w:rPr>
        <w:t xml:space="preserve"> Variance Reduction:</w:t>
      </w:r>
      <w:r>
        <w:t xml:space="preserve"> </w:t>
      </w:r>
    </w:p>
    <w:p w14:paraId="6E8D5803" w14:textId="4D1840E3" w:rsidR="00E332E1" w:rsidRDefault="009C2697" w:rsidP="00FC7B7C">
      <w:pPr>
        <w:spacing w:after="100"/>
        <w:ind w:left="720"/>
        <w:jc w:val="both"/>
      </w:pPr>
      <w:r>
        <w:t xml:space="preserve">Orthopaedics has the highest cost CV at </w:t>
      </w:r>
      <w:proofErr w:type="gramStart"/>
      <w:r>
        <w:t>36.3%</w:t>
      </w:r>
      <w:proofErr w:type="gramEnd"/>
      <w:r>
        <w:t xml:space="preserve"> and largest total spend at $58.1M. A monthly cost variance review targeting supply chain, implant choice, and procedure duration in the top-cost quartile aims to reduce CV toward the </w:t>
      </w:r>
      <w:r w:rsidR="00FC7B7C">
        <w:t>Paediatrics</w:t>
      </w:r>
      <w:r>
        <w:t xml:space="preserve"> benchmark of 34.8%. A 1.5-point CV reduction on $58.1M total spend represents approximately $0.87M in recoverable variance. </w:t>
      </w:r>
    </w:p>
    <w:p w14:paraId="3FFDEFD0" w14:textId="1D9E9C57" w:rsidR="00446DA0" w:rsidRDefault="00EB2C8A" w:rsidP="00E332E1">
      <w:pPr>
        <w:spacing w:after="100"/>
        <w:ind w:left="720"/>
        <w:jc w:val="both"/>
      </w:pPr>
      <w:r>
        <w:t>Target: CV below 35.0% within two quarters.</w:t>
      </w:r>
    </w:p>
    <w:p w14:paraId="04EF9383" w14:textId="2DB59DC4" w:rsidR="00E332E1" w:rsidRDefault="00E332E1" w:rsidP="00E332E1">
      <w:pPr>
        <w:spacing w:after="100"/>
        <w:ind w:left="720"/>
        <w:jc w:val="both"/>
      </w:pPr>
      <w:r>
        <w:t xml:space="preserve">Owner: </w:t>
      </w:r>
      <w:r w:rsidR="00FC7B7C">
        <w:t>Orthopaedics</w:t>
      </w:r>
      <w:r>
        <w:t xml:space="preserve"> Dept Head and CFO. </w:t>
      </w:r>
    </w:p>
    <w:p w14:paraId="64D048EB" w14:textId="77777777" w:rsidR="00FC7B7C" w:rsidRDefault="00EB2C8A" w:rsidP="00104B02">
      <w:pPr>
        <w:numPr>
          <w:ilvl w:val="0"/>
          <w:numId w:val="16"/>
        </w:numPr>
        <w:spacing w:after="100"/>
        <w:jc w:val="both"/>
      </w:pPr>
      <w:r w:rsidRPr="00E332E1">
        <w:rPr>
          <w:b/>
          <w:bCs/>
        </w:rPr>
        <w:t>Initiative 3B - Evidence-Based Protocol Standardisation:</w:t>
      </w:r>
      <w:r>
        <w:t xml:space="preserve"> </w:t>
      </w:r>
    </w:p>
    <w:p w14:paraId="71AAC0EE" w14:textId="074107AE" w:rsidR="00E332E1" w:rsidRDefault="00EB2C8A" w:rsidP="00FC7B7C">
      <w:pPr>
        <w:spacing w:after="100"/>
        <w:ind w:left="720"/>
        <w:jc w:val="both"/>
      </w:pPr>
      <w:r>
        <w:t xml:space="preserve">The $369 cost difference between Surgery and Observation combined with a 0.11-point recovery score difference means treatment modality is cost-neutral at the population level. Standardising evidence-based protocols for the five highest-volume diagnoses per department removes discretionary cost variation while maintaining equivalent outcomes. </w:t>
      </w:r>
    </w:p>
    <w:p w14:paraId="448A65F3" w14:textId="77777777" w:rsidR="00E332E1" w:rsidRDefault="00EB2C8A" w:rsidP="00E332E1">
      <w:pPr>
        <w:spacing w:after="100"/>
        <w:ind w:left="720"/>
        <w:jc w:val="both"/>
      </w:pPr>
      <w:r>
        <w:t xml:space="preserve">Owner: CMO. </w:t>
      </w:r>
    </w:p>
    <w:p w14:paraId="0BE5E25F" w14:textId="3EB86F16" w:rsidR="00446DA0" w:rsidRDefault="00EB2C8A" w:rsidP="00E332E1">
      <w:pPr>
        <w:spacing w:after="100"/>
        <w:ind w:left="720"/>
        <w:jc w:val="both"/>
      </w:pPr>
      <w:r>
        <w:t>Measure: Reduction in treatment cost standard deviation per diagnosis group.</w:t>
      </w:r>
    </w:p>
    <w:p w14:paraId="06F71602" w14:textId="77777777" w:rsidR="00FC7B7C" w:rsidRDefault="00EB2C8A" w:rsidP="00104B02">
      <w:pPr>
        <w:numPr>
          <w:ilvl w:val="0"/>
          <w:numId w:val="16"/>
        </w:numPr>
        <w:spacing w:after="100"/>
        <w:jc w:val="both"/>
      </w:pPr>
      <w:r w:rsidRPr="005A2761">
        <w:rPr>
          <w:b/>
          <w:bCs/>
        </w:rPr>
        <w:t>Initiative 3C - Regional Cost Benchmarking South vs East:</w:t>
      </w:r>
      <w:r>
        <w:t xml:space="preserve"> </w:t>
      </w:r>
    </w:p>
    <w:p w14:paraId="15A7A070" w14:textId="77C2CB1D" w:rsidR="005A2761" w:rsidRDefault="00EB2C8A" w:rsidP="00FC7B7C">
      <w:pPr>
        <w:spacing w:after="100"/>
        <w:ind w:left="720"/>
        <w:jc w:val="both"/>
      </w:pPr>
      <w:r>
        <w:t xml:space="preserve">South Region's $55,568 per-visit average exceeds East Region's $54,199 by $1,369 with no measurable recovery advantage. A cross-site protocol audit benchmarks South against East Region to identify the specific supply, staffing, or procedure decisions driving the premium. </w:t>
      </w:r>
    </w:p>
    <w:p w14:paraId="0D2A07E5" w14:textId="7F3454D6" w:rsidR="00446DA0" w:rsidRDefault="00EB2C8A" w:rsidP="005A2761">
      <w:pPr>
        <w:spacing w:after="100"/>
        <w:ind w:left="720"/>
        <w:jc w:val="both"/>
      </w:pPr>
      <w:r>
        <w:t xml:space="preserve">Target: South Region </w:t>
      </w:r>
      <w:proofErr w:type="spellStart"/>
      <w:r>
        <w:t>avg</w:t>
      </w:r>
      <w:proofErr w:type="spellEnd"/>
      <w:r>
        <w:t xml:space="preserve"> cost within $500 of East within three quarters.</w:t>
      </w:r>
    </w:p>
    <w:p w14:paraId="782FBA71" w14:textId="37C50F4D" w:rsidR="005A2761" w:rsidRDefault="005A2761" w:rsidP="005A2761">
      <w:pPr>
        <w:spacing w:after="100"/>
        <w:ind w:left="720"/>
        <w:jc w:val="both"/>
      </w:pPr>
      <w:r>
        <w:t>Owner: Regional Operations Director.</w:t>
      </w:r>
    </w:p>
    <w:p w14:paraId="2B481457" w14:textId="77777777" w:rsidR="00FC7B7C" w:rsidRDefault="00EB2C8A" w:rsidP="00104B02">
      <w:pPr>
        <w:numPr>
          <w:ilvl w:val="0"/>
          <w:numId w:val="16"/>
        </w:numPr>
        <w:spacing w:after="160"/>
        <w:jc w:val="both"/>
      </w:pPr>
      <w:r w:rsidRPr="00BD70DA">
        <w:rPr>
          <w:b/>
          <w:bCs/>
        </w:rPr>
        <w:t>Initiative 3D - Monthly Cost-Outcome Dashboard Review:</w:t>
      </w:r>
      <w:r>
        <w:t xml:space="preserve"> </w:t>
      </w:r>
    </w:p>
    <w:p w14:paraId="6F30EC74" w14:textId="50140672" w:rsidR="00BD70DA" w:rsidRDefault="00EB2C8A" w:rsidP="00FC7B7C">
      <w:pPr>
        <w:spacing w:after="160"/>
        <w:ind w:left="720"/>
        <w:jc w:val="both"/>
      </w:pPr>
      <w:r>
        <w:t xml:space="preserve">Institutionalise the cost vs recovery score scatter chart as a standing monthly CFO and CMO review item. Any department cluster drifting into the high-cost, low-recovery quadrant (above $54,915 cost, below 74.72 recovery) triggers a joint clinical-finance review within 30 days. </w:t>
      </w:r>
    </w:p>
    <w:p w14:paraId="74DF63F6" w14:textId="77777777" w:rsidR="00BD70DA" w:rsidRDefault="00EB2C8A" w:rsidP="00BD70DA">
      <w:pPr>
        <w:spacing w:after="160"/>
        <w:ind w:left="720"/>
        <w:jc w:val="both"/>
      </w:pPr>
      <w:r>
        <w:t xml:space="preserve">Owner: CFO and CMO joint. </w:t>
      </w:r>
    </w:p>
    <w:p w14:paraId="207D8435" w14:textId="42EC0DEF" w:rsidR="00446DA0" w:rsidRDefault="00EB2C8A" w:rsidP="00BD70DA">
      <w:pPr>
        <w:spacing w:after="160"/>
        <w:ind w:left="720"/>
        <w:jc w:val="both"/>
      </w:pPr>
      <w:r>
        <w:t>Measure: Zero unreviewed high-cost, low-recovery department clusters.</w:t>
      </w:r>
    </w:p>
    <w:p w14:paraId="6CBDF70F" w14:textId="77777777" w:rsidR="00BD70DA" w:rsidRDefault="00BD70DA" w:rsidP="00BD70DA">
      <w:pPr>
        <w:spacing w:after="160"/>
        <w:ind w:left="720"/>
        <w:jc w:val="both"/>
      </w:pPr>
    </w:p>
    <w:p w14:paraId="1D1E43E6" w14:textId="77777777" w:rsidR="00BD70DA" w:rsidRDefault="00BD70DA" w:rsidP="00BD70DA">
      <w:pPr>
        <w:spacing w:after="160"/>
        <w:ind w:left="720"/>
        <w:jc w:val="both"/>
      </w:pPr>
    </w:p>
    <w:p w14:paraId="2C1166FC" w14:textId="77777777" w:rsidR="00BD70DA" w:rsidRDefault="00BD70DA" w:rsidP="00BD70DA">
      <w:pPr>
        <w:spacing w:after="160"/>
        <w:ind w:left="720"/>
        <w:jc w:val="both"/>
      </w:pPr>
    </w:p>
    <w:p w14:paraId="3C400F01" w14:textId="77777777" w:rsidR="00156F25" w:rsidRDefault="00156F25" w:rsidP="00BD70DA">
      <w:pPr>
        <w:spacing w:after="160"/>
        <w:ind w:left="720"/>
        <w:jc w:val="both"/>
      </w:pPr>
    </w:p>
    <w:p w14:paraId="0A459895" w14:textId="77777777" w:rsidR="00446DA0" w:rsidRDefault="00EB2C8A" w:rsidP="00104B02">
      <w:pPr>
        <w:pStyle w:val="Heading2"/>
        <w:spacing w:before="200" w:after="120"/>
        <w:jc w:val="both"/>
      </w:pPr>
      <w:r>
        <w:rPr>
          <w:b/>
          <w:sz w:val="28"/>
        </w:rPr>
        <w:lastRenderedPageBreak/>
        <w:t>Recommendation 4: Targeted Care Programmes by Demographic and Region</w:t>
      </w:r>
    </w:p>
    <w:p w14:paraId="4E7E397E" w14:textId="77777777" w:rsidR="00BD70DA" w:rsidRDefault="00EB2C8A" w:rsidP="00104B02">
      <w:pPr>
        <w:spacing w:after="120"/>
        <w:jc w:val="both"/>
      </w:pPr>
      <w:r>
        <w:t xml:space="preserve">Data Anchor: </w:t>
      </w:r>
    </w:p>
    <w:p w14:paraId="2AFB4FDE" w14:textId="7A88003E" w:rsidR="00446DA0" w:rsidRDefault="00BD70DA" w:rsidP="00104B02">
      <w:pPr>
        <w:spacing w:after="120"/>
        <w:jc w:val="both"/>
      </w:pPr>
      <w:r>
        <w:t>18–30-year-olds carry the highest per-visit cost ($55,871) while achieving the lowest recovery score (74.48), the worst cost-efficiency ratio of any age group. The 60+ cohort costs the least ($53,920) despite expected clinical complexity. East Region has the highest readmission risk (23.8%) at the lowest cost ($54,199), indicating under-investment in post-discharge support. South Region combines the highest cost ($55,568) and a 23.5% risk rate, performing above average on both negative dimensions simultaneously.</w:t>
      </w:r>
    </w:p>
    <w:p w14:paraId="42C7EAD3" w14:textId="77777777" w:rsidR="00BD70DA" w:rsidRDefault="00EB2C8A" w:rsidP="00104B02">
      <w:pPr>
        <w:numPr>
          <w:ilvl w:val="0"/>
          <w:numId w:val="17"/>
        </w:numPr>
        <w:spacing w:after="100"/>
        <w:jc w:val="both"/>
      </w:pPr>
      <w:r w:rsidRPr="00BD70DA">
        <w:rPr>
          <w:b/>
          <w:bCs/>
        </w:rPr>
        <w:t>Initiative 4A - 18-30 Preventative and Acute Diversion Programme:</w:t>
      </w:r>
      <w:r>
        <w:t xml:space="preserve"> </w:t>
      </w:r>
    </w:p>
    <w:p w14:paraId="03AE47EF" w14:textId="755B1880" w:rsidR="00BD70DA" w:rsidRDefault="00EB2C8A" w:rsidP="00BD70DA">
      <w:pPr>
        <w:spacing w:after="100"/>
        <w:ind w:left="720"/>
        <w:jc w:val="both"/>
      </w:pPr>
      <w:r>
        <w:t xml:space="preserve">Urgent care diversion pathways, GP-first triage for non-acute presentations, and digital self-management tools shift this cohort from high-cost inpatient events toward lower-cost community and outpatient settings. </w:t>
      </w:r>
    </w:p>
    <w:p w14:paraId="388AF7E2" w14:textId="77777777" w:rsidR="00BD70DA" w:rsidRDefault="00EB2C8A" w:rsidP="00BD70DA">
      <w:pPr>
        <w:spacing w:after="100"/>
        <w:ind w:left="720"/>
        <w:jc w:val="both"/>
      </w:pPr>
      <w:r>
        <w:t xml:space="preserve">Target: reduce 18-30 average cost by $500 per visit within 12 months. </w:t>
      </w:r>
    </w:p>
    <w:p w14:paraId="314313CB" w14:textId="77777777" w:rsidR="00BD70DA" w:rsidRDefault="00EB2C8A" w:rsidP="00BD70DA">
      <w:pPr>
        <w:spacing w:after="100"/>
        <w:ind w:left="720"/>
        <w:jc w:val="both"/>
      </w:pPr>
      <w:r>
        <w:t xml:space="preserve">Owner: Community Health Director. </w:t>
      </w:r>
    </w:p>
    <w:p w14:paraId="0633B2EC" w14:textId="46547616" w:rsidR="00446DA0" w:rsidRDefault="00EB2C8A" w:rsidP="00BD70DA">
      <w:pPr>
        <w:spacing w:after="100"/>
        <w:ind w:left="720"/>
        <w:jc w:val="both"/>
      </w:pPr>
      <w:r>
        <w:t>Measure: Average cost per 18-30 visit tracked monthly.</w:t>
      </w:r>
    </w:p>
    <w:p w14:paraId="2F8E13EE" w14:textId="77777777" w:rsidR="00BD70DA" w:rsidRDefault="00EB2C8A" w:rsidP="00104B02">
      <w:pPr>
        <w:numPr>
          <w:ilvl w:val="0"/>
          <w:numId w:val="17"/>
        </w:numPr>
        <w:spacing w:after="100"/>
        <w:jc w:val="both"/>
      </w:pPr>
      <w:r w:rsidRPr="00BD70DA">
        <w:rPr>
          <w:b/>
          <w:bCs/>
        </w:rPr>
        <w:t>Initiative 4B - 60+ Chronic Disease Management Pathway:</w:t>
      </w:r>
      <w:r>
        <w:t xml:space="preserve"> </w:t>
      </w:r>
    </w:p>
    <w:p w14:paraId="1700F95B" w14:textId="77777777" w:rsidR="00BD70DA" w:rsidRDefault="00EB2C8A" w:rsidP="00BD70DA">
      <w:pPr>
        <w:spacing w:after="100"/>
        <w:ind w:left="720"/>
        <w:jc w:val="both"/>
      </w:pPr>
      <w:r>
        <w:t xml:space="preserve">Quarterly outpatient reviews, medication adherence checks, and remote monitoring for the </w:t>
      </w:r>
      <w:proofErr w:type="gramStart"/>
      <w:r>
        <w:t>top-3</w:t>
      </w:r>
      <w:proofErr w:type="gramEnd"/>
      <w:r>
        <w:t xml:space="preserve"> chronic conditions in the 60+ cohort reduce avoidable acute admissions before they escalate into higher-cost inpatient episodes. </w:t>
      </w:r>
    </w:p>
    <w:p w14:paraId="2E935414" w14:textId="77777777" w:rsidR="00156F25" w:rsidRDefault="00EB2C8A" w:rsidP="00BD70DA">
      <w:pPr>
        <w:spacing w:after="100"/>
        <w:ind w:left="720"/>
        <w:jc w:val="both"/>
      </w:pPr>
      <w:r>
        <w:t xml:space="preserve">Owner: Geriatrics Lead and Community Nursing. </w:t>
      </w:r>
    </w:p>
    <w:p w14:paraId="0863AEDA" w14:textId="3BAB1D64" w:rsidR="00446DA0" w:rsidRDefault="00EB2C8A" w:rsidP="00BD70DA">
      <w:pPr>
        <w:spacing w:after="100"/>
        <w:ind w:left="720"/>
        <w:jc w:val="both"/>
      </w:pPr>
      <w:r>
        <w:t>Measure: 60+ readmission rate quarter-on-quarter.</w:t>
      </w:r>
    </w:p>
    <w:p w14:paraId="4C2CCCD1" w14:textId="77777777" w:rsidR="00156F25" w:rsidRDefault="00EB2C8A" w:rsidP="00104B02">
      <w:pPr>
        <w:numPr>
          <w:ilvl w:val="0"/>
          <w:numId w:val="17"/>
        </w:numPr>
        <w:spacing w:after="100"/>
        <w:jc w:val="both"/>
      </w:pPr>
      <w:r w:rsidRPr="00156F25">
        <w:rPr>
          <w:b/>
          <w:bCs/>
        </w:rPr>
        <w:t>Initiative 4C - East Region Post-Discharge Nurse Liaison:</w:t>
      </w:r>
      <w:r>
        <w:t xml:space="preserve"> </w:t>
      </w:r>
    </w:p>
    <w:p w14:paraId="1FD2CB32" w14:textId="77777777" w:rsidR="00156F25" w:rsidRDefault="00EB2C8A" w:rsidP="00156F25">
      <w:pPr>
        <w:spacing w:after="100"/>
        <w:ind w:left="720"/>
        <w:jc w:val="both"/>
      </w:pPr>
      <w:r>
        <w:t xml:space="preserve">East Region's 23.8% readmission risk rate is the highest of any region, yet its $54,199 average cost is the lowest. The inverse relationship confirms under-investment in post-discharge support, not inpatient care quality. A dedicated nurse liaison contacting high-risk patients within 48 hours of discharge directly addresses the specific gap the data identifies. </w:t>
      </w:r>
    </w:p>
    <w:p w14:paraId="02E50C76" w14:textId="77777777" w:rsidR="00156F25" w:rsidRDefault="00EB2C8A" w:rsidP="00156F25">
      <w:pPr>
        <w:spacing w:after="100"/>
        <w:ind w:left="720"/>
        <w:jc w:val="both"/>
      </w:pPr>
      <w:r>
        <w:t xml:space="preserve">Owner: East Region Director. </w:t>
      </w:r>
    </w:p>
    <w:p w14:paraId="73378DA0" w14:textId="74C9F5BB" w:rsidR="00446DA0" w:rsidRDefault="00EB2C8A" w:rsidP="00156F25">
      <w:pPr>
        <w:spacing w:after="100"/>
        <w:ind w:left="720"/>
        <w:jc w:val="both"/>
      </w:pPr>
      <w:r>
        <w:t>Measure: East Region 30-day readmission rate vs network average.</w:t>
      </w:r>
    </w:p>
    <w:p w14:paraId="450458D8" w14:textId="77777777" w:rsidR="00156F25" w:rsidRDefault="00EB2C8A" w:rsidP="00104B02">
      <w:pPr>
        <w:numPr>
          <w:ilvl w:val="0"/>
          <w:numId w:val="17"/>
        </w:numPr>
        <w:spacing w:after="240"/>
        <w:jc w:val="both"/>
      </w:pPr>
      <w:r w:rsidRPr="00156F25">
        <w:rPr>
          <w:b/>
          <w:bCs/>
        </w:rPr>
        <w:t>Initiative 4D - South Region Protocol Alignment:</w:t>
      </w:r>
      <w:r>
        <w:t xml:space="preserve"> </w:t>
      </w:r>
    </w:p>
    <w:p w14:paraId="49961C56" w14:textId="34914B59" w:rsidR="00156F25" w:rsidRDefault="00EB2C8A" w:rsidP="00156F25">
      <w:pPr>
        <w:spacing w:after="240"/>
        <w:ind w:left="720"/>
        <w:jc w:val="both"/>
      </w:pPr>
      <w:r>
        <w:t>South Region is the only region above average on both cost ($55,568) and readmission risk (23.5%) simultaneously. A structured protocol comparison benchmarking South's highest-cost diagnosis pathways against East Region identifies the specific supply, staffing, or care pathway decisions driving South's $1,369 per-visit premium.</w:t>
      </w:r>
    </w:p>
    <w:p w14:paraId="0E7B8E26" w14:textId="3508FAFB" w:rsidR="00156F25" w:rsidRDefault="00156F25" w:rsidP="00156F25">
      <w:pPr>
        <w:spacing w:after="240"/>
        <w:ind w:left="720"/>
        <w:jc w:val="both"/>
      </w:pPr>
      <w:r>
        <w:t>Target: South average cost within $500 of East within three quarters.</w:t>
      </w:r>
    </w:p>
    <w:p w14:paraId="35412850" w14:textId="320E8B6E" w:rsidR="00446DA0" w:rsidRDefault="00EB2C8A" w:rsidP="00156F25">
      <w:pPr>
        <w:spacing w:after="240"/>
        <w:ind w:left="720"/>
        <w:jc w:val="both"/>
      </w:pPr>
      <w:r>
        <w:t xml:space="preserve"> Owner: South Regional Head and CFO. </w:t>
      </w:r>
    </w:p>
    <w:p w14:paraId="1FB46233" w14:textId="008C6B0A" w:rsidR="00446DA0" w:rsidRPr="009C7985" w:rsidRDefault="00EB2C8A" w:rsidP="00104B02">
      <w:pPr>
        <w:pStyle w:val="Heading1"/>
        <w:spacing w:after="160"/>
        <w:jc w:val="both"/>
        <w:rPr>
          <w:rFonts w:asciiTheme="minorHAnsi" w:hAnsiTheme="minorHAnsi" w:cstheme="minorHAnsi"/>
          <w:color w:val="2F5496" w:themeColor="accent1" w:themeShade="BF"/>
          <w:sz w:val="36"/>
          <w:szCs w:val="36"/>
        </w:rPr>
      </w:pPr>
      <w:r w:rsidRPr="009C7985">
        <w:rPr>
          <w:rFonts w:asciiTheme="minorHAnsi" w:hAnsiTheme="minorHAnsi" w:cstheme="minorHAnsi"/>
          <w:b/>
          <w:color w:val="2F5496" w:themeColor="accent1" w:themeShade="BF"/>
          <w:sz w:val="40"/>
          <w:szCs w:val="36"/>
        </w:rPr>
        <w:lastRenderedPageBreak/>
        <w:t>Conclusion</w:t>
      </w:r>
    </w:p>
    <w:p w14:paraId="66280FE6" w14:textId="2515D131" w:rsidR="00446DA0" w:rsidRDefault="00EB2C8A" w:rsidP="00104B02">
      <w:pPr>
        <w:pStyle w:val="Heading2"/>
        <w:spacing w:before="200" w:after="120"/>
        <w:jc w:val="both"/>
      </w:pPr>
      <w:r>
        <w:rPr>
          <w:b/>
          <w:sz w:val="28"/>
        </w:rPr>
        <w:t>From Raw Records to Clinical and Operational Intelligence</w:t>
      </w:r>
    </w:p>
    <w:p w14:paraId="29F6CE70" w14:textId="77777777" w:rsidR="00446DA0" w:rsidRDefault="00EB2C8A" w:rsidP="00104B02">
      <w:pPr>
        <w:spacing w:after="160"/>
        <w:jc w:val="both"/>
      </w:pPr>
      <w:r>
        <w:t>This project began with a flat CSV of 5,000 patient visit records — timestamps, categorical labels, and four numerical measurements — and no analytical structure applied. The six-step workflow documented in Section 3 converted those records into seven verified KPI findings, a ten-visual audited dashboard architecture, and four operational programmes comprising sixteen initiatives, each with a named owner, a measurable outcome, and a delivery timeline. The business value of that transformation is specific an</w:t>
      </w:r>
      <w:r>
        <w:t>d quantified.</w:t>
      </w:r>
    </w:p>
    <w:p w14:paraId="7C5A5708" w14:textId="345BA15B" w:rsidR="00446DA0" w:rsidRDefault="00EB2C8A" w:rsidP="00104B02">
      <w:pPr>
        <w:pStyle w:val="Heading2"/>
        <w:spacing w:before="200" w:after="120"/>
        <w:jc w:val="both"/>
      </w:pPr>
      <w:r>
        <w:rPr>
          <w:b/>
          <w:sz w:val="28"/>
        </w:rPr>
        <w:t>Three Core Business Value Outcomes</w:t>
      </w:r>
    </w:p>
    <w:p w14:paraId="43BA08F7" w14:textId="77777777" w:rsidR="00EA11FF" w:rsidRDefault="00EB2C8A" w:rsidP="00104B02">
      <w:pPr>
        <w:numPr>
          <w:ilvl w:val="0"/>
          <w:numId w:val="18"/>
        </w:numPr>
        <w:spacing w:after="100"/>
        <w:jc w:val="both"/>
      </w:pPr>
      <w:r w:rsidRPr="00FC7B7C">
        <w:rPr>
          <w:b/>
          <w:bCs/>
        </w:rPr>
        <w:t>Clinical Efficiency:</w:t>
      </w:r>
      <w:r>
        <w:t xml:space="preserve"> </w:t>
      </w:r>
    </w:p>
    <w:p w14:paraId="30C9BE86" w14:textId="6D9BE6C8" w:rsidR="00446DA0" w:rsidRDefault="00EB2C8A" w:rsidP="00EA11FF">
      <w:pPr>
        <w:spacing w:after="100"/>
        <w:ind w:left="720"/>
        <w:jc w:val="both"/>
      </w:pPr>
      <w:r>
        <w:t xml:space="preserve">Pearson r = +0.012 between </w:t>
      </w:r>
      <w:r w:rsidR="00C70E64">
        <w:t>LOS (LENGTH OF STAY)</w:t>
      </w:r>
      <w:r>
        <w:t xml:space="preserve"> and recovery score provides the evidence mandate — not just the budget pressure — to reduce inpatient stays for 1,210 patients above P75 without any clinical outcome risk. Before this analysis, that decision required institutional courage. After it, it requires only execution.</w:t>
      </w:r>
    </w:p>
    <w:p w14:paraId="5FF2249D" w14:textId="77777777" w:rsidR="00EA11FF" w:rsidRDefault="00EB2C8A" w:rsidP="00104B02">
      <w:pPr>
        <w:numPr>
          <w:ilvl w:val="0"/>
          <w:numId w:val="18"/>
        </w:numPr>
        <w:spacing w:after="100"/>
        <w:jc w:val="both"/>
      </w:pPr>
      <w:r w:rsidRPr="00FC7B7C">
        <w:rPr>
          <w:b/>
          <w:bCs/>
        </w:rPr>
        <w:t>Financial Accountability:</w:t>
      </w:r>
      <w:r>
        <w:t xml:space="preserve"> </w:t>
      </w:r>
    </w:p>
    <w:p w14:paraId="469EF4D1" w14:textId="52F6C50B" w:rsidR="00446DA0" w:rsidRDefault="00EB2C8A" w:rsidP="00EA11FF">
      <w:pPr>
        <w:spacing w:after="100"/>
        <w:ind w:left="720"/>
        <w:jc w:val="both"/>
      </w:pPr>
      <w:r>
        <w:t>A 35.5% cost coefficient of variation on a $274.6M network spend, with high-spend patients achieving only 1.72 recovery points more than standard-spend patients, reframes expenditure from budget defence to evidence-based variance reduction. The question is no longer how much the hospital spends, but why the same outcome costs $19,481 more for some patients.</w:t>
      </w:r>
    </w:p>
    <w:p w14:paraId="5798F608" w14:textId="77777777" w:rsidR="00EA11FF" w:rsidRDefault="00EB2C8A" w:rsidP="00104B02">
      <w:pPr>
        <w:numPr>
          <w:ilvl w:val="0"/>
          <w:numId w:val="18"/>
        </w:numPr>
        <w:spacing w:after="160"/>
        <w:jc w:val="both"/>
      </w:pPr>
      <w:r w:rsidRPr="00FC7B7C">
        <w:rPr>
          <w:b/>
          <w:bCs/>
        </w:rPr>
        <w:t>Readmission Prevention:</w:t>
      </w:r>
      <w:r>
        <w:t xml:space="preserve"> </w:t>
      </w:r>
    </w:p>
    <w:p w14:paraId="5B22E378" w14:textId="67739145" w:rsidR="00446DA0" w:rsidRDefault="00EB2C8A" w:rsidP="00EA11FF">
      <w:pPr>
        <w:spacing w:after="160"/>
        <w:ind w:left="720"/>
        <w:jc w:val="both"/>
      </w:pPr>
      <w:r>
        <w:t>Discovering that 802 of 1,152 high-risk discharges arrive via Routine pathways — not Emergency — fundamentally reorients where discharge intervention resources belong. An Emergency-only screen misses 69.6% of the high-risk cohort. That reallocation decision is only possible because the data surfaced it.</w:t>
      </w:r>
    </w:p>
    <w:p w14:paraId="647D61DC" w14:textId="4F3C215E" w:rsidR="00446DA0" w:rsidRDefault="00EB2C8A" w:rsidP="00104B02">
      <w:pPr>
        <w:pStyle w:val="Heading2"/>
        <w:spacing w:before="200" w:after="120"/>
        <w:jc w:val="both"/>
      </w:pPr>
      <w:r>
        <w:rPr>
          <w:b/>
          <w:sz w:val="28"/>
        </w:rPr>
        <w:t>Analytics Workflow Applied End to End</w:t>
      </w:r>
    </w:p>
    <w:p w14:paraId="2FA35994" w14:textId="77777777" w:rsidR="00156F25" w:rsidRDefault="00EB2C8A" w:rsidP="00FC7B7C">
      <w:pPr>
        <w:numPr>
          <w:ilvl w:val="0"/>
          <w:numId w:val="22"/>
        </w:numPr>
        <w:spacing w:after="160"/>
        <w:jc w:val="both"/>
      </w:pPr>
      <w:r w:rsidRPr="00FC7B7C">
        <w:rPr>
          <w:b/>
          <w:bCs/>
        </w:rPr>
        <w:t>Step 1 Ingest:</w:t>
      </w:r>
      <w:r>
        <w:t xml:space="preserve"> 5,000 records across 12 columns loaded and structurally verified. </w:t>
      </w:r>
    </w:p>
    <w:p w14:paraId="0F92FF10" w14:textId="77777777" w:rsidR="00FC7B7C" w:rsidRDefault="00EB2C8A" w:rsidP="00FC7B7C">
      <w:pPr>
        <w:numPr>
          <w:ilvl w:val="0"/>
          <w:numId w:val="22"/>
        </w:numPr>
        <w:spacing w:after="160"/>
        <w:jc w:val="both"/>
      </w:pPr>
      <w:r w:rsidRPr="00EA11FF">
        <w:rPr>
          <w:b/>
          <w:bCs/>
        </w:rPr>
        <w:t>Step 2 Clean:</w:t>
      </w:r>
      <w:r>
        <w:t xml:space="preserve"> Null rules, deduplication, datetime parse, categorical </w:t>
      </w:r>
      <w:proofErr w:type="spellStart"/>
      <w:r>
        <w:t>dtype</w:t>
      </w:r>
      <w:proofErr w:type="spellEnd"/>
      <w:r>
        <w:t xml:space="preserve"> enforcement. Step 2b Encode: Ordinal and one-hot encoding applied before feature engineering. </w:t>
      </w:r>
    </w:p>
    <w:p w14:paraId="323BAEEC" w14:textId="77777777" w:rsidR="00FC7B7C" w:rsidRDefault="00EB2C8A" w:rsidP="00FC7B7C">
      <w:pPr>
        <w:numPr>
          <w:ilvl w:val="0"/>
          <w:numId w:val="22"/>
        </w:numPr>
        <w:spacing w:after="160"/>
        <w:jc w:val="both"/>
      </w:pPr>
      <w:r w:rsidRPr="00EA11FF">
        <w:rPr>
          <w:b/>
          <w:bCs/>
        </w:rPr>
        <w:t>Step 3 Engineer:</w:t>
      </w:r>
      <w:r>
        <w:t xml:space="preserve"> 6 derived features including daily cost and binary risk flag.</w:t>
      </w:r>
    </w:p>
    <w:p w14:paraId="42439D7D" w14:textId="77777777" w:rsidR="00FC7B7C" w:rsidRDefault="00EB2C8A" w:rsidP="00FC7B7C">
      <w:pPr>
        <w:numPr>
          <w:ilvl w:val="0"/>
          <w:numId w:val="22"/>
        </w:numPr>
        <w:spacing w:after="160"/>
        <w:jc w:val="both"/>
      </w:pPr>
      <w:r w:rsidRPr="00EA11FF">
        <w:rPr>
          <w:b/>
          <w:bCs/>
        </w:rPr>
        <w:t>Step 4 Aggregate:</w:t>
      </w:r>
      <w:r>
        <w:t xml:space="preserve"> 5 named groupby views covering department, age, visit type, time, and region. </w:t>
      </w:r>
    </w:p>
    <w:p w14:paraId="3CA6B829" w14:textId="77777777" w:rsidR="00FC7B7C" w:rsidRDefault="00EB2C8A" w:rsidP="00FC7B7C">
      <w:pPr>
        <w:numPr>
          <w:ilvl w:val="0"/>
          <w:numId w:val="22"/>
        </w:numPr>
        <w:spacing w:after="160"/>
        <w:jc w:val="both"/>
      </w:pPr>
      <w:r w:rsidRPr="00EA11FF">
        <w:rPr>
          <w:b/>
          <w:bCs/>
        </w:rPr>
        <w:t>Step 5 Visualise:</w:t>
      </w:r>
      <w:r>
        <w:t xml:space="preserve"> 10 charts with 5 interactive slicers and 4 KPI cards. </w:t>
      </w:r>
    </w:p>
    <w:p w14:paraId="39202B02" w14:textId="36FDAB70" w:rsidR="00446DA0" w:rsidRDefault="00EB2C8A" w:rsidP="00FC7B7C">
      <w:pPr>
        <w:numPr>
          <w:ilvl w:val="0"/>
          <w:numId w:val="22"/>
        </w:numPr>
        <w:spacing w:after="160"/>
        <w:jc w:val="both"/>
      </w:pPr>
      <w:r w:rsidRPr="00EA11FF">
        <w:rPr>
          <w:b/>
          <w:bCs/>
        </w:rPr>
        <w:t>Step 6 Apply:</w:t>
      </w:r>
      <w:r>
        <w:t xml:space="preserve"> 4 operational programmes with 16 named initiatives.</w:t>
      </w:r>
    </w:p>
    <w:p w14:paraId="221ECFC2" w14:textId="6CB8B5EB" w:rsidR="00446DA0" w:rsidRDefault="00EB2C8A" w:rsidP="00104B02">
      <w:pPr>
        <w:pStyle w:val="Heading2"/>
        <w:spacing w:before="200" w:after="120"/>
        <w:jc w:val="both"/>
      </w:pPr>
      <w:r>
        <w:rPr>
          <w:b/>
          <w:sz w:val="28"/>
        </w:rPr>
        <w:t>Key Non-Obvious Findings</w:t>
      </w:r>
    </w:p>
    <w:p w14:paraId="13150BC3" w14:textId="1BF221B4" w:rsidR="00446DA0" w:rsidRDefault="00C70E64" w:rsidP="00104B02">
      <w:pPr>
        <w:numPr>
          <w:ilvl w:val="0"/>
          <w:numId w:val="19"/>
        </w:numPr>
        <w:spacing w:after="80"/>
        <w:jc w:val="both"/>
      </w:pPr>
      <w:r>
        <w:t>LOS (LENGTH OF STAY)</w:t>
      </w:r>
      <w:r w:rsidR="00EB2C8A">
        <w:t xml:space="preserve"> has zero impact on recovery (r = +0.012): Bed-day reduction carries no clinical outcome risk, removing the primary objection to discharge acceleration.</w:t>
      </w:r>
    </w:p>
    <w:p w14:paraId="2970F9DA" w14:textId="77777777" w:rsidR="00446DA0" w:rsidRDefault="00EB2C8A" w:rsidP="00104B02">
      <w:pPr>
        <w:numPr>
          <w:ilvl w:val="0"/>
          <w:numId w:val="19"/>
        </w:numPr>
        <w:spacing w:after="80"/>
        <w:jc w:val="both"/>
      </w:pPr>
      <w:r>
        <w:t>Routine visits produce more high-risk patients than Emergency (23.4% vs 22.3%): Standard triage assumptions about where readmission risk concentrates are wrong in this dataset.</w:t>
      </w:r>
    </w:p>
    <w:p w14:paraId="6E2DFB02" w14:textId="77777777" w:rsidR="00446DA0" w:rsidRDefault="00EB2C8A" w:rsidP="00104B02">
      <w:pPr>
        <w:numPr>
          <w:ilvl w:val="0"/>
          <w:numId w:val="19"/>
        </w:numPr>
        <w:spacing w:after="80"/>
        <w:jc w:val="both"/>
      </w:pPr>
      <w:r>
        <w:lastRenderedPageBreak/>
        <w:t>18-30 year-olds cost more and recover less than older patients: Age does not reduce cost; it is not the expected inverse relationship.</w:t>
      </w:r>
    </w:p>
    <w:p w14:paraId="75035B42" w14:textId="77777777" w:rsidR="00446DA0" w:rsidRDefault="00EB2C8A" w:rsidP="00104B02">
      <w:pPr>
        <w:numPr>
          <w:ilvl w:val="0"/>
          <w:numId w:val="19"/>
        </w:numPr>
        <w:spacing w:after="160"/>
        <w:jc w:val="both"/>
      </w:pPr>
      <w:r>
        <w:t>East Region has the highest risk at the lowest cost: Its performance gap is a post-discharge infrastructure problem, not an inpatient care quality problem.</w:t>
      </w:r>
    </w:p>
    <w:p w14:paraId="1CD0E399" w14:textId="62EB1E3B" w:rsidR="00446DA0" w:rsidRDefault="00EB2C8A" w:rsidP="00104B02">
      <w:pPr>
        <w:pStyle w:val="Heading2"/>
        <w:spacing w:before="200" w:after="120"/>
        <w:jc w:val="both"/>
      </w:pPr>
      <w:r>
        <w:rPr>
          <w:b/>
          <w:sz w:val="28"/>
        </w:rPr>
        <w:t>Forward-Looking: Predictive Modelling</w:t>
      </w:r>
    </w:p>
    <w:p w14:paraId="14B8185C" w14:textId="1FBBEEB2" w:rsidR="00446DA0" w:rsidRDefault="00EB2C8A" w:rsidP="00104B02">
      <w:pPr>
        <w:spacing w:after="160"/>
        <w:jc w:val="both"/>
      </w:pPr>
      <w:r>
        <w:t xml:space="preserve">The predictive modelling phase is the natural next step: training a classification model on the engineered features from </w:t>
      </w:r>
      <w:r w:rsidR="00122DB9" w:rsidRPr="00122DB9">
        <w:t>Live Analysis and KPI Findings</w:t>
      </w:r>
      <w:r w:rsidR="00122DB9">
        <w:t xml:space="preserve"> </w:t>
      </w:r>
      <w:r>
        <w:t>to generate a per-patient readmission risk score at the point of admission — not retrospectively at discharge — so that intervention resources are activated at the beginning of the clinical episode rather than at its end. That shift from descriptive to prescriptive analytics is where the 23.0% high-risk rate becomes a preventable number rather than a reported one.</w:t>
      </w:r>
    </w:p>
    <w:p w14:paraId="758B489A" w14:textId="5DCFC67B" w:rsidR="00446DA0" w:rsidRDefault="00EB2C8A" w:rsidP="00104B02">
      <w:pPr>
        <w:pStyle w:val="Heading2"/>
        <w:spacing w:before="200" w:after="120"/>
        <w:jc w:val="both"/>
      </w:pPr>
      <w:r>
        <w:rPr>
          <w:b/>
          <w:sz w:val="28"/>
        </w:rPr>
        <w:t>Scalability Statement</w:t>
      </w:r>
    </w:p>
    <w:p w14:paraId="7B6D2B36" w14:textId="7B0216F7" w:rsidR="00446DA0" w:rsidRDefault="00EB2C8A" w:rsidP="00104B02">
      <w:pPr>
        <w:spacing w:after="320"/>
        <w:jc w:val="both"/>
      </w:pPr>
      <w:r>
        <w:t xml:space="preserve">The 5,000 records in this dataset represent a single year of one hospital network's encounters. The methodology, findings, and decision framework documented across </w:t>
      </w:r>
      <w:r w:rsidR="00A90C0B">
        <w:t>all the parts</w:t>
      </w:r>
      <w:r>
        <w:t xml:space="preserve"> are designed to scale to 50,000 records, to ten hospitals, and to a live operational dashboard refreshed daily. The data infrastructure is reproducible. The analytical workflow is documented and audited. The business case is fully quantified. What remains is execution.</w:t>
      </w:r>
    </w:p>
    <w:sectPr w:rsidR="00446DA0" w:rsidSect="001068AB">
      <w:pgSz w:w="11906" w:h="16838"/>
      <w:pgMar w:top="1440" w:right="1080" w:bottom="1440" w:left="1080" w:header="720" w:footer="720" w:gutter="0"/>
      <w:pgBorders w:display="notFirstPage" w:offsetFrom="page">
        <w:top w:val="double" w:sz="4" w:space="24" w:color="auto"/>
        <w:left w:val="double" w:sz="4" w:space="24" w:color="auto"/>
        <w:bottom w:val="double" w:sz="4" w:space="24" w:color="auto"/>
        <w:right w:val="double" w:sz="4" w:space="24" w:color="auto"/>
      </w:pgBorders>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2B7"/>
    <w:multiLevelType w:val="multilevel"/>
    <w:tmpl w:val="BA7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85B"/>
    <w:multiLevelType w:val="hybridMultilevel"/>
    <w:tmpl w:val="A57C10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FEE5890"/>
    <w:multiLevelType w:val="hybridMultilevel"/>
    <w:tmpl w:val="BCD24E5E"/>
    <w:lvl w:ilvl="0" w:tplc="BED8D3CA">
      <w:start w:val="1"/>
      <w:numFmt w:val="bullet"/>
      <w:lvlText w:val="•"/>
      <w:lvlJc w:val="left"/>
      <w:pPr>
        <w:ind w:left="720" w:hanging="360"/>
      </w:pPr>
    </w:lvl>
    <w:lvl w:ilvl="1" w:tplc="86CE2F98">
      <w:start w:val="1"/>
      <w:numFmt w:val="bullet"/>
      <w:lvlText w:val="◦"/>
      <w:lvlJc w:val="left"/>
      <w:pPr>
        <w:ind w:left="1440" w:hanging="360"/>
      </w:pPr>
    </w:lvl>
    <w:lvl w:ilvl="2" w:tplc="3992F5B8">
      <w:start w:val="1"/>
      <w:numFmt w:val="bullet"/>
      <w:lvlText w:val="▪"/>
      <w:lvlJc w:val="left"/>
      <w:pPr>
        <w:ind w:left="2160" w:hanging="360"/>
      </w:pPr>
    </w:lvl>
    <w:lvl w:ilvl="3" w:tplc="1A48B048">
      <w:start w:val="1"/>
      <w:numFmt w:val="bullet"/>
      <w:lvlText w:val="•"/>
      <w:lvlJc w:val="left"/>
      <w:pPr>
        <w:ind w:left="2880" w:hanging="360"/>
      </w:pPr>
    </w:lvl>
    <w:lvl w:ilvl="4" w:tplc="4AFE46AC">
      <w:start w:val="1"/>
      <w:numFmt w:val="bullet"/>
      <w:lvlText w:val="◦"/>
      <w:lvlJc w:val="left"/>
      <w:pPr>
        <w:ind w:left="3600" w:hanging="360"/>
      </w:pPr>
    </w:lvl>
    <w:lvl w:ilvl="5" w:tplc="852EAD62">
      <w:start w:val="1"/>
      <w:numFmt w:val="bullet"/>
      <w:lvlText w:val="▪"/>
      <w:lvlJc w:val="left"/>
      <w:pPr>
        <w:ind w:left="4320" w:hanging="360"/>
      </w:pPr>
    </w:lvl>
    <w:lvl w:ilvl="6" w:tplc="F64C4AD4">
      <w:start w:val="1"/>
      <w:numFmt w:val="bullet"/>
      <w:lvlText w:val="•"/>
      <w:lvlJc w:val="left"/>
      <w:pPr>
        <w:ind w:left="5040" w:hanging="360"/>
      </w:pPr>
    </w:lvl>
    <w:lvl w:ilvl="7" w:tplc="380EC9F4">
      <w:start w:val="1"/>
      <w:numFmt w:val="bullet"/>
      <w:lvlText w:val="◦"/>
      <w:lvlJc w:val="left"/>
      <w:pPr>
        <w:ind w:left="5760" w:hanging="360"/>
      </w:pPr>
    </w:lvl>
    <w:lvl w:ilvl="8" w:tplc="3E722FC0">
      <w:start w:val="1"/>
      <w:numFmt w:val="bullet"/>
      <w:lvlText w:val="▪"/>
      <w:lvlJc w:val="left"/>
      <w:pPr>
        <w:ind w:left="6480" w:hanging="360"/>
      </w:pPr>
    </w:lvl>
  </w:abstractNum>
  <w:abstractNum w:abstractNumId="3" w15:restartNumberingAfterBreak="0">
    <w:nsid w:val="11F3528D"/>
    <w:multiLevelType w:val="hybridMultilevel"/>
    <w:tmpl w:val="77382076"/>
    <w:lvl w:ilvl="0" w:tplc="9CC4A69A">
      <w:start w:val="1"/>
      <w:numFmt w:val="bullet"/>
      <w:lvlText w:val="•"/>
      <w:lvlJc w:val="left"/>
      <w:pPr>
        <w:ind w:left="720" w:hanging="360"/>
      </w:pPr>
    </w:lvl>
    <w:lvl w:ilvl="1" w:tplc="D7846062">
      <w:start w:val="1"/>
      <w:numFmt w:val="bullet"/>
      <w:lvlText w:val="◦"/>
      <w:lvlJc w:val="left"/>
      <w:pPr>
        <w:ind w:left="1440" w:hanging="360"/>
      </w:pPr>
    </w:lvl>
    <w:lvl w:ilvl="2" w:tplc="F75A003E">
      <w:start w:val="1"/>
      <w:numFmt w:val="bullet"/>
      <w:lvlText w:val="▪"/>
      <w:lvlJc w:val="left"/>
      <w:pPr>
        <w:ind w:left="2160" w:hanging="360"/>
      </w:pPr>
    </w:lvl>
    <w:lvl w:ilvl="3" w:tplc="C33A1ACC">
      <w:start w:val="1"/>
      <w:numFmt w:val="bullet"/>
      <w:lvlText w:val="•"/>
      <w:lvlJc w:val="left"/>
      <w:pPr>
        <w:ind w:left="2880" w:hanging="360"/>
      </w:pPr>
    </w:lvl>
    <w:lvl w:ilvl="4" w:tplc="5A5C0B4E">
      <w:start w:val="1"/>
      <w:numFmt w:val="bullet"/>
      <w:lvlText w:val="◦"/>
      <w:lvlJc w:val="left"/>
      <w:pPr>
        <w:ind w:left="3600" w:hanging="360"/>
      </w:pPr>
    </w:lvl>
    <w:lvl w:ilvl="5" w:tplc="285EEEA2">
      <w:start w:val="1"/>
      <w:numFmt w:val="bullet"/>
      <w:lvlText w:val="▪"/>
      <w:lvlJc w:val="left"/>
      <w:pPr>
        <w:ind w:left="4320" w:hanging="360"/>
      </w:pPr>
    </w:lvl>
    <w:lvl w:ilvl="6" w:tplc="860CE96E">
      <w:start w:val="1"/>
      <w:numFmt w:val="bullet"/>
      <w:lvlText w:val="•"/>
      <w:lvlJc w:val="left"/>
      <w:pPr>
        <w:ind w:left="5040" w:hanging="360"/>
      </w:pPr>
    </w:lvl>
    <w:lvl w:ilvl="7" w:tplc="CD54CB72">
      <w:start w:val="1"/>
      <w:numFmt w:val="bullet"/>
      <w:lvlText w:val="◦"/>
      <w:lvlJc w:val="left"/>
      <w:pPr>
        <w:ind w:left="5760" w:hanging="360"/>
      </w:pPr>
    </w:lvl>
    <w:lvl w:ilvl="8" w:tplc="4C826688">
      <w:start w:val="1"/>
      <w:numFmt w:val="bullet"/>
      <w:lvlText w:val="▪"/>
      <w:lvlJc w:val="left"/>
      <w:pPr>
        <w:ind w:left="6480" w:hanging="360"/>
      </w:pPr>
    </w:lvl>
  </w:abstractNum>
  <w:abstractNum w:abstractNumId="4" w15:restartNumberingAfterBreak="0">
    <w:nsid w:val="254876A7"/>
    <w:multiLevelType w:val="hybridMultilevel"/>
    <w:tmpl w:val="8A38FF78"/>
    <w:lvl w:ilvl="0" w:tplc="5344B074">
      <w:start w:val="1"/>
      <w:numFmt w:val="bullet"/>
      <w:lvlText w:val="•"/>
      <w:lvlJc w:val="left"/>
      <w:pPr>
        <w:ind w:left="720" w:hanging="360"/>
      </w:pPr>
    </w:lvl>
    <w:lvl w:ilvl="1" w:tplc="03AAF0D4">
      <w:start w:val="1"/>
      <w:numFmt w:val="bullet"/>
      <w:lvlText w:val="◦"/>
      <w:lvlJc w:val="left"/>
      <w:pPr>
        <w:ind w:left="1440" w:hanging="360"/>
      </w:pPr>
    </w:lvl>
    <w:lvl w:ilvl="2" w:tplc="9FB20154">
      <w:start w:val="1"/>
      <w:numFmt w:val="bullet"/>
      <w:lvlText w:val="▪"/>
      <w:lvlJc w:val="left"/>
      <w:pPr>
        <w:ind w:left="2160" w:hanging="360"/>
      </w:pPr>
    </w:lvl>
    <w:lvl w:ilvl="3" w:tplc="3A3218B8">
      <w:start w:val="1"/>
      <w:numFmt w:val="bullet"/>
      <w:lvlText w:val="•"/>
      <w:lvlJc w:val="left"/>
      <w:pPr>
        <w:ind w:left="2880" w:hanging="360"/>
      </w:pPr>
    </w:lvl>
    <w:lvl w:ilvl="4" w:tplc="9990BB6C">
      <w:start w:val="1"/>
      <w:numFmt w:val="bullet"/>
      <w:lvlText w:val="◦"/>
      <w:lvlJc w:val="left"/>
      <w:pPr>
        <w:ind w:left="3600" w:hanging="360"/>
      </w:pPr>
    </w:lvl>
    <w:lvl w:ilvl="5" w:tplc="AA34F874">
      <w:start w:val="1"/>
      <w:numFmt w:val="bullet"/>
      <w:lvlText w:val="▪"/>
      <w:lvlJc w:val="left"/>
      <w:pPr>
        <w:ind w:left="4320" w:hanging="360"/>
      </w:pPr>
    </w:lvl>
    <w:lvl w:ilvl="6" w:tplc="3FC0FD6C">
      <w:start w:val="1"/>
      <w:numFmt w:val="bullet"/>
      <w:lvlText w:val="•"/>
      <w:lvlJc w:val="left"/>
      <w:pPr>
        <w:ind w:left="5040" w:hanging="360"/>
      </w:pPr>
    </w:lvl>
    <w:lvl w:ilvl="7" w:tplc="D40682EA">
      <w:start w:val="1"/>
      <w:numFmt w:val="bullet"/>
      <w:lvlText w:val="◦"/>
      <w:lvlJc w:val="left"/>
      <w:pPr>
        <w:ind w:left="5760" w:hanging="360"/>
      </w:pPr>
    </w:lvl>
    <w:lvl w:ilvl="8" w:tplc="E3E45A54">
      <w:start w:val="1"/>
      <w:numFmt w:val="bullet"/>
      <w:lvlText w:val="▪"/>
      <w:lvlJc w:val="left"/>
      <w:pPr>
        <w:ind w:left="6480" w:hanging="360"/>
      </w:pPr>
    </w:lvl>
  </w:abstractNum>
  <w:abstractNum w:abstractNumId="5" w15:restartNumberingAfterBreak="0">
    <w:nsid w:val="27676334"/>
    <w:multiLevelType w:val="hybridMultilevel"/>
    <w:tmpl w:val="1EC6EF8A"/>
    <w:lvl w:ilvl="0" w:tplc="280CB7DA">
      <w:start w:val="1"/>
      <w:numFmt w:val="bullet"/>
      <w:lvlText w:val="•"/>
      <w:lvlJc w:val="left"/>
      <w:pPr>
        <w:ind w:left="720" w:hanging="360"/>
      </w:pPr>
    </w:lvl>
    <w:lvl w:ilvl="1" w:tplc="B9DCADD6">
      <w:start w:val="1"/>
      <w:numFmt w:val="bullet"/>
      <w:lvlText w:val="◦"/>
      <w:lvlJc w:val="left"/>
      <w:pPr>
        <w:ind w:left="1440" w:hanging="360"/>
      </w:pPr>
    </w:lvl>
    <w:lvl w:ilvl="2" w:tplc="9698CE62">
      <w:start w:val="1"/>
      <w:numFmt w:val="bullet"/>
      <w:lvlText w:val="▪"/>
      <w:lvlJc w:val="left"/>
      <w:pPr>
        <w:ind w:left="2160" w:hanging="360"/>
      </w:pPr>
    </w:lvl>
    <w:lvl w:ilvl="3" w:tplc="287A23DC">
      <w:start w:val="1"/>
      <w:numFmt w:val="bullet"/>
      <w:lvlText w:val="•"/>
      <w:lvlJc w:val="left"/>
      <w:pPr>
        <w:ind w:left="2880" w:hanging="360"/>
      </w:pPr>
    </w:lvl>
    <w:lvl w:ilvl="4" w:tplc="0EAA090A">
      <w:start w:val="1"/>
      <w:numFmt w:val="bullet"/>
      <w:lvlText w:val="◦"/>
      <w:lvlJc w:val="left"/>
      <w:pPr>
        <w:ind w:left="3600" w:hanging="360"/>
      </w:pPr>
    </w:lvl>
    <w:lvl w:ilvl="5" w:tplc="416E83E6">
      <w:start w:val="1"/>
      <w:numFmt w:val="bullet"/>
      <w:lvlText w:val="▪"/>
      <w:lvlJc w:val="left"/>
      <w:pPr>
        <w:ind w:left="4320" w:hanging="360"/>
      </w:pPr>
    </w:lvl>
    <w:lvl w:ilvl="6" w:tplc="92B82F0A">
      <w:start w:val="1"/>
      <w:numFmt w:val="bullet"/>
      <w:lvlText w:val="•"/>
      <w:lvlJc w:val="left"/>
      <w:pPr>
        <w:ind w:left="5040" w:hanging="360"/>
      </w:pPr>
    </w:lvl>
    <w:lvl w:ilvl="7" w:tplc="DD849C66">
      <w:start w:val="1"/>
      <w:numFmt w:val="bullet"/>
      <w:lvlText w:val="◦"/>
      <w:lvlJc w:val="left"/>
      <w:pPr>
        <w:ind w:left="5760" w:hanging="360"/>
      </w:pPr>
    </w:lvl>
    <w:lvl w:ilvl="8" w:tplc="84F299C6">
      <w:start w:val="1"/>
      <w:numFmt w:val="bullet"/>
      <w:lvlText w:val="▪"/>
      <w:lvlJc w:val="left"/>
      <w:pPr>
        <w:ind w:left="6480" w:hanging="360"/>
      </w:pPr>
    </w:lvl>
  </w:abstractNum>
  <w:abstractNum w:abstractNumId="6" w15:restartNumberingAfterBreak="0">
    <w:nsid w:val="2FCB2F70"/>
    <w:multiLevelType w:val="hybridMultilevel"/>
    <w:tmpl w:val="1678805E"/>
    <w:lvl w:ilvl="0" w:tplc="190401F6">
      <w:start w:val="1"/>
      <w:numFmt w:val="bullet"/>
      <w:lvlText w:val="•"/>
      <w:lvlJc w:val="left"/>
      <w:pPr>
        <w:ind w:left="720" w:hanging="360"/>
      </w:pPr>
    </w:lvl>
    <w:lvl w:ilvl="1" w:tplc="9C4C8756">
      <w:start w:val="1"/>
      <w:numFmt w:val="bullet"/>
      <w:lvlText w:val="◦"/>
      <w:lvlJc w:val="left"/>
      <w:pPr>
        <w:ind w:left="1440" w:hanging="360"/>
      </w:pPr>
    </w:lvl>
    <w:lvl w:ilvl="2" w:tplc="884AE8A8">
      <w:start w:val="1"/>
      <w:numFmt w:val="bullet"/>
      <w:lvlText w:val="▪"/>
      <w:lvlJc w:val="left"/>
      <w:pPr>
        <w:ind w:left="2160" w:hanging="360"/>
      </w:pPr>
    </w:lvl>
    <w:lvl w:ilvl="3" w:tplc="17DEE3D8">
      <w:start w:val="1"/>
      <w:numFmt w:val="bullet"/>
      <w:lvlText w:val="•"/>
      <w:lvlJc w:val="left"/>
      <w:pPr>
        <w:ind w:left="2880" w:hanging="360"/>
      </w:pPr>
    </w:lvl>
    <w:lvl w:ilvl="4" w:tplc="6CD6E224">
      <w:start w:val="1"/>
      <w:numFmt w:val="bullet"/>
      <w:lvlText w:val="◦"/>
      <w:lvlJc w:val="left"/>
      <w:pPr>
        <w:ind w:left="3600" w:hanging="360"/>
      </w:pPr>
    </w:lvl>
    <w:lvl w:ilvl="5" w:tplc="0004DC46">
      <w:start w:val="1"/>
      <w:numFmt w:val="bullet"/>
      <w:lvlText w:val="▪"/>
      <w:lvlJc w:val="left"/>
      <w:pPr>
        <w:ind w:left="4320" w:hanging="360"/>
      </w:pPr>
    </w:lvl>
    <w:lvl w:ilvl="6" w:tplc="1D9654F6">
      <w:start w:val="1"/>
      <w:numFmt w:val="bullet"/>
      <w:lvlText w:val="•"/>
      <w:lvlJc w:val="left"/>
      <w:pPr>
        <w:ind w:left="5040" w:hanging="360"/>
      </w:pPr>
    </w:lvl>
    <w:lvl w:ilvl="7" w:tplc="F6C20AE4">
      <w:start w:val="1"/>
      <w:numFmt w:val="bullet"/>
      <w:lvlText w:val="◦"/>
      <w:lvlJc w:val="left"/>
      <w:pPr>
        <w:ind w:left="5760" w:hanging="360"/>
      </w:pPr>
    </w:lvl>
    <w:lvl w:ilvl="8" w:tplc="50E6FD46">
      <w:start w:val="1"/>
      <w:numFmt w:val="bullet"/>
      <w:lvlText w:val="▪"/>
      <w:lvlJc w:val="left"/>
      <w:pPr>
        <w:ind w:left="6480" w:hanging="360"/>
      </w:pPr>
    </w:lvl>
  </w:abstractNum>
  <w:abstractNum w:abstractNumId="7" w15:restartNumberingAfterBreak="0">
    <w:nsid w:val="34207047"/>
    <w:multiLevelType w:val="hybridMultilevel"/>
    <w:tmpl w:val="4C2A52CE"/>
    <w:lvl w:ilvl="0" w:tplc="176E24B2">
      <w:start w:val="1"/>
      <w:numFmt w:val="bullet"/>
      <w:lvlText w:val="•"/>
      <w:lvlJc w:val="left"/>
      <w:pPr>
        <w:ind w:left="720" w:hanging="360"/>
      </w:pPr>
    </w:lvl>
    <w:lvl w:ilvl="1" w:tplc="1FBCE32E">
      <w:start w:val="1"/>
      <w:numFmt w:val="bullet"/>
      <w:lvlText w:val="◦"/>
      <w:lvlJc w:val="left"/>
      <w:pPr>
        <w:ind w:left="1440" w:hanging="360"/>
      </w:pPr>
    </w:lvl>
    <w:lvl w:ilvl="2" w:tplc="DCE039FA">
      <w:start w:val="1"/>
      <w:numFmt w:val="bullet"/>
      <w:lvlText w:val="▪"/>
      <w:lvlJc w:val="left"/>
      <w:pPr>
        <w:ind w:left="2160" w:hanging="360"/>
      </w:pPr>
    </w:lvl>
    <w:lvl w:ilvl="3" w:tplc="A31CE52E">
      <w:start w:val="1"/>
      <w:numFmt w:val="bullet"/>
      <w:lvlText w:val="•"/>
      <w:lvlJc w:val="left"/>
      <w:pPr>
        <w:ind w:left="2880" w:hanging="360"/>
      </w:pPr>
    </w:lvl>
    <w:lvl w:ilvl="4" w:tplc="B240AF26">
      <w:start w:val="1"/>
      <w:numFmt w:val="bullet"/>
      <w:lvlText w:val="◦"/>
      <w:lvlJc w:val="left"/>
      <w:pPr>
        <w:ind w:left="3600" w:hanging="360"/>
      </w:pPr>
    </w:lvl>
    <w:lvl w:ilvl="5" w:tplc="BCACAE38">
      <w:start w:val="1"/>
      <w:numFmt w:val="bullet"/>
      <w:lvlText w:val="▪"/>
      <w:lvlJc w:val="left"/>
      <w:pPr>
        <w:ind w:left="4320" w:hanging="360"/>
      </w:pPr>
    </w:lvl>
    <w:lvl w:ilvl="6" w:tplc="0BBEEBF0">
      <w:start w:val="1"/>
      <w:numFmt w:val="bullet"/>
      <w:lvlText w:val="•"/>
      <w:lvlJc w:val="left"/>
      <w:pPr>
        <w:ind w:left="5040" w:hanging="360"/>
      </w:pPr>
    </w:lvl>
    <w:lvl w:ilvl="7" w:tplc="02A60062">
      <w:start w:val="1"/>
      <w:numFmt w:val="bullet"/>
      <w:lvlText w:val="◦"/>
      <w:lvlJc w:val="left"/>
      <w:pPr>
        <w:ind w:left="5760" w:hanging="360"/>
      </w:pPr>
    </w:lvl>
    <w:lvl w:ilvl="8" w:tplc="EBCCA4E8">
      <w:start w:val="1"/>
      <w:numFmt w:val="bullet"/>
      <w:lvlText w:val="▪"/>
      <w:lvlJc w:val="left"/>
      <w:pPr>
        <w:ind w:left="6480" w:hanging="360"/>
      </w:pPr>
    </w:lvl>
  </w:abstractNum>
  <w:abstractNum w:abstractNumId="8" w15:restartNumberingAfterBreak="0">
    <w:nsid w:val="36CC62BE"/>
    <w:multiLevelType w:val="hybridMultilevel"/>
    <w:tmpl w:val="CF6CD68C"/>
    <w:lvl w:ilvl="0" w:tplc="3432B18E">
      <w:start w:val="1"/>
      <w:numFmt w:val="bullet"/>
      <w:lvlText w:val="•"/>
      <w:lvlJc w:val="left"/>
      <w:pPr>
        <w:ind w:left="720" w:hanging="360"/>
      </w:pPr>
    </w:lvl>
    <w:lvl w:ilvl="1" w:tplc="060C4228">
      <w:start w:val="1"/>
      <w:numFmt w:val="bullet"/>
      <w:lvlText w:val="◦"/>
      <w:lvlJc w:val="left"/>
      <w:pPr>
        <w:ind w:left="1440" w:hanging="360"/>
      </w:pPr>
    </w:lvl>
    <w:lvl w:ilvl="2" w:tplc="666EF7EC">
      <w:start w:val="1"/>
      <w:numFmt w:val="bullet"/>
      <w:lvlText w:val="▪"/>
      <w:lvlJc w:val="left"/>
      <w:pPr>
        <w:ind w:left="2160" w:hanging="360"/>
      </w:pPr>
    </w:lvl>
    <w:lvl w:ilvl="3" w:tplc="D60A001C">
      <w:start w:val="1"/>
      <w:numFmt w:val="bullet"/>
      <w:lvlText w:val="•"/>
      <w:lvlJc w:val="left"/>
      <w:pPr>
        <w:ind w:left="2880" w:hanging="360"/>
      </w:pPr>
    </w:lvl>
    <w:lvl w:ilvl="4" w:tplc="98A0E252">
      <w:start w:val="1"/>
      <w:numFmt w:val="bullet"/>
      <w:lvlText w:val="◦"/>
      <w:lvlJc w:val="left"/>
      <w:pPr>
        <w:ind w:left="3600" w:hanging="360"/>
      </w:pPr>
    </w:lvl>
    <w:lvl w:ilvl="5" w:tplc="E154DC68">
      <w:start w:val="1"/>
      <w:numFmt w:val="bullet"/>
      <w:lvlText w:val="▪"/>
      <w:lvlJc w:val="left"/>
      <w:pPr>
        <w:ind w:left="4320" w:hanging="360"/>
      </w:pPr>
    </w:lvl>
    <w:lvl w:ilvl="6" w:tplc="2AECF4BC">
      <w:start w:val="1"/>
      <w:numFmt w:val="bullet"/>
      <w:lvlText w:val="•"/>
      <w:lvlJc w:val="left"/>
      <w:pPr>
        <w:ind w:left="5040" w:hanging="360"/>
      </w:pPr>
    </w:lvl>
    <w:lvl w:ilvl="7" w:tplc="97284C9E">
      <w:start w:val="1"/>
      <w:numFmt w:val="bullet"/>
      <w:lvlText w:val="◦"/>
      <w:lvlJc w:val="left"/>
      <w:pPr>
        <w:ind w:left="5760" w:hanging="360"/>
      </w:pPr>
    </w:lvl>
    <w:lvl w:ilvl="8" w:tplc="B144F6D6">
      <w:start w:val="1"/>
      <w:numFmt w:val="bullet"/>
      <w:lvlText w:val="▪"/>
      <w:lvlJc w:val="left"/>
      <w:pPr>
        <w:ind w:left="6480" w:hanging="360"/>
      </w:pPr>
    </w:lvl>
  </w:abstractNum>
  <w:abstractNum w:abstractNumId="9" w15:restartNumberingAfterBreak="0">
    <w:nsid w:val="3B48071B"/>
    <w:multiLevelType w:val="hybridMultilevel"/>
    <w:tmpl w:val="7EFAC1FC"/>
    <w:lvl w:ilvl="0" w:tplc="73980D26">
      <w:start w:val="1"/>
      <w:numFmt w:val="bullet"/>
      <w:lvlText w:val="•"/>
      <w:lvlJc w:val="left"/>
      <w:pPr>
        <w:ind w:left="720" w:hanging="360"/>
      </w:pPr>
    </w:lvl>
    <w:lvl w:ilvl="1" w:tplc="E87ED4CA">
      <w:start w:val="1"/>
      <w:numFmt w:val="bullet"/>
      <w:lvlText w:val="◦"/>
      <w:lvlJc w:val="left"/>
      <w:pPr>
        <w:ind w:left="1440" w:hanging="360"/>
      </w:pPr>
    </w:lvl>
    <w:lvl w:ilvl="2" w:tplc="F75C25A8">
      <w:start w:val="1"/>
      <w:numFmt w:val="bullet"/>
      <w:lvlText w:val="▪"/>
      <w:lvlJc w:val="left"/>
      <w:pPr>
        <w:ind w:left="2160" w:hanging="360"/>
      </w:pPr>
    </w:lvl>
    <w:lvl w:ilvl="3" w:tplc="2334D598">
      <w:start w:val="1"/>
      <w:numFmt w:val="bullet"/>
      <w:lvlText w:val="•"/>
      <w:lvlJc w:val="left"/>
      <w:pPr>
        <w:ind w:left="2880" w:hanging="360"/>
      </w:pPr>
    </w:lvl>
    <w:lvl w:ilvl="4" w:tplc="B66859E2">
      <w:start w:val="1"/>
      <w:numFmt w:val="bullet"/>
      <w:lvlText w:val="◦"/>
      <w:lvlJc w:val="left"/>
      <w:pPr>
        <w:ind w:left="3600" w:hanging="360"/>
      </w:pPr>
    </w:lvl>
    <w:lvl w:ilvl="5" w:tplc="C8D2970E">
      <w:start w:val="1"/>
      <w:numFmt w:val="bullet"/>
      <w:lvlText w:val="▪"/>
      <w:lvlJc w:val="left"/>
      <w:pPr>
        <w:ind w:left="4320" w:hanging="360"/>
      </w:pPr>
    </w:lvl>
    <w:lvl w:ilvl="6" w:tplc="A3207852">
      <w:start w:val="1"/>
      <w:numFmt w:val="bullet"/>
      <w:lvlText w:val="•"/>
      <w:lvlJc w:val="left"/>
      <w:pPr>
        <w:ind w:left="5040" w:hanging="360"/>
      </w:pPr>
    </w:lvl>
    <w:lvl w:ilvl="7" w:tplc="83446506">
      <w:start w:val="1"/>
      <w:numFmt w:val="bullet"/>
      <w:lvlText w:val="◦"/>
      <w:lvlJc w:val="left"/>
      <w:pPr>
        <w:ind w:left="5760" w:hanging="360"/>
      </w:pPr>
    </w:lvl>
    <w:lvl w:ilvl="8" w:tplc="FA40FF52">
      <w:start w:val="1"/>
      <w:numFmt w:val="bullet"/>
      <w:lvlText w:val="▪"/>
      <w:lvlJc w:val="left"/>
      <w:pPr>
        <w:ind w:left="6480" w:hanging="360"/>
      </w:pPr>
    </w:lvl>
  </w:abstractNum>
  <w:abstractNum w:abstractNumId="10" w15:restartNumberingAfterBreak="0">
    <w:nsid w:val="3F0F5E68"/>
    <w:multiLevelType w:val="hybridMultilevel"/>
    <w:tmpl w:val="F882477E"/>
    <w:lvl w:ilvl="0" w:tplc="253486E8">
      <w:start w:val="1"/>
      <w:numFmt w:val="bullet"/>
      <w:lvlText w:val="•"/>
      <w:lvlJc w:val="left"/>
      <w:pPr>
        <w:ind w:left="720" w:hanging="360"/>
      </w:pPr>
    </w:lvl>
    <w:lvl w:ilvl="1" w:tplc="03D680AE">
      <w:start w:val="1"/>
      <w:numFmt w:val="bullet"/>
      <w:lvlText w:val="◦"/>
      <w:lvlJc w:val="left"/>
      <w:pPr>
        <w:ind w:left="1440" w:hanging="360"/>
      </w:pPr>
    </w:lvl>
    <w:lvl w:ilvl="2" w:tplc="0A8E6B36">
      <w:start w:val="1"/>
      <w:numFmt w:val="bullet"/>
      <w:lvlText w:val="▪"/>
      <w:lvlJc w:val="left"/>
      <w:pPr>
        <w:ind w:left="2160" w:hanging="360"/>
      </w:pPr>
    </w:lvl>
    <w:lvl w:ilvl="3" w:tplc="5088FCB0">
      <w:start w:val="1"/>
      <w:numFmt w:val="bullet"/>
      <w:lvlText w:val="•"/>
      <w:lvlJc w:val="left"/>
      <w:pPr>
        <w:ind w:left="2880" w:hanging="360"/>
      </w:pPr>
    </w:lvl>
    <w:lvl w:ilvl="4" w:tplc="B0A8A9A2">
      <w:start w:val="1"/>
      <w:numFmt w:val="bullet"/>
      <w:lvlText w:val="◦"/>
      <w:lvlJc w:val="left"/>
      <w:pPr>
        <w:ind w:left="3600" w:hanging="360"/>
      </w:pPr>
    </w:lvl>
    <w:lvl w:ilvl="5" w:tplc="54D4BD24">
      <w:start w:val="1"/>
      <w:numFmt w:val="bullet"/>
      <w:lvlText w:val="▪"/>
      <w:lvlJc w:val="left"/>
      <w:pPr>
        <w:ind w:left="4320" w:hanging="360"/>
      </w:pPr>
    </w:lvl>
    <w:lvl w:ilvl="6" w:tplc="821E522A">
      <w:start w:val="1"/>
      <w:numFmt w:val="bullet"/>
      <w:lvlText w:val="•"/>
      <w:lvlJc w:val="left"/>
      <w:pPr>
        <w:ind w:left="5040" w:hanging="360"/>
      </w:pPr>
    </w:lvl>
    <w:lvl w:ilvl="7" w:tplc="9D264E10">
      <w:start w:val="1"/>
      <w:numFmt w:val="bullet"/>
      <w:lvlText w:val="◦"/>
      <w:lvlJc w:val="left"/>
      <w:pPr>
        <w:ind w:left="5760" w:hanging="360"/>
      </w:pPr>
    </w:lvl>
    <w:lvl w:ilvl="8" w:tplc="4DC2907C">
      <w:start w:val="1"/>
      <w:numFmt w:val="bullet"/>
      <w:lvlText w:val="▪"/>
      <w:lvlJc w:val="left"/>
      <w:pPr>
        <w:ind w:left="6480" w:hanging="360"/>
      </w:pPr>
    </w:lvl>
  </w:abstractNum>
  <w:abstractNum w:abstractNumId="11" w15:restartNumberingAfterBreak="0">
    <w:nsid w:val="41B205FA"/>
    <w:multiLevelType w:val="hybridMultilevel"/>
    <w:tmpl w:val="9D58C4CA"/>
    <w:lvl w:ilvl="0" w:tplc="E67A774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AD7D4A"/>
    <w:multiLevelType w:val="hybridMultilevel"/>
    <w:tmpl w:val="B95C8D06"/>
    <w:lvl w:ilvl="0" w:tplc="A38E16A8">
      <w:start w:val="1"/>
      <w:numFmt w:val="bullet"/>
      <w:lvlText w:val="•"/>
      <w:lvlJc w:val="left"/>
      <w:pPr>
        <w:ind w:left="720" w:hanging="360"/>
      </w:pPr>
    </w:lvl>
    <w:lvl w:ilvl="1" w:tplc="9D7E95C4">
      <w:start w:val="1"/>
      <w:numFmt w:val="bullet"/>
      <w:lvlText w:val="◦"/>
      <w:lvlJc w:val="left"/>
      <w:pPr>
        <w:ind w:left="1440" w:hanging="360"/>
      </w:pPr>
    </w:lvl>
    <w:lvl w:ilvl="2" w:tplc="F51611AC">
      <w:start w:val="1"/>
      <w:numFmt w:val="bullet"/>
      <w:lvlText w:val="▪"/>
      <w:lvlJc w:val="left"/>
      <w:pPr>
        <w:ind w:left="2160" w:hanging="360"/>
      </w:pPr>
    </w:lvl>
    <w:lvl w:ilvl="3" w:tplc="7116F5E6">
      <w:start w:val="1"/>
      <w:numFmt w:val="bullet"/>
      <w:lvlText w:val="•"/>
      <w:lvlJc w:val="left"/>
      <w:pPr>
        <w:ind w:left="2880" w:hanging="360"/>
      </w:pPr>
    </w:lvl>
    <w:lvl w:ilvl="4" w:tplc="0DDC31BA">
      <w:start w:val="1"/>
      <w:numFmt w:val="bullet"/>
      <w:lvlText w:val="◦"/>
      <w:lvlJc w:val="left"/>
      <w:pPr>
        <w:ind w:left="3600" w:hanging="360"/>
      </w:pPr>
    </w:lvl>
    <w:lvl w:ilvl="5" w:tplc="2BD60D2E">
      <w:start w:val="1"/>
      <w:numFmt w:val="bullet"/>
      <w:lvlText w:val="▪"/>
      <w:lvlJc w:val="left"/>
      <w:pPr>
        <w:ind w:left="4320" w:hanging="360"/>
      </w:pPr>
    </w:lvl>
    <w:lvl w:ilvl="6" w:tplc="1B1A27EE">
      <w:start w:val="1"/>
      <w:numFmt w:val="bullet"/>
      <w:lvlText w:val="•"/>
      <w:lvlJc w:val="left"/>
      <w:pPr>
        <w:ind w:left="5040" w:hanging="360"/>
      </w:pPr>
    </w:lvl>
    <w:lvl w:ilvl="7" w:tplc="2A3A64D6">
      <w:start w:val="1"/>
      <w:numFmt w:val="bullet"/>
      <w:lvlText w:val="◦"/>
      <w:lvlJc w:val="left"/>
      <w:pPr>
        <w:ind w:left="5760" w:hanging="360"/>
      </w:pPr>
    </w:lvl>
    <w:lvl w:ilvl="8" w:tplc="047C6BD8">
      <w:start w:val="1"/>
      <w:numFmt w:val="bullet"/>
      <w:lvlText w:val="▪"/>
      <w:lvlJc w:val="left"/>
      <w:pPr>
        <w:ind w:left="6480" w:hanging="360"/>
      </w:pPr>
    </w:lvl>
  </w:abstractNum>
  <w:abstractNum w:abstractNumId="13" w15:restartNumberingAfterBreak="0">
    <w:nsid w:val="4C841D0F"/>
    <w:multiLevelType w:val="hybridMultilevel"/>
    <w:tmpl w:val="D884FF0C"/>
    <w:lvl w:ilvl="0" w:tplc="0D00F556">
      <w:start w:val="1"/>
      <w:numFmt w:val="bullet"/>
      <w:lvlText w:val="•"/>
      <w:lvlJc w:val="left"/>
      <w:pPr>
        <w:ind w:left="720" w:hanging="360"/>
      </w:pPr>
    </w:lvl>
    <w:lvl w:ilvl="1" w:tplc="A8CAFB78">
      <w:start w:val="1"/>
      <w:numFmt w:val="bullet"/>
      <w:lvlText w:val="◦"/>
      <w:lvlJc w:val="left"/>
      <w:pPr>
        <w:ind w:left="1440" w:hanging="360"/>
      </w:pPr>
    </w:lvl>
    <w:lvl w:ilvl="2" w:tplc="F790EF80">
      <w:start w:val="1"/>
      <w:numFmt w:val="bullet"/>
      <w:lvlText w:val="▪"/>
      <w:lvlJc w:val="left"/>
      <w:pPr>
        <w:ind w:left="2160" w:hanging="360"/>
      </w:pPr>
    </w:lvl>
    <w:lvl w:ilvl="3" w:tplc="9050C29C">
      <w:start w:val="1"/>
      <w:numFmt w:val="bullet"/>
      <w:lvlText w:val="•"/>
      <w:lvlJc w:val="left"/>
      <w:pPr>
        <w:ind w:left="2880" w:hanging="360"/>
      </w:pPr>
    </w:lvl>
    <w:lvl w:ilvl="4" w:tplc="848A0DFC">
      <w:start w:val="1"/>
      <w:numFmt w:val="bullet"/>
      <w:lvlText w:val="◦"/>
      <w:lvlJc w:val="left"/>
      <w:pPr>
        <w:ind w:left="3600" w:hanging="360"/>
      </w:pPr>
    </w:lvl>
    <w:lvl w:ilvl="5" w:tplc="EAA69F0E">
      <w:start w:val="1"/>
      <w:numFmt w:val="bullet"/>
      <w:lvlText w:val="▪"/>
      <w:lvlJc w:val="left"/>
      <w:pPr>
        <w:ind w:left="4320" w:hanging="360"/>
      </w:pPr>
    </w:lvl>
    <w:lvl w:ilvl="6" w:tplc="87207C36">
      <w:start w:val="1"/>
      <w:numFmt w:val="bullet"/>
      <w:lvlText w:val="•"/>
      <w:lvlJc w:val="left"/>
      <w:pPr>
        <w:ind w:left="5040" w:hanging="360"/>
      </w:pPr>
    </w:lvl>
    <w:lvl w:ilvl="7" w:tplc="9F4CBA42">
      <w:start w:val="1"/>
      <w:numFmt w:val="bullet"/>
      <w:lvlText w:val="◦"/>
      <w:lvlJc w:val="left"/>
      <w:pPr>
        <w:ind w:left="5760" w:hanging="360"/>
      </w:pPr>
    </w:lvl>
    <w:lvl w:ilvl="8" w:tplc="FC2CD638">
      <w:start w:val="1"/>
      <w:numFmt w:val="bullet"/>
      <w:lvlText w:val="▪"/>
      <w:lvlJc w:val="left"/>
      <w:pPr>
        <w:ind w:left="6480" w:hanging="360"/>
      </w:pPr>
    </w:lvl>
  </w:abstractNum>
  <w:abstractNum w:abstractNumId="14" w15:restartNumberingAfterBreak="0">
    <w:nsid w:val="4D9349CA"/>
    <w:multiLevelType w:val="hybridMultilevel"/>
    <w:tmpl w:val="FEC22354"/>
    <w:lvl w:ilvl="0" w:tplc="D68445F2">
      <w:start w:val="1"/>
      <w:numFmt w:val="bullet"/>
      <w:lvlText w:val="•"/>
      <w:lvlJc w:val="left"/>
      <w:pPr>
        <w:ind w:left="720" w:hanging="360"/>
      </w:pPr>
    </w:lvl>
    <w:lvl w:ilvl="1" w:tplc="AF6C4CE2">
      <w:start w:val="1"/>
      <w:numFmt w:val="bullet"/>
      <w:lvlText w:val="◦"/>
      <w:lvlJc w:val="left"/>
      <w:pPr>
        <w:ind w:left="1440" w:hanging="360"/>
      </w:pPr>
    </w:lvl>
    <w:lvl w:ilvl="2" w:tplc="DC22AFB0">
      <w:start w:val="1"/>
      <w:numFmt w:val="bullet"/>
      <w:lvlText w:val="▪"/>
      <w:lvlJc w:val="left"/>
      <w:pPr>
        <w:ind w:left="2160" w:hanging="360"/>
      </w:pPr>
    </w:lvl>
    <w:lvl w:ilvl="3" w:tplc="9892AAAC">
      <w:start w:val="1"/>
      <w:numFmt w:val="bullet"/>
      <w:lvlText w:val="•"/>
      <w:lvlJc w:val="left"/>
      <w:pPr>
        <w:ind w:left="2880" w:hanging="360"/>
      </w:pPr>
    </w:lvl>
    <w:lvl w:ilvl="4" w:tplc="F7B46C46">
      <w:start w:val="1"/>
      <w:numFmt w:val="bullet"/>
      <w:lvlText w:val="◦"/>
      <w:lvlJc w:val="left"/>
      <w:pPr>
        <w:ind w:left="3600" w:hanging="360"/>
      </w:pPr>
    </w:lvl>
    <w:lvl w:ilvl="5" w:tplc="4AF06B24">
      <w:start w:val="1"/>
      <w:numFmt w:val="bullet"/>
      <w:lvlText w:val="▪"/>
      <w:lvlJc w:val="left"/>
      <w:pPr>
        <w:ind w:left="4320" w:hanging="360"/>
      </w:pPr>
    </w:lvl>
    <w:lvl w:ilvl="6" w:tplc="E5AEDD78">
      <w:start w:val="1"/>
      <w:numFmt w:val="bullet"/>
      <w:lvlText w:val="•"/>
      <w:lvlJc w:val="left"/>
      <w:pPr>
        <w:ind w:left="5040" w:hanging="360"/>
      </w:pPr>
    </w:lvl>
    <w:lvl w:ilvl="7" w:tplc="E8E89C98">
      <w:start w:val="1"/>
      <w:numFmt w:val="bullet"/>
      <w:lvlText w:val="◦"/>
      <w:lvlJc w:val="left"/>
      <w:pPr>
        <w:ind w:left="5760" w:hanging="360"/>
      </w:pPr>
    </w:lvl>
    <w:lvl w:ilvl="8" w:tplc="19ECF67A">
      <w:start w:val="1"/>
      <w:numFmt w:val="bullet"/>
      <w:lvlText w:val="▪"/>
      <w:lvlJc w:val="left"/>
      <w:pPr>
        <w:ind w:left="6480" w:hanging="360"/>
      </w:pPr>
    </w:lvl>
  </w:abstractNum>
  <w:abstractNum w:abstractNumId="15" w15:restartNumberingAfterBreak="0">
    <w:nsid w:val="5A5B2692"/>
    <w:multiLevelType w:val="hybridMultilevel"/>
    <w:tmpl w:val="AFACE928"/>
    <w:lvl w:ilvl="0" w:tplc="48843F8A">
      <w:start w:val="1"/>
      <w:numFmt w:val="bullet"/>
      <w:lvlText w:val="•"/>
      <w:lvlJc w:val="left"/>
      <w:pPr>
        <w:ind w:left="720" w:hanging="360"/>
      </w:pPr>
    </w:lvl>
    <w:lvl w:ilvl="1" w:tplc="E3140F50">
      <w:start w:val="1"/>
      <w:numFmt w:val="bullet"/>
      <w:lvlText w:val="◦"/>
      <w:lvlJc w:val="left"/>
      <w:pPr>
        <w:ind w:left="1440" w:hanging="360"/>
      </w:pPr>
    </w:lvl>
    <w:lvl w:ilvl="2" w:tplc="AB206F0A">
      <w:start w:val="1"/>
      <w:numFmt w:val="bullet"/>
      <w:lvlText w:val="▪"/>
      <w:lvlJc w:val="left"/>
      <w:pPr>
        <w:ind w:left="2160" w:hanging="360"/>
      </w:pPr>
    </w:lvl>
    <w:lvl w:ilvl="3" w:tplc="3650FE12">
      <w:start w:val="1"/>
      <w:numFmt w:val="bullet"/>
      <w:lvlText w:val="•"/>
      <w:lvlJc w:val="left"/>
      <w:pPr>
        <w:ind w:left="2880" w:hanging="360"/>
      </w:pPr>
    </w:lvl>
    <w:lvl w:ilvl="4" w:tplc="ACE8B99C">
      <w:start w:val="1"/>
      <w:numFmt w:val="bullet"/>
      <w:lvlText w:val="◦"/>
      <w:lvlJc w:val="left"/>
      <w:pPr>
        <w:ind w:left="3600" w:hanging="360"/>
      </w:pPr>
    </w:lvl>
    <w:lvl w:ilvl="5" w:tplc="0A42F6F4">
      <w:start w:val="1"/>
      <w:numFmt w:val="bullet"/>
      <w:lvlText w:val="▪"/>
      <w:lvlJc w:val="left"/>
      <w:pPr>
        <w:ind w:left="4320" w:hanging="360"/>
      </w:pPr>
    </w:lvl>
    <w:lvl w:ilvl="6" w:tplc="7D2ED242">
      <w:start w:val="1"/>
      <w:numFmt w:val="bullet"/>
      <w:lvlText w:val="•"/>
      <w:lvlJc w:val="left"/>
      <w:pPr>
        <w:ind w:left="5040" w:hanging="360"/>
      </w:pPr>
    </w:lvl>
    <w:lvl w:ilvl="7" w:tplc="E702B696">
      <w:start w:val="1"/>
      <w:numFmt w:val="bullet"/>
      <w:lvlText w:val="◦"/>
      <w:lvlJc w:val="left"/>
      <w:pPr>
        <w:ind w:left="5760" w:hanging="360"/>
      </w:pPr>
    </w:lvl>
    <w:lvl w:ilvl="8" w:tplc="4CD6FD10">
      <w:start w:val="1"/>
      <w:numFmt w:val="bullet"/>
      <w:lvlText w:val="▪"/>
      <w:lvlJc w:val="left"/>
      <w:pPr>
        <w:ind w:left="6480" w:hanging="360"/>
      </w:pPr>
    </w:lvl>
  </w:abstractNum>
  <w:abstractNum w:abstractNumId="16" w15:restartNumberingAfterBreak="0">
    <w:nsid w:val="5E7C16AC"/>
    <w:multiLevelType w:val="hybridMultilevel"/>
    <w:tmpl w:val="15F6D7C6"/>
    <w:lvl w:ilvl="0" w:tplc="D0A4CA7E">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447BB4"/>
    <w:multiLevelType w:val="hybridMultilevel"/>
    <w:tmpl w:val="F4AAB1D2"/>
    <w:lvl w:ilvl="0" w:tplc="735029B6">
      <w:start w:val="1"/>
      <w:numFmt w:val="bullet"/>
      <w:lvlText w:val="•"/>
      <w:lvlJc w:val="left"/>
      <w:pPr>
        <w:ind w:left="720" w:hanging="360"/>
      </w:pPr>
    </w:lvl>
    <w:lvl w:ilvl="1" w:tplc="758E54D4">
      <w:start w:val="1"/>
      <w:numFmt w:val="bullet"/>
      <w:lvlText w:val="◦"/>
      <w:lvlJc w:val="left"/>
      <w:pPr>
        <w:ind w:left="1440" w:hanging="360"/>
      </w:pPr>
    </w:lvl>
    <w:lvl w:ilvl="2" w:tplc="9E8273F2">
      <w:start w:val="1"/>
      <w:numFmt w:val="bullet"/>
      <w:lvlText w:val="▪"/>
      <w:lvlJc w:val="left"/>
      <w:pPr>
        <w:ind w:left="2160" w:hanging="360"/>
      </w:pPr>
    </w:lvl>
    <w:lvl w:ilvl="3" w:tplc="79088872">
      <w:start w:val="1"/>
      <w:numFmt w:val="bullet"/>
      <w:lvlText w:val="•"/>
      <w:lvlJc w:val="left"/>
      <w:pPr>
        <w:ind w:left="2880" w:hanging="360"/>
      </w:pPr>
    </w:lvl>
    <w:lvl w:ilvl="4" w:tplc="1514F7DA">
      <w:start w:val="1"/>
      <w:numFmt w:val="bullet"/>
      <w:lvlText w:val="◦"/>
      <w:lvlJc w:val="left"/>
      <w:pPr>
        <w:ind w:left="3600" w:hanging="360"/>
      </w:pPr>
    </w:lvl>
    <w:lvl w:ilvl="5" w:tplc="062AFB54">
      <w:start w:val="1"/>
      <w:numFmt w:val="bullet"/>
      <w:lvlText w:val="▪"/>
      <w:lvlJc w:val="left"/>
      <w:pPr>
        <w:ind w:left="4320" w:hanging="360"/>
      </w:pPr>
    </w:lvl>
    <w:lvl w:ilvl="6" w:tplc="6A36F9A4">
      <w:start w:val="1"/>
      <w:numFmt w:val="bullet"/>
      <w:lvlText w:val="•"/>
      <w:lvlJc w:val="left"/>
      <w:pPr>
        <w:ind w:left="5040" w:hanging="360"/>
      </w:pPr>
    </w:lvl>
    <w:lvl w:ilvl="7" w:tplc="9A5E935A">
      <w:start w:val="1"/>
      <w:numFmt w:val="bullet"/>
      <w:lvlText w:val="◦"/>
      <w:lvlJc w:val="left"/>
      <w:pPr>
        <w:ind w:left="5760" w:hanging="360"/>
      </w:pPr>
    </w:lvl>
    <w:lvl w:ilvl="8" w:tplc="7CF08EDE">
      <w:start w:val="1"/>
      <w:numFmt w:val="bullet"/>
      <w:lvlText w:val="▪"/>
      <w:lvlJc w:val="left"/>
      <w:pPr>
        <w:ind w:left="6480" w:hanging="360"/>
      </w:pPr>
    </w:lvl>
  </w:abstractNum>
  <w:abstractNum w:abstractNumId="18" w15:restartNumberingAfterBreak="0">
    <w:nsid w:val="6BF15AC6"/>
    <w:multiLevelType w:val="hybridMultilevel"/>
    <w:tmpl w:val="297288B2"/>
    <w:lvl w:ilvl="0" w:tplc="9FF2B10C">
      <w:start w:val="1"/>
      <w:numFmt w:val="bullet"/>
      <w:lvlText w:val="•"/>
      <w:lvlJc w:val="left"/>
      <w:pPr>
        <w:ind w:left="720" w:hanging="360"/>
      </w:pPr>
    </w:lvl>
    <w:lvl w:ilvl="1" w:tplc="87229338">
      <w:start w:val="1"/>
      <w:numFmt w:val="bullet"/>
      <w:lvlText w:val="◦"/>
      <w:lvlJc w:val="left"/>
      <w:pPr>
        <w:ind w:left="1440" w:hanging="360"/>
      </w:pPr>
    </w:lvl>
    <w:lvl w:ilvl="2" w:tplc="443E6C4E">
      <w:start w:val="1"/>
      <w:numFmt w:val="bullet"/>
      <w:lvlText w:val="▪"/>
      <w:lvlJc w:val="left"/>
      <w:pPr>
        <w:ind w:left="2160" w:hanging="360"/>
      </w:pPr>
    </w:lvl>
    <w:lvl w:ilvl="3" w:tplc="63AA0E92">
      <w:start w:val="1"/>
      <w:numFmt w:val="bullet"/>
      <w:lvlText w:val="•"/>
      <w:lvlJc w:val="left"/>
      <w:pPr>
        <w:ind w:left="2880" w:hanging="360"/>
      </w:pPr>
    </w:lvl>
    <w:lvl w:ilvl="4" w:tplc="4F4683D8">
      <w:start w:val="1"/>
      <w:numFmt w:val="bullet"/>
      <w:lvlText w:val="◦"/>
      <w:lvlJc w:val="left"/>
      <w:pPr>
        <w:ind w:left="3600" w:hanging="360"/>
      </w:pPr>
    </w:lvl>
    <w:lvl w:ilvl="5" w:tplc="9196BE22">
      <w:start w:val="1"/>
      <w:numFmt w:val="bullet"/>
      <w:lvlText w:val="▪"/>
      <w:lvlJc w:val="left"/>
      <w:pPr>
        <w:ind w:left="4320" w:hanging="360"/>
      </w:pPr>
    </w:lvl>
    <w:lvl w:ilvl="6" w:tplc="BF68B1E2">
      <w:start w:val="1"/>
      <w:numFmt w:val="bullet"/>
      <w:lvlText w:val="•"/>
      <w:lvlJc w:val="left"/>
      <w:pPr>
        <w:ind w:left="5040" w:hanging="360"/>
      </w:pPr>
    </w:lvl>
    <w:lvl w:ilvl="7" w:tplc="D756C190">
      <w:start w:val="1"/>
      <w:numFmt w:val="bullet"/>
      <w:lvlText w:val="◦"/>
      <w:lvlJc w:val="left"/>
      <w:pPr>
        <w:ind w:left="5760" w:hanging="360"/>
      </w:pPr>
    </w:lvl>
    <w:lvl w:ilvl="8" w:tplc="4078A314">
      <w:start w:val="1"/>
      <w:numFmt w:val="bullet"/>
      <w:lvlText w:val="▪"/>
      <w:lvlJc w:val="left"/>
      <w:pPr>
        <w:ind w:left="6480" w:hanging="360"/>
      </w:pPr>
    </w:lvl>
  </w:abstractNum>
  <w:abstractNum w:abstractNumId="19" w15:restartNumberingAfterBreak="0">
    <w:nsid w:val="6E6027C9"/>
    <w:multiLevelType w:val="hybridMultilevel"/>
    <w:tmpl w:val="109ED716"/>
    <w:lvl w:ilvl="0" w:tplc="DEF4C0F0">
      <w:start w:val="1"/>
      <w:numFmt w:val="bullet"/>
      <w:lvlText w:val="•"/>
      <w:lvlJc w:val="left"/>
      <w:pPr>
        <w:ind w:left="720" w:hanging="360"/>
      </w:pPr>
    </w:lvl>
    <w:lvl w:ilvl="1" w:tplc="66625A50">
      <w:start w:val="1"/>
      <w:numFmt w:val="bullet"/>
      <w:lvlText w:val="◦"/>
      <w:lvlJc w:val="left"/>
      <w:pPr>
        <w:ind w:left="1440" w:hanging="360"/>
      </w:pPr>
    </w:lvl>
    <w:lvl w:ilvl="2" w:tplc="021AF17E">
      <w:start w:val="1"/>
      <w:numFmt w:val="bullet"/>
      <w:lvlText w:val="▪"/>
      <w:lvlJc w:val="left"/>
      <w:pPr>
        <w:ind w:left="2160" w:hanging="360"/>
      </w:pPr>
    </w:lvl>
    <w:lvl w:ilvl="3" w:tplc="234431B4">
      <w:start w:val="1"/>
      <w:numFmt w:val="bullet"/>
      <w:lvlText w:val="•"/>
      <w:lvlJc w:val="left"/>
      <w:pPr>
        <w:ind w:left="2880" w:hanging="360"/>
      </w:pPr>
    </w:lvl>
    <w:lvl w:ilvl="4" w:tplc="27540DCC">
      <w:start w:val="1"/>
      <w:numFmt w:val="bullet"/>
      <w:lvlText w:val="◦"/>
      <w:lvlJc w:val="left"/>
      <w:pPr>
        <w:ind w:left="3600" w:hanging="360"/>
      </w:pPr>
    </w:lvl>
    <w:lvl w:ilvl="5" w:tplc="C2EA36CC">
      <w:start w:val="1"/>
      <w:numFmt w:val="bullet"/>
      <w:lvlText w:val="▪"/>
      <w:lvlJc w:val="left"/>
      <w:pPr>
        <w:ind w:left="4320" w:hanging="360"/>
      </w:pPr>
    </w:lvl>
    <w:lvl w:ilvl="6" w:tplc="8A4021E2">
      <w:start w:val="1"/>
      <w:numFmt w:val="bullet"/>
      <w:lvlText w:val="•"/>
      <w:lvlJc w:val="left"/>
      <w:pPr>
        <w:ind w:left="5040" w:hanging="360"/>
      </w:pPr>
    </w:lvl>
    <w:lvl w:ilvl="7" w:tplc="2AE26D04">
      <w:start w:val="1"/>
      <w:numFmt w:val="bullet"/>
      <w:lvlText w:val="◦"/>
      <w:lvlJc w:val="left"/>
      <w:pPr>
        <w:ind w:left="5760" w:hanging="360"/>
      </w:pPr>
    </w:lvl>
    <w:lvl w:ilvl="8" w:tplc="D244038A">
      <w:start w:val="1"/>
      <w:numFmt w:val="bullet"/>
      <w:lvlText w:val="▪"/>
      <w:lvlJc w:val="left"/>
      <w:pPr>
        <w:ind w:left="6480" w:hanging="360"/>
      </w:pPr>
    </w:lvl>
  </w:abstractNum>
  <w:abstractNum w:abstractNumId="20" w15:restartNumberingAfterBreak="0">
    <w:nsid w:val="72CF30DA"/>
    <w:multiLevelType w:val="hybridMultilevel"/>
    <w:tmpl w:val="C860B4D8"/>
    <w:lvl w:ilvl="0" w:tplc="5E4016F2">
      <w:start w:val="1"/>
      <w:numFmt w:val="bullet"/>
      <w:lvlText w:val="•"/>
      <w:lvlJc w:val="left"/>
      <w:pPr>
        <w:ind w:left="720" w:hanging="360"/>
      </w:pPr>
    </w:lvl>
    <w:lvl w:ilvl="1" w:tplc="9D125308">
      <w:start w:val="1"/>
      <w:numFmt w:val="bullet"/>
      <w:lvlText w:val="◦"/>
      <w:lvlJc w:val="left"/>
      <w:pPr>
        <w:ind w:left="1440" w:hanging="360"/>
      </w:pPr>
    </w:lvl>
    <w:lvl w:ilvl="2" w:tplc="F1E8D63C">
      <w:start w:val="1"/>
      <w:numFmt w:val="bullet"/>
      <w:lvlText w:val="▪"/>
      <w:lvlJc w:val="left"/>
      <w:pPr>
        <w:ind w:left="2160" w:hanging="360"/>
      </w:pPr>
    </w:lvl>
    <w:lvl w:ilvl="3" w:tplc="5CAA37EE">
      <w:start w:val="1"/>
      <w:numFmt w:val="bullet"/>
      <w:lvlText w:val="•"/>
      <w:lvlJc w:val="left"/>
      <w:pPr>
        <w:ind w:left="2880" w:hanging="360"/>
      </w:pPr>
    </w:lvl>
    <w:lvl w:ilvl="4" w:tplc="2A8ED95C">
      <w:start w:val="1"/>
      <w:numFmt w:val="bullet"/>
      <w:lvlText w:val="◦"/>
      <w:lvlJc w:val="left"/>
      <w:pPr>
        <w:ind w:left="3600" w:hanging="360"/>
      </w:pPr>
    </w:lvl>
    <w:lvl w:ilvl="5" w:tplc="2A929702">
      <w:start w:val="1"/>
      <w:numFmt w:val="bullet"/>
      <w:lvlText w:val="▪"/>
      <w:lvlJc w:val="left"/>
      <w:pPr>
        <w:ind w:left="4320" w:hanging="360"/>
      </w:pPr>
    </w:lvl>
    <w:lvl w:ilvl="6" w:tplc="CFA467BE">
      <w:start w:val="1"/>
      <w:numFmt w:val="bullet"/>
      <w:lvlText w:val="•"/>
      <w:lvlJc w:val="left"/>
      <w:pPr>
        <w:ind w:left="5040" w:hanging="360"/>
      </w:pPr>
    </w:lvl>
    <w:lvl w:ilvl="7" w:tplc="691CDD88">
      <w:start w:val="1"/>
      <w:numFmt w:val="bullet"/>
      <w:lvlText w:val="◦"/>
      <w:lvlJc w:val="left"/>
      <w:pPr>
        <w:ind w:left="5760" w:hanging="360"/>
      </w:pPr>
    </w:lvl>
    <w:lvl w:ilvl="8" w:tplc="233AE7F8">
      <w:start w:val="1"/>
      <w:numFmt w:val="bullet"/>
      <w:lvlText w:val="▪"/>
      <w:lvlJc w:val="left"/>
      <w:pPr>
        <w:ind w:left="6480" w:hanging="360"/>
      </w:pPr>
    </w:lvl>
  </w:abstractNum>
  <w:abstractNum w:abstractNumId="21" w15:restartNumberingAfterBreak="0">
    <w:nsid w:val="79021FC0"/>
    <w:multiLevelType w:val="hybridMultilevel"/>
    <w:tmpl w:val="231E7CA6"/>
    <w:lvl w:ilvl="0" w:tplc="4009000B">
      <w:start w:val="1"/>
      <w:numFmt w:val="bullet"/>
      <w:lvlText w:val=""/>
      <w:lvlJc w:val="left"/>
      <w:pPr>
        <w:ind w:left="340" w:hanging="56"/>
      </w:pPr>
      <w:rPr>
        <w:rFonts w:ascii="Wingdings" w:hAnsi="Wingdings" w:hint="default"/>
      </w:rPr>
    </w:lvl>
    <w:lvl w:ilvl="1" w:tplc="F3328CBA">
      <w:start w:val="1"/>
      <w:numFmt w:val="bullet"/>
      <w:lvlText w:val="◦"/>
      <w:lvlJc w:val="left"/>
      <w:pPr>
        <w:ind w:left="939" w:hanging="360"/>
      </w:pPr>
    </w:lvl>
    <w:lvl w:ilvl="2" w:tplc="4F1A2AF4">
      <w:start w:val="1"/>
      <w:numFmt w:val="bullet"/>
      <w:lvlText w:val="▪"/>
      <w:lvlJc w:val="left"/>
      <w:pPr>
        <w:ind w:left="1659" w:hanging="360"/>
      </w:pPr>
    </w:lvl>
    <w:lvl w:ilvl="3" w:tplc="4A6A55BC">
      <w:start w:val="1"/>
      <w:numFmt w:val="bullet"/>
      <w:lvlText w:val="•"/>
      <w:lvlJc w:val="left"/>
      <w:pPr>
        <w:ind w:left="2379" w:hanging="360"/>
      </w:pPr>
    </w:lvl>
    <w:lvl w:ilvl="4" w:tplc="977E6C98">
      <w:start w:val="1"/>
      <w:numFmt w:val="bullet"/>
      <w:lvlText w:val="◦"/>
      <w:lvlJc w:val="left"/>
      <w:pPr>
        <w:ind w:left="3099" w:hanging="360"/>
      </w:pPr>
    </w:lvl>
    <w:lvl w:ilvl="5" w:tplc="9A10DECE">
      <w:start w:val="1"/>
      <w:numFmt w:val="bullet"/>
      <w:lvlText w:val="▪"/>
      <w:lvlJc w:val="left"/>
      <w:pPr>
        <w:ind w:left="3819" w:hanging="360"/>
      </w:pPr>
    </w:lvl>
    <w:lvl w:ilvl="6" w:tplc="31526938">
      <w:start w:val="1"/>
      <w:numFmt w:val="bullet"/>
      <w:lvlText w:val="•"/>
      <w:lvlJc w:val="left"/>
      <w:pPr>
        <w:ind w:left="4539" w:hanging="360"/>
      </w:pPr>
    </w:lvl>
    <w:lvl w:ilvl="7" w:tplc="E368AA0C">
      <w:start w:val="1"/>
      <w:numFmt w:val="bullet"/>
      <w:lvlText w:val="◦"/>
      <w:lvlJc w:val="left"/>
      <w:pPr>
        <w:ind w:left="5259" w:hanging="360"/>
      </w:pPr>
    </w:lvl>
    <w:lvl w:ilvl="8" w:tplc="1D801B04">
      <w:start w:val="1"/>
      <w:numFmt w:val="bullet"/>
      <w:lvlText w:val="▪"/>
      <w:lvlJc w:val="left"/>
      <w:pPr>
        <w:ind w:left="5979" w:hanging="360"/>
      </w:pPr>
    </w:lvl>
  </w:abstractNum>
  <w:abstractNum w:abstractNumId="22" w15:restartNumberingAfterBreak="0">
    <w:nsid w:val="7D6D02C7"/>
    <w:multiLevelType w:val="hybridMultilevel"/>
    <w:tmpl w:val="6D0E38C8"/>
    <w:lvl w:ilvl="0" w:tplc="C86C7F16">
      <w:start w:val="1"/>
      <w:numFmt w:val="bullet"/>
      <w:lvlText w:val="•"/>
      <w:lvlJc w:val="left"/>
      <w:pPr>
        <w:ind w:left="720" w:hanging="360"/>
      </w:pPr>
    </w:lvl>
    <w:lvl w:ilvl="1" w:tplc="1370F06E">
      <w:start w:val="1"/>
      <w:numFmt w:val="bullet"/>
      <w:lvlText w:val="◦"/>
      <w:lvlJc w:val="left"/>
      <w:pPr>
        <w:ind w:left="1440" w:hanging="360"/>
      </w:pPr>
    </w:lvl>
    <w:lvl w:ilvl="2" w:tplc="5840E3EC">
      <w:start w:val="1"/>
      <w:numFmt w:val="bullet"/>
      <w:lvlText w:val="▪"/>
      <w:lvlJc w:val="left"/>
      <w:pPr>
        <w:ind w:left="2160" w:hanging="360"/>
      </w:pPr>
    </w:lvl>
    <w:lvl w:ilvl="3" w:tplc="532C4E86">
      <w:start w:val="1"/>
      <w:numFmt w:val="bullet"/>
      <w:lvlText w:val="•"/>
      <w:lvlJc w:val="left"/>
      <w:pPr>
        <w:ind w:left="2880" w:hanging="360"/>
      </w:pPr>
    </w:lvl>
    <w:lvl w:ilvl="4" w:tplc="FF948FDE">
      <w:start w:val="1"/>
      <w:numFmt w:val="bullet"/>
      <w:lvlText w:val="◦"/>
      <w:lvlJc w:val="left"/>
      <w:pPr>
        <w:ind w:left="3600" w:hanging="360"/>
      </w:pPr>
    </w:lvl>
    <w:lvl w:ilvl="5" w:tplc="DB5AA8E0">
      <w:start w:val="1"/>
      <w:numFmt w:val="bullet"/>
      <w:lvlText w:val="▪"/>
      <w:lvlJc w:val="left"/>
      <w:pPr>
        <w:ind w:left="4320" w:hanging="360"/>
      </w:pPr>
    </w:lvl>
    <w:lvl w:ilvl="6" w:tplc="2078EF20">
      <w:start w:val="1"/>
      <w:numFmt w:val="bullet"/>
      <w:lvlText w:val="•"/>
      <w:lvlJc w:val="left"/>
      <w:pPr>
        <w:ind w:left="5040" w:hanging="360"/>
      </w:pPr>
    </w:lvl>
    <w:lvl w:ilvl="7" w:tplc="25D60C60">
      <w:start w:val="1"/>
      <w:numFmt w:val="bullet"/>
      <w:lvlText w:val="◦"/>
      <w:lvlJc w:val="left"/>
      <w:pPr>
        <w:ind w:left="5760" w:hanging="360"/>
      </w:pPr>
    </w:lvl>
    <w:lvl w:ilvl="8" w:tplc="2ABA95F2">
      <w:start w:val="1"/>
      <w:numFmt w:val="bullet"/>
      <w:lvlText w:val="▪"/>
      <w:lvlJc w:val="left"/>
      <w:pPr>
        <w:ind w:left="6480" w:hanging="360"/>
      </w:pPr>
    </w:lvl>
  </w:abstractNum>
  <w:num w:numId="1" w16cid:durableId="1187210505">
    <w:abstractNumId w:val="21"/>
  </w:num>
  <w:num w:numId="2" w16cid:durableId="1971203067">
    <w:abstractNumId w:val="13"/>
  </w:num>
  <w:num w:numId="3" w16cid:durableId="908463179">
    <w:abstractNumId w:val="2"/>
  </w:num>
  <w:num w:numId="4" w16cid:durableId="602231437">
    <w:abstractNumId w:val="15"/>
  </w:num>
  <w:num w:numId="5" w16cid:durableId="1402481762">
    <w:abstractNumId w:val="14"/>
  </w:num>
  <w:num w:numId="6" w16cid:durableId="763964551">
    <w:abstractNumId w:val="10"/>
  </w:num>
  <w:num w:numId="7" w16cid:durableId="1454011450">
    <w:abstractNumId w:val="3"/>
  </w:num>
  <w:num w:numId="8" w16cid:durableId="1685135638">
    <w:abstractNumId w:val="12"/>
  </w:num>
  <w:num w:numId="9" w16cid:durableId="710881308">
    <w:abstractNumId w:val="8"/>
  </w:num>
  <w:num w:numId="10" w16cid:durableId="396636364">
    <w:abstractNumId w:val="19"/>
  </w:num>
  <w:num w:numId="11" w16cid:durableId="2003269695">
    <w:abstractNumId w:val="22"/>
  </w:num>
  <w:num w:numId="12" w16cid:durableId="707337622">
    <w:abstractNumId w:val="18"/>
  </w:num>
  <w:num w:numId="13" w16cid:durableId="1604611144">
    <w:abstractNumId w:val="5"/>
  </w:num>
  <w:num w:numId="14" w16cid:durableId="604576862">
    <w:abstractNumId w:val="20"/>
  </w:num>
  <w:num w:numId="15" w16cid:durableId="43335508">
    <w:abstractNumId w:val="9"/>
  </w:num>
  <w:num w:numId="16" w16cid:durableId="1431850531">
    <w:abstractNumId w:val="7"/>
  </w:num>
  <w:num w:numId="17" w16cid:durableId="119157067">
    <w:abstractNumId w:val="6"/>
  </w:num>
  <w:num w:numId="18" w16cid:durableId="449788792">
    <w:abstractNumId w:val="4"/>
  </w:num>
  <w:num w:numId="19" w16cid:durableId="1247499886">
    <w:abstractNumId w:val="17"/>
  </w:num>
  <w:num w:numId="20" w16cid:durableId="242183521">
    <w:abstractNumId w:val="0"/>
  </w:num>
  <w:num w:numId="21" w16cid:durableId="1659962464">
    <w:abstractNumId w:val="1"/>
  </w:num>
  <w:num w:numId="22" w16cid:durableId="794062313">
    <w:abstractNumId w:val="16"/>
  </w:num>
  <w:num w:numId="23" w16cid:durableId="10913143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DA0"/>
    <w:rsid w:val="00057F9C"/>
    <w:rsid w:val="00092414"/>
    <w:rsid w:val="000A198F"/>
    <w:rsid w:val="000F3D59"/>
    <w:rsid w:val="00104B02"/>
    <w:rsid w:val="00105F79"/>
    <w:rsid w:val="001068AB"/>
    <w:rsid w:val="00122DB9"/>
    <w:rsid w:val="00142547"/>
    <w:rsid w:val="00156F25"/>
    <w:rsid w:val="0018172B"/>
    <w:rsid w:val="001B21F5"/>
    <w:rsid w:val="001B293C"/>
    <w:rsid w:val="001C6329"/>
    <w:rsid w:val="0022187E"/>
    <w:rsid w:val="0026169F"/>
    <w:rsid w:val="002B585D"/>
    <w:rsid w:val="002D11B7"/>
    <w:rsid w:val="00302D4B"/>
    <w:rsid w:val="00320E5D"/>
    <w:rsid w:val="003E0757"/>
    <w:rsid w:val="00406608"/>
    <w:rsid w:val="00416593"/>
    <w:rsid w:val="00446DA0"/>
    <w:rsid w:val="00474576"/>
    <w:rsid w:val="00520872"/>
    <w:rsid w:val="005666F8"/>
    <w:rsid w:val="005A2761"/>
    <w:rsid w:val="005E6970"/>
    <w:rsid w:val="005F3792"/>
    <w:rsid w:val="00617FBF"/>
    <w:rsid w:val="006B6300"/>
    <w:rsid w:val="006F262D"/>
    <w:rsid w:val="00762EAB"/>
    <w:rsid w:val="00776D45"/>
    <w:rsid w:val="00797CC2"/>
    <w:rsid w:val="007E0E7C"/>
    <w:rsid w:val="00857DE1"/>
    <w:rsid w:val="00936335"/>
    <w:rsid w:val="009714A8"/>
    <w:rsid w:val="009C2697"/>
    <w:rsid w:val="009C7985"/>
    <w:rsid w:val="009D093D"/>
    <w:rsid w:val="00A27EF0"/>
    <w:rsid w:val="00A90C0B"/>
    <w:rsid w:val="00AB5012"/>
    <w:rsid w:val="00B265C6"/>
    <w:rsid w:val="00B33268"/>
    <w:rsid w:val="00B4050A"/>
    <w:rsid w:val="00B66F0C"/>
    <w:rsid w:val="00BD70DA"/>
    <w:rsid w:val="00BE64D6"/>
    <w:rsid w:val="00C70E64"/>
    <w:rsid w:val="00CF0044"/>
    <w:rsid w:val="00D61F33"/>
    <w:rsid w:val="00DB4960"/>
    <w:rsid w:val="00DB5BB0"/>
    <w:rsid w:val="00DB7A81"/>
    <w:rsid w:val="00E1385F"/>
    <w:rsid w:val="00E332E1"/>
    <w:rsid w:val="00E60186"/>
    <w:rsid w:val="00E62A9F"/>
    <w:rsid w:val="00EA11FF"/>
    <w:rsid w:val="00EB2C8A"/>
    <w:rsid w:val="00EE13C4"/>
    <w:rsid w:val="00F05DC9"/>
    <w:rsid w:val="00F0607B"/>
    <w:rsid w:val="00F20FD5"/>
    <w:rsid w:val="00F41D35"/>
    <w:rsid w:val="00F46A93"/>
    <w:rsid w:val="00F67BC6"/>
    <w:rsid w:val="00FC7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A654"/>
  <w15:docId w15:val="{A341D358-AE9D-4B9B-9BCF-566FCB0A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paragraph" w:styleId="Heading3">
    <w:name w:val="heading 3"/>
    <w:basedOn w:val="Normal"/>
    <w:next w:val="Normal"/>
    <w:link w:val="Heading3Char"/>
    <w:uiPriority w:val="9"/>
    <w:semiHidden/>
    <w:unhideWhenUsed/>
    <w:qFormat/>
    <w:rsid w:val="001C632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B585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58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585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585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585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585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AB5012"/>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AB5012"/>
    <w:rPr>
      <w:rFonts w:asciiTheme="minorHAnsi" w:eastAsiaTheme="minorEastAsia" w:hAnsiTheme="minorHAnsi" w:cstheme="minorBidi"/>
      <w:lang w:val="en-US" w:eastAsia="en-US"/>
    </w:rPr>
  </w:style>
  <w:style w:type="character" w:customStyle="1" w:styleId="Heading3Char">
    <w:name w:val="Heading 3 Char"/>
    <w:basedOn w:val="DefaultParagraphFont"/>
    <w:link w:val="Heading3"/>
    <w:uiPriority w:val="9"/>
    <w:semiHidden/>
    <w:rsid w:val="001C632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C6329"/>
    <w:rPr>
      <w:color w:val="0563C1" w:themeColor="hyperlink"/>
      <w:u w:val="single"/>
    </w:rPr>
  </w:style>
  <w:style w:type="character" w:styleId="UnresolvedMention">
    <w:name w:val="Unresolved Mention"/>
    <w:basedOn w:val="DefaultParagraphFont"/>
    <w:uiPriority w:val="99"/>
    <w:semiHidden/>
    <w:unhideWhenUsed/>
    <w:rsid w:val="001C6329"/>
    <w:rPr>
      <w:color w:val="605E5C"/>
      <w:shd w:val="clear" w:color="auto" w:fill="E1DFDD"/>
    </w:rPr>
  </w:style>
  <w:style w:type="character" w:styleId="FollowedHyperlink">
    <w:name w:val="FollowedHyperlink"/>
    <w:basedOn w:val="DefaultParagraphFont"/>
    <w:uiPriority w:val="99"/>
    <w:semiHidden/>
    <w:unhideWhenUsed/>
    <w:rsid w:val="00617FBF"/>
    <w:rPr>
      <w:color w:val="954F72" w:themeColor="followedHyperlink"/>
      <w:u w:val="single"/>
    </w:rPr>
  </w:style>
  <w:style w:type="table" w:styleId="GridTable4-Accent1">
    <w:name w:val="Grid Table 4 Accent 1"/>
    <w:basedOn w:val="TableNormal"/>
    <w:uiPriority w:val="49"/>
    <w:rsid w:val="001B21F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BookTitle">
    <w:name w:val="Book Title"/>
    <w:basedOn w:val="DefaultParagraphFont"/>
    <w:uiPriority w:val="33"/>
    <w:qFormat/>
    <w:rsid w:val="002B585D"/>
    <w:rPr>
      <w:b/>
      <w:bCs/>
      <w:i/>
      <w:iCs/>
      <w:spacing w:val="5"/>
    </w:rPr>
  </w:style>
  <w:style w:type="paragraph" w:styleId="Caption">
    <w:name w:val="caption"/>
    <w:basedOn w:val="Normal"/>
    <w:next w:val="Normal"/>
    <w:uiPriority w:val="35"/>
    <w:semiHidden/>
    <w:unhideWhenUsed/>
    <w:qFormat/>
    <w:rsid w:val="002B585D"/>
    <w:pPr>
      <w:spacing w:after="200" w:line="240" w:lineRule="auto"/>
    </w:pPr>
    <w:rPr>
      <w:i/>
      <w:iCs/>
      <w:color w:val="44546A" w:themeColor="text2"/>
      <w:sz w:val="18"/>
      <w:szCs w:val="18"/>
    </w:rPr>
  </w:style>
  <w:style w:type="character" w:styleId="Emphasis">
    <w:name w:val="Emphasis"/>
    <w:basedOn w:val="DefaultParagraphFont"/>
    <w:uiPriority w:val="20"/>
    <w:qFormat/>
    <w:rsid w:val="002B585D"/>
    <w:rPr>
      <w:i/>
      <w:iCs/>
    </w:rPr>
  </w:style>
  <w:style w:type="character" w:customStyle="1" w:styleId="Heading4Char">
    <w:name w:val="Heading 4 Char"/>
    <w:basedOn w:val="DefaultParagraphFont"/>
    <w:link w:val="Heading4"/>
    <w:uiPriority w:val="9"/>
    <w:semiHidden/>
    <w:rsid w:val="002B585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B585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B585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B585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B58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585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2B585D"/>
    <w:rPr>
      <w:i/>
      <w:iCs/>
      <w:color w:val="4472C4" w:themeColor="accent1"/>
    </w:rPr>
  </w:style>
  <w:style w:type="paragraph" w:styleId="IntenseQuote">
    <w:name w:val="Intense Quote"/>
    <w:basedOn w:val="Normal"/>
    <w:next w:val="Normal"/>
    <w:link w:val="IntenseQuoteChar"/>
    <w:uiPriority w:val="30"/>
    <w:qFormat/>
    <w:rsid w:val="002B585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585D"/>
    <w:rPr>
      <w:i/>
      <w:iCs/>
      <w:color w:val="4472C4" w:themeColor="accent1"/>
    </w:rPr>
  </w:style>
  <w:style w:type="character" w:styleId="IntenseReference">
    <w:name w:val="Intense Reference"/>
    <w:basedOn w:val="DefaultParagraphFont"/>
    <w:uiPriority w:val="32"/>
    <w:qFormat/>
    <w:rsid w:val="002B585D"/>
    <w:rPr>
      <w:b/>
      <w:bCs/>
      <w:smallCaps/>
      <w:color w:val="4472C4" w:themeColor="accent1"/>
      <w:spacing w:val="5"/>
    </w:rPr>
  </w:style>
  <w:style w:type="paragraph" w:styleId="ListParagraph">
    <w:name w:val="List Paragraph"/>
    <w:basedOn w:val="Normal"/>
    <w:uiPriority w:val="34"/>
    <w:qFormat/>
    <w:rsid w:val="002B585D"/>
    <w:pPr>
      <w:ind w:left="720"/>
      <w:contextualSpacing/>
    </w:pPr>
  </w:style>
  <w:style w:type="paragraph" w:styleId="Quote">
    <w:name w:val="Quote"/>
    <w:basedOn w:val="Normal"/>
    <w:next w:val="Normal"/>
    <w:link w:val="QuoteChar"/>
    <w:uiPriority w:val="29"/>
    <w:qFormat/>
    <w:rsid w:val="002B585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585D"/>
    <w:rPr>
      <w:i/>
      <w:iCs/>
      <w:color w:val="404040" w:themeColor="text1" w:themeTint="BF"/>
    </w:rPr>
  </w:style>
  <w:style w:type="character" w:styleId="Strong">
    <w:name w:val="Strong"/>
    <w:basedOn w:val="DefaultParagraphFont"/>
    <w:uiPriority w:val="22"/>
    <w:qFormat/>
    <w:rsid w:val="002B585D"/>
    <w:rPr>
      <w:b/>
      <w:bCs/>
    </w:rPr>
  </w:style>
  <w:style w:type="paragraph" w:styleId="Subtitle">
    <w:name w:val="Subtitle"/>
    <w:basedOn w:val="Normal"/>
    <w:next w:val="Normal"/>
    <w:link w:val="SubtitleChar"/>
    <w:uiPriority w:val="11"/>
    <w:qFormat/>
    <w:rsid w:val="002B585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B585D"/>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2B585D"/>
    <w:rPr>
      <w:i/>
      <w:iCs/>
      <w:color w:val="404040" w:themeColor="text1" w:themeTint="BF"/>
    </w:rPr>
  </w:style>
  <w:style w:type="character" w:styleId="SubtleReference">
    <w:name w:val="Subtle Reference"/>
    <w:basedOn w:val="DefaultParagraphFont"/>
    <w:uiPriority w:val="31"/>
    <w:qFormat/>
    <w:rsid w:val="002B585D"/>
    <w:rPr>
      <w:smallCaps/>
      <w:color w:val="5A5A5A" w:themeColor="text1" w:themeTint="A5"/>
    </w:rPr>
  </w:style>
  <w:style w:type="paragraph" w:styleId="TOCHeading">
    <w:name w:val="TOC Heading"/>
    <w:basedOn w:val="Heading1"/>
    <w:next w:val="Normal"/>
    <w:uiPriority w:val="39"/>
    <w:semiHidden/>
    <w:unhideWhenUsed/>
    <w:qFormat/>
    <w:rsid w:val="002B585D"/>
    <w:pPr>
      <w:outlineLvl w:val="9"/>
    </w:pPr>
    <w:rPr>
      <w:color w:val="2F5496" w:themeColor="accent1" w:themeShade="BF"/>
    </w:rPr>
  </w:style>
  <w:style w:type="character" w:customStyle="1" w:styleId="Heading2Char">
    <w:name w:val="Heading 2 Char"/>
    <w:basedOn w:val="DefaultParagraphFont"/>
    <w:link w:val="Heading2"/>
    <w:uiPriority w:val="9"/>
    <w:rsid w:val="00F20FD5"/>
    <w:rPr>
      <w:rFonts w:asciiTheme="majorHAnsi" w:eastAsiaTheme="majorEastAsia" w:hAnsiTheme="majorHAnsi" w:cstheme="majorBidi"/>
      <w:color w:val="2F549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bbas829/healthcare-patient-analytics-dataset"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www.inventiva.co.in/trends/data-and-analytics-boost-healthcare/"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4867</Words>
  <Characters>27742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Patient Analytics</dc:title>
  <dc:creator>OfficeCLI</dc:creator>
  <cp:lastModifiedBy>Rabin chowdhury</cp:lastModifiedBy>
  <cp:revision>66</cp:revision>
  <dcterms:created xsi:type="dcterms:W3CDTF">2026-09-23T13:21:00Z</dcterms:created>
  <dcterms:modified xsi:type="dcterms:W3CDTF">2026-09-23T15:26:00Z</dcterms:modified>
  <cp:category>Akansha Chowdhury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2026-09-22T17:00:28Z</vt:lpwstr>
  </property>
</Properties>
</file>