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0B65A6" w14:textId="77777777" w:rsidR="00AF6BE6" w:rsidRDefault="00AF6BE6" w:rsidP="64C22E1B">
      <w:pPr>
        <w:rPr>
          <w:b/>
          <w:bCs/>
        </w:rPr>
      </w:pPr>
      <w:r>
        <w:rPr>
          <w:b/>
          <w:bCs/>
        </w:rPr>
        <w:t>Dataset 1</w:t>
      </w:r>
    </w:p>
    <w:p w14:paraId="76AA53F0" w14:textId="6947801F" w:rsidR="64C22E1B" w:rsidRDefault="64C22E1B" w:rsidP="64C22E1B">
      <w:pPr>
        <w:rPr>
          <w:b/>
          <w:bCs/>
        </w:rPr>
      </w:pPr>
      <w:r w:rsidRPr="64C22E1B">
        <w:rPr>
          <w:b/>
          <w:bCs/>
        </w:rPr>
        <w:t>Results</w:t>
      </w:r>
    </w:p>
    <w:p w14:paraId="5A4CC259" w14:textId="299F3E40" w:rsidR="64C22E1B" w:rsidRDefault="14B0ECD2" w:rsidP="64C22E1B">
      <w:pPr>
        <w:rPr>
          <w:b/>
          <w:bCs/>
        </w:rPr>
      </w:pPr>
      <w:r w:rsidRPr="14B0ECD2">
        <w:rPr>
          <w:b/>
          <w:bCs/>
        </w:rPr>
        <w:t xml:space="preserve">Marine microbial diversity is influenced by season. </w:t>
      </w:r>
      <w:r>
        <w:t xml:space="preserve"> </w:t>
      </w:r>
    </w:p>
    <w:p w14:paraId="6FB077A8" w14:textId="6D5C3B92" w:rsidR="64C22E1B" w:rsidRDefault="14B0ECD2" w:rsidP="64C22E1B">
      <w:r>
        <w:t>A two-way analysis of variance was conducted on the influence of independent variables (latitude and season) on the log relative diversity of marine microbial diversity of seawater, each variable had two levels (equatorial/temperate and Aug/Jan respectively) (</w:t>
      </w:r>
      <w:r w:rsidR="001024A0">
        <w:fldChar w:fldCharType="begin"/>
      </w:r>
      <w:r w:rsidR="001024A0">
        <w:instrText xml:space="preserve"> REF _Ref498942524 \h </w:instrText>
      </w:r>
      <w:r w:rsidR="001024A0">
        <w:fldChar w:fldCharType="separate"/>
      </w:r>
      <w:r w:rsidR="001024A0">
        <w:t xml:space="preserve">Figure </w:t>
      </w:r>
      <w:r w:rsidR="001024A0">
        <w:rPr>
          <w:noProof/>
        </w:rPr>
        <w:t>1</w:t>
      </w:r>
      <w:r w:rsidR="001024A0">
        <w:fldChar w:fldCharType="end"/>
      </w:r>
      <w:r>
        <w:t xml:space="preserve">). Season was the only effect to be statistically significant using a critical value of P&lt;0.05. The main effect for latitude gave an F ratio of </w:t>
      </w:r>
      <w:proofErr w:type="gramStart"/>
      <w:r>
        <w:t>F(</w:t>
      </w:r>
      <w:proofErr w:type="gramEnd"/>
      <w:r>
        <w:t>1, 16) = 1.004, p=0.331, indicating a non-significant difference between</w:t>
      </w:r>
      <w:r w:rsidR="001024A0">
        <w:t xml:space="preserve"> diversity of</w:t>
      </w:r>
      <w:r>
        <w:t xml:space="preserve"> equatorial (M = 1.828, SD = 2.037) and temperate samples (M = 1.172, SD = 2.017). The main effect for season gave an F ratio of </w:t>
      </w:r>
      <w:proofErr w:type="gramStart"/>
      <w:r>
        <w:t>F(</w:t>
      </w:r>
      <w:proofErr w:type="gramEnd"/>
      <w:r>
        <w:t xml:space="preserve">1, 16) = 18.25, p=0.001, indicating a significant difference between samples from January (M = 0.101, SD = 1.351) and August (M = 2.900, SD = 1.510). The interaction effect was not significant, </w:t>
      </w:r>
      <w:proofErr w:type="gramStart"/>
      <w:r>
        <w:t>F(</w:t>
      </w:r>
      <w:proofErr w:type="gramEnd"/>
      <w:r>
        <w:t>1, 16) = 0.211, p=0.652.</w:t>
      </w:r>
    </w:p>
    <w:p w14:paraId="0503BCF1" w14:textId="77777777" w:rsidR="005D3A3B" w:rsidRDefault="64C22E1B" w:rsidP="005D3A3B">
      <w:pPr>
        <w:keepNext/>
      </w:pPr>
      <w:r>
        <w:rPr>
          <w:noProof/>
          <w:lang w:eastAsia="en-GB"/>
        </w:rPr>
        <w:drawing>
          <wp:inline distT="0" distB="0" distL="0" distR="0" wp14:anchorId="028D82ED" wp14:editId="5A7F9453">
            <wp:extent cx="3848100" cy="4572000"/>
            <wp:effectExtent l="0" t="0" r="0" b="0"/>
            <wp:docPr id="34713928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3848100" cy="4572000"/>
                    </a:xfrm>
                    <a:prstGeom prst="rect">
                      <a:avLst/>
                    </a:prstGeom>
                  </pic:spPr>
                </pic:pic>
              </a:graphicData>
            </a:graphic>
          </wp:inline>
        </w:drawing>
      </w:r>
    </w:p>
    <w:p w14:paraId="0F7F440D" w14:textId="3B1DD518" w:rsidR="64C22E1B" w:rsidRDefault="005D3A3B" w:rsidP="005D3A3B">
      <w:pPr>
        <w:pStyle w:val="Caption"/>
      </w:pPr>
      <w:bookmarkStart w:id="0" w:name="_Ref498942524"/>
      <w:r>
        <w:t xml:space="preserve">Figure </w:t>
      </w:r>
      <w:r w:rsidR="000C4BA6">
        <w:fldChar w:fldCharType="begin"/>
      </w:r>
      <w:r w:rsidR="000C4BA6">
        <w:instrText xml:space="preserve"> SEQ</w:instrText>
      </w:r>
      <w:r w:rsidR="000C4BA6">
        <w:instrText xml:space="preserve"> Figure \* ARABIC </w:instrText>
      </w:r>
      <w:r w:rsidR="000C4BA6">
        <w:fldChar w:fldCharType="separate"/>
      </w:r>
      <w:r w:rsidR="00A5175B">
        <w:rPr>
          <w:noProof/>
        </w:rPr>
        <w:t>1</w:t>
      </w:r>
      <w:r w:rsidR="000C4BA6">
        <w:rPr>
          <w:noProof/>
        </w:rPr>
        <w:fldChar w:fldCharType="end"/>
      </w:r>
      <w:bookmarkEnd w:id="0"/>
      <w:r>
        <w:t xml:space="preserve"> | </w:t>
      </w:r>
      <w:r w:rsidRPr="14B0ECD2">
        <w:t xml:space="preserve">Marine microbial diversity levels are sensitive to only seasonal changes. </w:t>
      </w:r>
      <w:r>
        <w:rPr>
          <w:b w:val="0"/>
          <w:bCs w:val="0"/>
        </w:rPr>
        <w:t>Samples were collected from two different latitudes during two different seasons; sample sizes were N = 5 for each of the four seawater sample types.</w:t>
      </w:r>
      <w:r w:rsidR="00F23B82">
        <w:rPr>
          <w:b w:val="0"/>
          <w:bCs w:val="0"/>
        </w:rPr>
        <w:t xml:space="preserve"> Microbial diversity, latitude and season were modelled by linear model.</w:t>
      </w:r>
      <w:r>
        <w:rPr>
          <w:b w:val="0"/>
          <w:bCs w:val="0"/>
        </w:rPr>
        <w:t xml:space="preserve"> Significance</w:t>
      </w:r>
      <w:r w:rsidR="00F23B82">
        <w:rPr>
          <w:b w:val="0"/>
          <w:bCs w:val="0"/>
        </w:rPr>
        <w:t xml:space="preserve"> between groups was tested by ANOVA and</w:t>
      </w:r>
      <w:r>
        <w:rPr>
          <w:b w:val="0"/>
          <w:bCs w:val="0"/>
        </w:rPr>
        <w:t xml:space="preserve"> assessed using P&lt;0.05. </w:t>
      </w:r>
      <w:proofErr w:type="gramStart"/>
      <w:r>
        <w:rPr>
          <w:b w:val="0"/>
          <w:bCs w:val="0"/>
        </w:rPr>
        <w:t>Barplot showing means and 95% confidence intervals of log relative fitness for each of the four seawater sample types.</w:t>
      </w:r>
      <w:proofErr w:type="gramEnd"/>
    </w:p>
    <w:p w14:paraId="2A5697B6" w14:textId="38480AC7" w:rsidR="64C22E1B" w:rsidRDefault="64C22E1B">
      <w:r>
        <w:br w:type="page"/>
      </w:r>
    </w:p>
    <w:p w14:paraId="770B17F9" w14:textId="7FA3AF2D" w:rsidR="00AF6BE6" w:rsidRDefault="00AF6BE6" w:rsidP="14B0ECD2">
      <w:pPr>
        <w:rPr>
          <w:rFonts w:ascii="Calibri" w:eastAsia="Calibri" w:hAnsi="Calibri" w:cs="Calibri"/>
          <w:b/>
          <w:color w:val="24292E"/>
          <w:szCs w:val="24"/>
        </w:rPr>
      </w:pPr>
      <w:r>
        <w:rPr>
          <w:rFonts w:ascii="Calibri" w:eastAsia="Calibri" w:hAnsi="Calibri" w:cs="Calibri"/>
          <w:b/>
          <w:color w:val="24292E"/>
          <w:szCs w:val="24"/>
        </w:rPr>
        <w:lastRenderedPageBreak/>
        <w:t>Dataset 2</w:t>
      </w:r>
    </w:p>
    <w:p w14:paraId="2CC331F3" w14:textId="17CEA7FE" w:rsidR="001024A0" w:rsidRPr="00046F05" w:rsidRDefault="001024A0" w:rsidP="14B0ECD2">
      <w:pPr>
        <w:rPr>
          <w:rFonts w:ascii="Calibri" w:eastAsia="Calibri" w:hAnsi="Calibri" w:cs="Calibri"/>
          <w:b/>
          <w:color w:val="24292E"/>
          <w:szCs w:val="24"/>
        </w:rPr>
      </w:pPr>
      <w:r w:rsidRPr="00046F05">
        <w:rPr>
          <w:rFonts w:ascii="Calibri" w:eastAsia="Calibri" w:hAnsi="Calibri" w:cs="Calibri"/>
          <w:b/>
          <w:color w:val="24292E"/>
          <w:szCs w:val="24"/>
        </w:rPr>
        <w:t>Results</w:t>
      </w:r>
    </w:p>
    <w:p w14:paraId="6E0F774A" w14:textId="62603EAD" w:rsidR="001024A0" w:rsidRPr="00046F05" w:rsidRDefault="001024A0" w:rsidP="14B0ECD2">
      <w:pPr>
        <w:rPr>
          <w:rFonts w:ascii="Calibri" w:eastAsia="Calibri" w:hAnsi="Calibri" w:cs="Calibri"/>
          <w:b/>
          <w:color w:val="24292E"/>
          <w:szCs w:val="24"/>
        </w:rPr>
      </w:pPr>
      <w:r w:rsidRPr="00046F05">
        <w:rPr>
          <w:rFonts w:ascii="Calibri" w:eastAsia="Calibri" w:hAnsi="Calibri" w:cs="Calibri"/>
          <w:b/>
          <w:color w:val="24292E"/>
          <w:szCs w:val="24"/>
        </w:rPr>
        <w:t>Luciferase homologue expression increases with genetic distance.</w:t>
      </w:r>
    </w:p>
    <w:p w14:paraId="12DBE5C6" w14:textId="62CE7433" w:rsidR="00F23B82" w:rsidRPr="00046F05" w:rsidRDefault="00F23B82" w:rsidP="14B0ECD2">
      <w:pPr>
        <w:rPr>
          <w:rFonts w:ascii="Calibri" w:eastAsia="Calibri" w:hAnsi="Calibri" w:cs="Calibri"/>
          <w:color w:val="24292E"/>
          <w:szCs w:val="24"/>
        </w:rPr>
      </w:pPr>
      <w:r w:rsidRPr="00046F05">
        <w:rPr>
          <w:rFonts w:ascii="Calibri" w:eastAsia="Calibri" w:hAnsi="Calibri" w:cs="Calibri"/>
          <w:color w:val="24292E"/>
          <w:szCs w:val="24"/>
        </w:rPr>
        <w:t xml:space="preserve">Luciferase expression levels were plotted against the average amino acid substitutions </w:t>
      </w:r>
      <w:r w:rsidR="00022AA3" w:rsidRPr="00046F05">
        <w:rPr>
          <w:rFonts w:ascii="Calibri" w:eastAsia="Calibri" w:hAnsi="Calibri" w:cs="Calibri"/>
          <w:color w:val="24292E"/>
          <w:szCs w:val="24"/>
        </w:rPr>
        <w:t xml:space="preserve">(genetic distance) </w:t>
      </w:r>
      <w:r w:rsidRPr="00046F05">
        <w:rPr>
          <w:rFonts w:ascii="Calibri" w:eastAsia="Calibri" w:hAnsi="Calibri" w:cs="Calibri"/>
          <w:color w:val="24292E"/>
          <w:szCs w:val="24"/>
        </w:rPr>
        <w:t xml:space="preserve">and were found to be highly positively correlated (Pearson product-moment correlation, </w:t>
      </w:r>
      <w:proofErr w:type="gramStart"/>
      <w:r w:rsidRPr="00046F05">
        <w:rPr>
          <w:rFonts w:ascii="Calibri" w:eastAsia="Calibri" w:hAnsi="Calibri" w:cs="Calibri"/>
          <w:color w:val="24292E"/>
          <w:szCs w:val="24"/>
        </w:rPr>
        <w:t>r(</w:t>
      </w:r>
      <w:proofErr w:type="gramEnd"/>
      <w:r w:rsidRPr="00046F05">
        <w:rPr>
          <w:rFonts w:ascii="Calibri" w:eastAsia="Calibri" w:hAnsi="Calibri" w:cs="Calibri"/>
          <w:color w:val="24292E"/>
          <w:szCs w:val="24"/>
        </w:rPr>
        <w:t>28) = 0.986, p=2.2e</w:t>
      </w:r>
      <w:r w:rsidRPr="00046F05">
        <w:rPr>
          <w:rFonts w:ascii="Calibri" w:eastAsia="Calibri" w:hAnsi="Calibri" w:cs="Calibri"/>
          <w:color w:val="24292E"/>
          <w:szCs w:val="24"/>
          <w:vertAlign w:val="superscript"/>
        </w:rPr>
        <w:t>-16</w:t>
      </w:r>
      <w:r w:rsidRPr="00046F05">
        <w:rPr>
          <w:rFonts w:ascii="Calibri" w:eastAsia="Calibri" w:hAnsi="Calibri" w:cs="Calibri"/>
          <w:color w:val="24292E"/>
          <w:szCs w:val="24"/>
        </w:rPr>
        <w:t xml:space="preserve">), </w:t>
      </w:r>
      <w:r w:rsidRPr="00046F05">
        <w:rPr>
          <w:rFonts w:ascii="Calibri" w:eastAsia="Calibri" w:hAnsi="Calibri" w:cs="Calibri"/>
          <w:color w:val="24292E"/>
          <w:szCs w:val="24"/>
        </w:rPr>
        <w:fldChar w:fldCharType="begin"/>
      </w:r>
      <w:r w:rsidRPr="00046F05">
        <w:rPr>
          <w:rFonts w:ascii="Calibri" w:eastAsia="Calibri" w:hAnsi="Calibri" w:cs="Calibri"/>
          <w:color w:val="24292E"/>
          <w:szCs w:val="24"/>
        </w:rPr>
        <w:instrText xml:space="preserve"> REF _Ref498942529 \h </w:instrText>
      </w:r>
      <w:r w:rsidR="00046F05">
        <w:rPr>
          <w:rFonts w:ascii="Calibri" w:eastAsia="Calibri" w:hAnsi="Calibri" w:cs="Calibri"/>
          <w:color w:val="24292E"/>
          <w:szCs w:val="24"/>
        </w:rPr>
        <w:instrText xml:space="preserve"> \* MERGEFORMAT </w:instrText>
      </w:r>
      <w:r w:rsidRPr="00046F05">
        <w:rPr>
          <w:rFonts w:ascii="Calibri" w:eastAsia="Calibri" w:hAnsi="Calibri" w:cs="Calibri"/>
          <w:color w:val="24292E"/>
          <w:szCs w:val="24"/>
        </w:rPr>
      </w:r>
      <w:r w:rsidRPr="00046F05">
        <w:rPr>
          <w:rFonts w:ascii="Calibri" w:eastAsia="Calibri" w:hAnsi="Calibri" w:cs="Calibri"/>
          <w:color w:val="24292E"/>
          <w:szCs w:val="24"/>
        </w:rPr>
        <w:fldChar w:fldCharType="separate"/>
      </w:r>
      <w:r w:rsidRPr="00046F05">
        <w:rPr>
          <w:sz w:val="20"/>
        </w:rPr>
        <w:t xml:space="preserve">Figure </w:t>
      </w:r>
      <w:r w:rsidRPr="00046F05">
        <w:rPr>
          <w:noProof/>
          <w:sz w:val="20"/>
        </w:rPr>
        <w:t>2</w:t>
      </w:r>
      <w:r w:rsidRPr="00046F05">
        <w:rPr>
          <w:rFonts w:ascii="Calibri" w:eastAsia="Calibri" w:hAnsi="Calibri" w:cs="Calibri"/>
          <w:color w:val="24292E"/>
          <w:szCs w:val="24"/>
        </w:rPr>
        <w:fldChar w:fldCharType="end"/>
      </w:r>
      <w:r w:rsidRPr="00046F05">
        <w:rPr>
          <w:rFonts w:ascii="Calibri" w:eastAsia="Calibri" w:hAnsi="Calibri" w:cs="Calibri"/>
          <w:color w:val="24292E"/>
          <w:szCs w:val="24"/>
        </w:rPr>
        <w:t>.</w:t>
      </w:r>
    </w:p>
    <w:p w14:paraId="5BE5EDC5" w14:textId="26EF7D1B" w:rsidR="00022AA3" w:rsidRPr="00046F05" w:rsidRDefault="00022AA3" w:rsidP="14B0ECD2">
      <w:pPr>
        <w:rPr>
          <w:rFonts w:ascii="Calibri" w:eastAsia="Calibri" w:hAnsi="Calibri" w:cs="Calibri"/>
          <w:color w:val="24292E"/>
          <w:szCs w:val="24"/>
        </w:rPr>
      </w:pPr>
      <w:r w:rsidRPr="00046F05">
        <w:rPr>
          <w:rFonts w:ascii="Calibri" w:eastAsia="Calibri" w:hAnsi="Calibri" w:cs="Calibri"/>
          <w:color w:val="24292E"/>
          <w:szCs w:val="24"/>
        </w:rPr>
        <w:t xml:space="preserve">Two models were proposed for expressing the relationship between expression levels and genetic distance: a linear model and a polynomial model. The model that best represented the relationship between the variables was found to be polynomial (ANOVA </w:t>
      </w:r>
      <w:r w:rsidR="00654BB0" w:rsidRPr="00046F05">
        <w:rPr>
          <w:rFonts w:ascii="Calibri" w:eastAsia="Calibri" w:hAnsi="Calibri" w:cs="Calibri"/>
          <w:color w:val="24292E"/>
          <w:szCs w:val="24"/>
        </w:rPr>
        <w:t>–</w:t>
      </w:r>
      <w:r w:rsidRPr="00046F05">
        <w:rPr>
          <w:rFonts w:ascii="Calibri" w:eastAsia="Calibri" w:hAnsi="Calibri" w:cs="Calibri"/>
          <w:color w:val="24292E"/>
          <w:szCs w:val="24"/>
        </w:rPr>
        <w:t xml:space="preserve"> </w:t>
      </w:r>
      <w:proofErr w:type="gramStart"/>
      <w:r w:rsidRPr="00046F05">
        <w:rPr>
          <w:rFonts w:ascii="Calibri" w:eastAsia="Calibri" w:hAnsi="Calibri" w:cs="Calibri"/>
          <w:color w:val="24292E"/>
          <w:szCs w:val="24"/>
        </w:rPr>
        <w:t>F</w:t>
      </w:r>
      <w:r w:rsidR="00654BB0" w:rsidRPr="00046F05">
        <w:rPr>
          <w:rFonts w:ascii="Calibri" w:eastAsia="Calibri" w:hAnsi="Calibri" w:cs="Calibri"/>
          <w:color w:val="24292E"/>
          <w:szCs w:val="24"/>
        </w:rPr>
        <w:t>(</w:t>
      </w:r>
      <w:proofErr w:type="gramEnd"/>
      <w:r w:rsidR="00654BB0" w:rsidRPr="00046F05">
        <w:rPr>
          <w:rFonts w:ascii="Calibri" w:eastAsia="Calibri" w:hAnsi="Calibri" w:cs="Calibri"/>
          <w:color w:val="24292E"/>
          <w:szCs w:val="24"/>
        </w:rPr>
        <w:t>1, 27)=12.542, p=0.001</w:t>
      </w:r>
      <w:r w:rsidRPr="00046F05">
        <w:rPr>
          <w:rFonts w:ascii="Calibri" w:eastAsia="Calibri" w:hAnsi="Calibri" w:cs="Calibri"/>
          <w:color w:val="24292E"/>
          <w:szCs w:val="24"/>
        </w:rPr>
        <w:t>).</w:t>
      </w:r>
    </w:p>
    <w:p w14:paraId="7BE1BCB3" w14:textId="1C78F980" w:rsidR="14B0ECD2" w:rsidRPr="00046F05" w:rsidRDefault="14B0ECD2" w:rsidP="4B0E9978">
      <w:pPr>
        <w:rPr>
          <w:rFonts w:ascii="Calibri" w:eastAsia="Calibri" w:hAnsi="Calibri" w:cs="Calibri"/>
          <w:color w:val="24292E"/>
        </w:rPr>
      </w:pPr>
      <w:r w:rsidRPr="4B0E9978">
        <w:rPr>
          <w:rFonts w:ascii="Calibri" w:eastAsia="Calibri" w:hAnsi="Calibri" w:cs="Calibri"/>
          <w:color w:val="24292E"/>
        </w:rPr>
        <w:t>Luciferase expression levels could be predicted from average amino acid substitutions</w:t>
      </w:r>
      <w:r w:rsidR="00654BB0" w:rsidRPr="4B0E9978">
        <w:rPr>
          <w:rFonts w:ascii="Calibri" w:eastAsia="Calibri" w:hAnsi="Calibri" w:cs="Calibri"/>
          <w:color w:val="24292E"/>
        </w:rPr>
        <w:t xml:space="preserve"> </w:t>
      </w:r>
      <w:r w:rsidRPr="4B0E9978">
        <w:rPr>
          <w:rFonts w:ascii="Calibri" w:eastAsia="Calibri" w:hAnsi="Calibri" w:cs="Calibri"/>
          <w:color w:val="24292E"/>
        </w:rPr>
        <w:t>by the following formula (when x = aver</w:t>
      </w:r>
      <w:r w:rsidR="001024A0" w:rsidRPr="4B0E9978">
        <w:rPr>
          <w:rFonts w:ascii="Calibri" w:eastAsia="Calibri" w:hAnsi="Calibri" w:cs="Calibri"/>
          <w:color w:val="24292E"/>
        </w:rPr>
        <w:t>age amino acid substitutions): Expression L</w:t>
      </w:r>
      <w:r w:rsidRPr="4B0E9978">
        <w:rPr>
          <w:rFonts w:ascii="Calibri" w:eastAsia="Calibri" w:hAnsi="Calibri" w:cs="Calibri"/>
          <w:color w:val="24292E"/>
        </w:rPr>
        <w:t>evel = 4.42100 + 0.911552x + 0.07229x</w:t>
      </w:r>
      <w:r w:rsidRPr="4B0E9978">
        <w:rPr>
          <w:rFonts w:ascii="Calibri" w:eastAsia="Calibri" w:hAnsi="Calibri" w:cs="Calibri"/>
          <w:color w:val="24292E"/>
          <w:vertAlign w:val="superscript"/>
        </w:rPr>
        <w:t>2</w:t>
      </w:r>
      <w:r w:rsidRPr="4B0E9978">
        <w:rPr>
          <w:rFonts w:ascii="Calibri" w:eastAsia="Calibri" w:hAnsi="Calibri" w:cs="Calibri"/>
          <w:color w:val="24292E"/>
        </w:rPr>
        <w:t>, R</w:t>
      </w:r>
      <w:r w:rsidRPr="4B0E9978">
        <w:rPr>
          <w:rFonts w:ascii="Calibri" w:eastAsia="Calibri" w:hAnsi="Calibri" w:cs="Calibri"/>
          <w:color w:val="24292E"/>
          <w:vertAlign w:val="superscript"/>
        </w:rPr>
        <w:t>2</w:t>
      </w:r>
      <w:r w:rsidRPr="4B0E9978">
        <w:rPr>
          <w:rFonts w:ascii="Calibri" w:eastAsia="Calibri" w:hAnsi="Calibri" w:cs="Calibri"/>
          <w:color w:val="24292E"/>
        </w:rPr>
        <w:t xml:space="preserve"> = 0.979. This model shows that the luciferase homolog expression exponentially increases with genetic distance</w:t>
      </w:r>
      <w:r w:rsidR="001024A0" w:rsidRPr="4B0E9978">
        <w:rPr>
          <w:rFonts w:ascii="Calibri" w:eastAsia="Calibri" w:hAnsi="Calibri" w:cs="Calibri"/>
          <w:color w:val="24292E"/>
        </w:rPr>
        <w:t>, as seen in</w:t>
      </w:r>
      <w:r w:rsidR="00AF6BE6">
        <w:rPr>
          <w:rFonts w:ascii="Calibri" w:eastAsia="Calibri" w:hAnsi="Calibri" w:cs="Calibri"/>
          <w:color w:val="24292E"/>
        </w:rPr>
        <w:t xml:space="preserve"> </w:t>
      </w:r>
      <w:r w:rsidR="001024A0" w:rsidRPr="00046F05">
        <w:fldChar w:fldCharType="begin"/>
      </w:r>
      <w:r w:rsidR="001024A0" w:rsidRPr="00046F05">
        <w:rPr>
          <w:rFonts w:ascii="Calibri" w:eastAsia="Calibri" w:hAnsi="Calibri" w:cs="Calibri"/>
          <w:color w:val="24292E"/>
          <w:szCs w:val="24"/>
        </w:rPr>
        <w:instrText xml:space="preserve"> REF _Ref498942524 \h </w:instrText>
      </w:r>
      <w:r w:rsidR="00046F05">
        <w:rPr>
          <w:rFonts w:ascii="Calibri" w:eastAsia="Calibri" w:hAnsi="Calibri" w:cs="Calibri"/>
          <w:color w:val="24292E"/>
          <w:szCs w:val="24"/>
        </w:rPr>
        <w:instrText xml:space="preserve"> \* MERGEFORMAT </w:instrText>
      </w:r>
      <w:r w:rsidR="001024A0" w:rsidRPr="00046F05">
        <w:rPr>
          <w:rFonts w:ascii="Calibri" w:eastAsia="Calibri" w:hAnsi="Calibri" w:cs="Calibri"/>
          <w:color w:val="24292E"/>
          <w:szCs w:val="24"/>
        </w:rPr>
        <w:fldChar w:fldCharType="end"/>
      </w:r>
      <w:r w:rsidR="001024A0" w:rsidRPr="4B0E9978">
        <w:fldChar w:fldCharType="begin"/>
      </w:r>
      <w:r w:rsidR="001024A0" w:rsidRPr="00046F05">
        <w:rPr>
          <w:rFonts w:ascii="Calibri" w:eastAsia="Calibri" w:hAnsi="Calibri" w:cs="Calibri"/>
          <w:color w:val="24292E"/>
          <w:szCs w:val="24"/>
        </w:rPr>
        <w:instrText xml:space="preserve"> REF _Ref498942529 \h </w:instrText>
      </w:r>
      <w:r w:rsidR="00046F05">
        <w:rPr>
          <w:rFonts w:ascii="Calibri" w:eastAsia="Calibri" w:hAnsi="Calibri" w:cs="Calibri"/>
          <w:color w:val="24292E"/>
          <w:szCs w:val="24"/>
        </w:rPr>
        <w:instrText xml:space="preserve"> \* MERGEFORMAT </w:instrText>
      </w:r>
      <w:r w:rsidR="001024A0" w:rsidRPr="4B0E9978">
        <w:rPr>
          <w:rFonts w:ascii="Calibri" w:eastAsia="Calibri" w:hAnsi="Calibri" w:cs="Calibri"/>
          <w:color w:val="24292E"/>
          <w:szCs w:val="24"/>
        </w:rPr>
        <w:fldChar w:fldCharType="separate"/>
      </w:r>
      <w:r w:rsidR="00AF6BE6" w:rsidRPr="00AF6BE6">
        <w:rPr>
          <w:noProof/>
          <w:sz w:val="20"/>
          <w:szCs w:val="20"/>
        </w:rPr>
        <w:t>Figure</w:t>
      </w:r>
      <w:r w:rsidR="00AF6BE6">
        <w:rPr>
          <w:noProof/>
        </w:rPr>
        <w:t xml:space="preserve"> </w:t>
      </w:r>
      <w:r w:rsidR="00AF6BE6" w:rsidRPr="4B0E9978">
        <w:t>2</w:t>
      </w:r>
      <w:r w:rsidR="001024A0" w:rsidRPr="4B0E9978">
        <w:fldChar w:fldCharType="end"/>
      </w:r>
      <w:r w:rsidR="00AF6BE6">
        <w:rPr>
          <w:rFonts w:ascii="Calibri" w:eastAsia="Calibri" w:hAnsi="Calibri" w:cs="Calibri"/>
          <w:color w:val="24292E"/>
        </w:rPr>
        <w:t>.</w:t>
      </w:r>
    </w:p>
    <w:p w14:paraId="31312743" w14:textId="1FA84690" w:rsidR="14B0ECD2" w:rsidRDefault="14B0ECD2" w:rsidP="4B0E9978">
      <w:pPr>
        <w:rPr>
          <w:rFonts w:ascii="Calibri" w:eastAsia="Calibri" w:hAnsi="Calibri" w:cs="Calibri"/>
          <w:color w:val="24292E"/>
        </w:rPr>
      </w:pPr>
      <w:r w:rsidRPr="4B0E9978">
        <w:rPr>
          <w:rFonts w:ascii="Calibri" w:eastAsia="Calibri" w:hAnsi="Calibri" w:cs="Calibri"/>
          <w:color w:val="24292E"/>
        </w:rPr>
        <w:t>Linear regression makes the assumptions that errors are normally distributed, homogeneity of variance and linearity. When looking at Residuals vs Fitted and NormalQ-Q plots for the model</w:t>
      </w:r>
      <w:r w:rsidR="00654BB0" w:rsidRPr="4B0E9978">
        <w:rPr>
          <w:rFonts w:ascii="Calibri" w:eastAsia="Calibri" w:hAnsi="Calibri" w:cs="Calibri"/>
          <w:color w:val="24292E"/>
        </w:rPr>
        <w:t xml:space="preserve"> (</w:t>
      </w:r>
      <w:r w:rsidR="00654BB0" w:rsidRPr="4B0E9978">
        <w:fldChar w:fldCharType="begin"/>
      </w:r>
      <w:r w:rsidR="00654BB0" w:rsidRPr="00046F05">
        <w:rPr>
          <w:rFonts w:ascii="Calibri" w:eastAsia="Calibri" w:hAnsi="Calibri" w:cs="Calibri"/>
          <w:color w:val="24292E"/>
          <w:szCs w:val="24"/>
        </w:rPr>
        <w:instrText xml:space="preserve"> REF _Ref498950204 \h </w:instrText>
      </w:r>
      <w:r w:rsidR="00046F05">
        <w:rPr>
          <w:rFonts w:ascii="Calibri" w:eastAsia="Calibri" w:hAnsi="Calibri" w:cs="Calibri"/>
          <w:color w:val="24292E"/>
          <w:szCs w:val="24"/>
        </w:rPr>
        <w:instrText xml:space="preserve"> \* MERGEFORMAT </w:instrText>
      </w:r>
      <w:r w:rsidR="00654BB0" w:rsidRPr="4B0E9978">
        <w:rPr>
          <w:rFonts w:ascii="Calibri" w:eastAsia="Calibri" w:hAnsi="Calibri" w:cs="Calibri"/>
          <w:color w:val="24292E"/>
          <w:szCs w:val="24"/>
        </w:rPr>
        <w:fldChar w:fldCharType="separate"/>
      </w:r>
      <w:r w:rsidR="00654BB0" w:rsidRPr="4B0E9978">
        <w:rPr>
          <w:sz w:val="20"/>
          <w:szCs w:val="20"/>
        </w:rPr>
        <w:t xml:space="preserve">Figure </w:t>
      </w:r>
      <w:r w:rsidR="00654BB0" w:rsidRPr="4B0E9978">
        <w:rPr>
          <w:noProof/>
          <w:sz w:val="20"/>
          <w:szCs w:val="20"/>
        </w:rPr>
        <w:t>3</w:t>
      </w:r>
      <w:r w:rsidR="00654BB0" w:rsidRPr="4B0E9978">
        <w:fldChar w:fldCharType="end"/>
      </w:r>
      <w:r w:rsidR="00654BB0" w:rsidRPr="4B0E9978">
        <w:rPr>
          <w:rFonts w:ascii="Calibri" w:eastAsia="Calibri" w:hAnsi="Calibri" w:cs="Calibri"/>
          <w:color w:val="24292E"/>
        </w:rPr>
        <w:t>)</w:t>
      </w:r>
      <w:r w:rsidR="004A4824" w:rsidRPr="4B0E9978">
        <w:rPr>
          <w:rFonts w:ascii="Calibri" w:eastAsia="Calibri" w:hAnsi="Calibri" w:cs="Calibri"/>
          <w:color w:val="24292E"/>
        </w:rPr>
        <w:t xml:space="preserve"> the Normal Q-Q plot shows that there is a mostly normal distribution, but the </w:t>
      </w:r>
      <w:r w:rsidR="007E4590">
        <w:rPr>
          <w:rFonts w:ascii="Calibri" w:eastAsia="Calibri" w:hAnsi="Calibri" w:cs="Calibri"/>
          <w:color w:val="24292E"/>
        </w:rPr>
        <w:t>R</w:t>
      </w:r>
      <w:r w:rsidR="004A4824" w:rsidRPr="4B0E9978">
        <w:rPr>
          <w:rFonts w:ascii="Calibri" w:eastAsia="Calibri" w:hAnsi="Calibri" w:cs="Calibri"/>
          <w:color w:val="24292E"/>
        </w:rPr>
        <w:t>esiduals vs Fitted plot indicates that there may not be homogeneity as the variance appears to decrease with genetic distance. As this model is exponential it doesn’t fit the assumption of linearity.</w:t>
      </w:r>
    </w:p>
    <w:p w14:paraId="6D26A0E7" w14:textId="77777777" w:rsidR="005F3B09" w:rsidRDefault="4B0E9978" w:rsidP="005F3B09">
      <w:pPr>
        <w:rPr>
          <w:noProof/>
          <w:lang w:eastAsia="en-GB"/>
        </w:rPr>
      </w:pPr>
      <w:r w:rsidRPr="4B0E9978">
        <w:rPr>
          <w:rFonts w:ascii="Calibri" w:eastAsia="Calibri" w:hAnsi="Calibri" w:cs="Calibri"/>
          <w:color w:val="24292E"/>
        </w:rPr>
        <w:t>An evolutionary driver for maintaining an amino acid substitution is for the change to have had no effect or to give an evolutionary advantage. The evolutionary benefit of having increased luciferase expression may be the driving force for maintaining amino acid changes and therefore increasing genetic distance</w:t>
      </w:r>
      <w:r w:rsidR="007E4590">
        <w:rPr>
          <w:rFonts w:ascii="Calibri" w:eastAsia="Calibri" w:hAnsi="Calibri" w:cs="Calibri"/>
          <w:color w:val="24292E"/>
        </w:rPr>
        <w:t xml:space="preserve"> with increased luciferase expression</w:t>
      </w:r>
      <w:r w:rsidRPr="4B0E9978">
        <w:rPr>
          <w:rFonts w:ascii="Calibri" w:eastAsia="Calibri" w:hAnsi="Calibri" w:cs="Calibri"/>
          <w:color w:val="24292E"/>
        </w:rPr>
        <w:t>.</w:t>
      </w:r>
      <w:r w:rsidR="005F3B09" w:rsidRPr="005F3B09">
        <w:rPr>
          <w:noProof/>
          <w:lang w:eastAsia="en-GB"/>
        </w:rPr>
        <w:t xml:space="preserve"> </w:t>
      </w:r>
      <w:r w:rsidR="005F3B09">
        <w:rPr>
          <w:noProof/>
          <w:lang w:eastAsia="en-GB"/>
        </w:rPr>
        <w:drawing>
          <wp:inline distT="0" distB="0" distL="0" distR="0" wp14:anchorId="30E4BA57" wp14:editId="442272EE">
            <wp:extent cx="3138450" cy="3360717"/>
            <wp:effectExtent l="0" t="0" r="5080" b="0"/>
            <wp:docPr id="187719955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10">
                      <a:extLst>
                        <a:ext uri="{28A0092B-C50C-407E-A947-70E740481C1C}">
                          <a14:useLocalDpi xmlns:a14="http://schemas.microsoft.com/office/drawing/2010/main" val="0"/>
                        </a:ext>
                      </a:extLst>
                    </a:blip>
                    <a:srcRect t="9873"/>
                    <a:stretch/>
                  </pic:blipFill>
                  <pic:spPr bwMode="auto">
                    <a:xfrm>
                      <a:off x="0" y="0"/>
                      <a:ext cx="3139239" cy="3361561"/>
                    </a:xfrm>
                    <a:prstGeom prst="rect">
                      <a:avLst/>
                    </a:prstGeom>
                    <a:ln>
                      <a:noFill/>
                    </a:ln>
                    <a:extLst>
                      <a:ext uri="{53640926-AAD7-44D8-BBD7-CCE9431645EC}">
                        <a14:shadowObscured xmlns:a14="http://schemas.microsoft.com/office/drawing/2010/main"/>
                      </a:ext>
                    </a:extLst>
                  </pic:spPr>
                </pic:pic>
              </a:graphicData>
            </a:graphic>
          </wp:inline>
        </w:drawing>
      </w:r>
      <w:bookmarkStart w:id="1" w:name="_Ref498942529"/>
    </w:p>
    <w:p w14:paraId="158FF59D" w14:textId="6B0B9743" w:rsidR="005F3B09" w:rsidRPr="00880AC1" w:rsidRDefault="005F3B09" w:rsidP="005F3B09">
      <w:pPr>
        <w:pStyle w:val="Caption"/>
        <w:rPr>
          <w:b w:val="0"/>
          <w:bCs w:val="0"/>
        </w:rPr>
      </w:pPr>
      <w:r w:rsidRPr="005F3B09">
        <w:t xml:space="preserve"> </w:t>
      </w:r>
      <w:r>
        <w:t xml:space="preserve">Figure </w:t>
      </w:r>
      <w:r>
        <w:fldChar w:fldCharType="begin"/>
      </w:r>
      <w:r>
        <w:instrText xml:space="preserve"> SEQ Figure \* ARABIC </w:instrText>
      </w:r>
      <w:r>
        <w:fldChar w:fldCharType="separate"/>
      </w:r>
      <w:r w:rsidRPr="4B0E9978">
        <w:t>2</w:t>
      </w:r>
      <w:r>
        <w:fldChar w:fldCharType="end"/>
      </w:r>
      <w:bookmarkEnd w:id="1"/>
      <w:r>
        <w:t xml:space="preserve">  Luciferase expression is positively correlated with amino acid substitutions</w:t>
      </w:r>
      <w:r w:rsidRPr="00880AC1">
        <w:rPr>
          <w:b w:val="0"/>
          <w:bCs w:val="0"/>
        </w:rPr>
        <w:t xml:space="preserve">. A scatter plot of </w:t>
      </w:r>
      <w:proofErr w:type="spellStart"/>
      <w:r w:rsidRPr="00880AC1">
        <w:rPr>
          <w:b w:val="0"/>
          <w:bCs w:val="0"/>
        </w:rPr>
        <w:t>Luciferasse</w:t>
      </w:r>
      <w:proofErr w:type="spellEnd"/>
      <w:r w:rsidRPr="00880AC1">
        <w:rPr>
          <w:b w:val="0"/>
          <w:bCs w:val="0"/>
        </w:rPr>
        <w:t xml:space="preserve"> expression levels against the average amino acid substitutions, showing luciferase expression exponentially increasing with the average amino acid </w:t>
      </w:r>
      <w:proofErr w:type="spellStart"/>
      <w:r w:rsidRPr="00880AC1">
        <w:rPr>
          <w:b w:val="0"/>
          <w:bCs w:val="0"/>
        </w:rPr>
        <w:t>substituions</w:t>
      </w:r>
      <w:proofErr w:type="spellEnd"/>
      <w:r w:rsidRPr="00880AC1">
        <w:rPr>
          <w:b w:val="0"/>
          <w:bCs w:val="0"/>
        </w:rPr>
        <w:t xml:space="preserve"> from the reference, with fitted line for the quadratic model</w:t>
      </w:r>
      <w:r w:rsidR="0002522E">
        <w:rPr>
          <w:b w:val="0"/>
          <w:bCs w:val="0"/>
        </w:rPr>
        <w:t xml:space="preserve"> (R</w:t>
      </w:r>
      <w:r w:rsidR="0002522E" w:rsidRPr="0002522E">
        <w:rPr>
          <w:b w:val="0"/>
          <w:bCs w:val="0"/>
          <w:vertAlign w:val="superscript"/>
        </w:rPr>
        <w:t>2</w:t>
      </w:r>
      <w:r w:rsidR="0002522E">
        <w:rPr>
          <w:b w:val="0"/>
          <w:bCs w:val="0"/>
        </w:rPr>
        <w:t xml:space="preserve"> = 0.979)</w:t>
      </w:r>
      <w:r w:rsidRPr="00880AC1">
        <w:rPr>
          <w:b w:val="0"/>
          <w:bCs w:val="0"/>
        </w:rPr>
        <w:t>.</w:t>
      </w:r>
    </w:p>
    <w:p w14:paraId="5C1E992D" w14:textId="77777777" w:rsidR="00654BB0" w:rsidRDefault="14B0ECD2" w:rsidP="00654BB0">
      <w:pPr>
        <w:keepNext/>
      </w:pPr>
      <w:r>
        <w:rPr>
          <w:noProof/>
          <w:lang w:eastAsia="en-GB"/>
        </w:rPr>
        <w:lastRenderedPageBreak/>
        <w:drawing>
          <wp:inline distT="0" distB="0" distL="0" distR="0" wp14:anchorId="4E178499" wp14:editId="3D8886B7">
            <wp:extent cx="4572000" cy="3581400"/>
            <wp:effectExtent l="0" t="0" r="0" b="0"/>
            <wp:docPr id="147281407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4572000" cy="3581400"/>
                    </a:xfrm>
                    <a:prstGeom prst="rect">
                      <a:avLst/>
                    </a:prstGeom>
                  </pic:spPr>
                </pic:pic>
              </a:graphicData>
            </a:graphic>
          </wp:inline>
        </w:drawing>
      </w:r>
    </w:p>
    <w:p w14:paraId="56715A16" w14:textId="7E238B71" w:rsidR="14B0ECD2" w:rsidRPr="007E4590" w:rsidRDefault="00654BB0" w:rsidP="007E4590">
      <w:pPr>
        <w:pStyle w:val="Caption"/>
        <w:rPr>
          <w:b w:val="0"/>
          <w:bCs w:val="0"/>
        </w:rPr>
      </w:pPr>
      <w:bookmarkStart w:id="2" w:name="_Ref498950204"/>
      <w:r>
        <w:t xml:space="preserve">Figure </w:t>
      </w:r>
      <w:r w:rsidR="000C4BA6">
        <w:fldChar w:fldCharType="begin"/>
      </w:r>
      <w:r w:rsidR="000C4BA6">
        <w:instrText xml:space="preserve"> SEQ Figure \* ARABIC </w:instrText>
      </w:r>
      <w:r w:rsidR="000C4BA6">
        <w:fldChar w:fldCharType="separate"/>
      </w:r>
      <w:r w:rsidR="00A5175B">
        <w:rPr>
          <w:noProof/>
        </w:rPr>
        <w:t>3</w:t>
      </w:r>
      <w:r w:rsidR="000C4BA6">
        <w:rPr>
          <w:noProof/>
        </w:rPr>
        <w:fldChar w:fldCharType="end"/>
      </w:r>
      <w:bookmarkEnd w:id="2"/>
      <w:r w:rsidR="00880AC1">
        <w:rPr>
          <w:noProof/>
        </w:rPr>
        <w:t xml:space="preserve"> </w:t>
      </w:r>
      <w:r w:rsidR="00880AC1">
        <w:t xml:space="preserve">| </w:t>
      </w:r>
      <w:proofErr w:type="spellStart"/>
      <w:r w:rsidR="00880AC1">
        <w:t>Disgnostic</w:t>
      </w:r>
      <w:proofErr w:type="spellEnd"/>
      <w:r w:rsidR="00880AC1">
        <w:t xml:space="preserve"> plots for the quadratic model of luciferase expression given by the average amino acid substitutions. </w:t>
      </w:r>
      <w:r w:rsidR="00880AC1">
        <w:rPr>
          <w:b w:val="0"/>
          <w:bCs w:val="0"/>
        </w:rPr>
        <w:t xml:space="preserve">The residuals vs Fitted plots </w:t>
      </w:r>
      <w:r w:rsidR="0015241D">
        <w:rPr>
          <w:b w:val="0"/>
          <w:bCs w:val="0"/>
        </w:rPr>
        <w:t>showing</w:t>
      </w:r>
      <w:r w:rsidR="0002522E">
        <w:rPr>
          <w:b w:val="0"/>
          <w:bCs w:val="0"/>
        </w:rPr>
        <w:t xml:space="preserve"> the level of</w:t>
      </w:r>
      <w:r w:rsidR="00880AC1">
        <w:rPr>
          <w:b w:val="0"/>
          <w:bCs w:val="0"/>
        </w:rPr>
        <w:t xml:space="preserve"> homogeneity of </w:t>
      </w:r>
      <w:r w:rsidR="0015241D">
        <w:rPr>
          <w:b w:val="0"/>
          <w:bCs w:val="0"/>
        </w:rPr>
        <w:t>variance</w:t>
      </w:r>
      <w:r w:rsidR="0002522E">
        <w:rPr>
          <w:b w:val="0"/>
          <w:bCs w:val="0"/>
        </w:rPr>
        <w:t xml:space="preserve"> by the spread of the data points</w:t>
      </w:r>
      <w:r w:rsidR="0015241D">
        <w:rPr>
          <w:b w:val="0"/>
          <w:bCs w:val="0"/>
        </w:rPr>
        <w:t xml:space="preserve"> (left), and t</w:t>
      </w:r>
      <w:r w:rsidR="0002522E">
        <w:rPr>
          <w:b w:val="0"/>
          <w:bCs w:val="0"/>
        </w:rPr>
        <w:t>he Normal Q-Q plot suggesting</w:t>
      </w:r>
      <w:r w:rsidR="00880AC1">
        <w:rPr>
          <w:b w:val="0"/>
          <w:bCs w:val="0"/>
        </w:rPr>
        <w:t xml:space="preserve"> that the data conforms to the assumption of normal errors </w:t>
      </w:r>
      <w:r w:rsidR="0015241D">
        <w:rPr>
          <w:b w:val="0"/>
          <w:bCs w:val="0"/>
        </w:rPr>
        <w:t>with</w:t>
      </w:r>
      <w:r w:rsidR="00880AC1">
        <w:rPr>
          <w:b w:val="0"/>
          <w:bCs w:val="0"/>
        </w:rPr>
        <w:t xml:space="preserve"> all the</w:t>
      </w:r>
      <w:r w:rsidR="0002522E">
        <w:rPr>
          <w:b w:val="0"/>
          <w:bCs w:val="0"/>
        </w:rPr>
        <w:t xml:space="preserve"> data</w:t>
      </w:r>
      <w:r w:rsidR="00880AC1">
        <w:rPr>
          <w:b w:val="0"/>
          <w:bCs w:val="0"/>
        </w:rPr>
        <w:t xml:space="preserve"> points fitted closely to the central dotted line</w:t>
      </w:r>
      <w:r w:rsidR="0002522E">
        <w:rPr>
          <w:b w:val="0"/>
          <w:bCs w:val="0"/>
        </w:rPr>
        <w:t xml:space="preserve"> (right)</w:t>
      </w:r>
      <w:r w:rsidR="00880AC1">
        <w:rPr>
          <w:b w:val="0"/>
          <w:bCs w:val="0"/>
        </w:rPr>
        <w:t>.</w:t>
      </w:r>
    </w:p>
    <w:p w14:paraId="296416FA" w14:textId="77777777" w:rsidR="005F3B09" w:rsidRDefault="005F3B09">
      <w:pPr>
        <w:rPr>
          <w:b/>
        </w:rPr>
      </w:pPr>
      <w:r>
        <w:rPr>
          <w:b/>
        </w:rPr>
        <w:br w:type="page"/>
      </w:r>
    </w:p>
    <w:p w14:paraId="45845DFD" w14:textId="1F7A1428" w:rsidR="00AF6BE6" w:rsidRDefault="00AF6BE6" w:rsidP="0095354B">
      <w:pPr>
        <w:rPr>
          <w:b/>
        </w:rPr>
      </w:pPr>
      <w:r>
        <w:rPr>
          <w:b/>
        </w:rPr>
        <w:lastRenderedPageBreak/>
        <w:t>Dataset 3</w:t>
      </w:r>
    </w:p>
    <w:p w14:paraId="0725911B" w14:textId="68085D7E" w:rsidR="0095354B" w:rsidRPr="00E5290F" w:rsidRDefault="0095354B" w:rsidP="0095354B">
      <w:pPr>
        <w:rPr>
          <w:b/>
        </w:rPr>
      </w:pPr>
      <w:r w:rsidRPr="00E5290F">
        <w:rPr>
          <w:b/>
        </w:rPr>
        <w:t>Method</w:t>
      </w:r>
    </w:p>
    <w:p w14:paraId="5F0C00A8" w14:textId="35F7DE55" w:rsidR="00DC2D70" w:rsidRDefault="00DC2D70" w:rsidP="0095354B">
      <w:r>
        <w:t>A total of 40 samples were taken</w:t>
      </w:r>
      <w:r w:rsidR="005F3B09">
        <w:t xml:space="preserve"> from a patient for a period of 40 weeks</w:t>
      </w:r>
      <w:r>
        <w:t>, with d</w:t>
      </w:r>
      <w:r w:rsidR="0095354B">
        <w:t xml:space="preserve">ata on viral load, </w:t>
      </w:r>
      <w:r w:rsidR="0095354B" w:rsidRPr="0095354B">
        <w:t>Average Shannon population diversity</w:t>
      </w:r>
      <w:r w:rsidR="00D84675">
        <w:t xml:space="preserve"> (diversity)</w:t>
      </w:r>
      <w:r w:rsidR="0095354B">
        <w:t xml:space="preserve">, </w:t>
      </w:r>
      <w:r w:rsidRPr="00DC2D70">
        <w:t>mean pairwise genetic distance</w:t>
      </w:r>
      <w:r w:rsidR="00D84675">
        <w:t xml:space="preserve"> (distance)</w:t>
      </w:r>
      <w:r w:rsidR="005F3B09">
        <w:t>, sample location (tissue type)</w:t>
      </w:r>
      <w:r>
        <w:t xml:space="preserve"> and CD4</w:t>
      </w:r>
      <w:r w:rsidR="005F3B09">
        <w:t>+</w:t>
      </w:r>
      <w:r>
        <w:t xml:space="preserve"> count being recorded. </w:t>
      </w:r>
      <w:r w:rsidR="0002522E">
        <w:t>The two tissue types were</w:t>
      </w:r>
      <w:r>
        <w:t xml:space="preserve"> spinal cord (n=20) and brain (n=20).</w:t>
      </w:r>
    </w:p>
    <w:p w14:paraId="473C6EAF" w14:textId="3FF9137E" w:rsidR="0095354B" w:rsidRDefault="00DC2D70" w:rsidP="0095354B">
      <w:r>
        <w:t>The following assumptions were used</w:t>
      </w:r>
      <w:r w:rsidR="00585DF7">
        <w:t xml:space="preserve"> and tested prior to modelling</w:t>
      </w:r>
      <w:r>
        <w:t xml:space="preserve">: </w:t>
      </w:r>
      <w:r w:rsidR="00F94E0E">
        <w:t>l</w:t>
      </w:r>
      <w:r>
        <w:t>inearity, independent variables</w:t>
      </w:r>
      <w:r w:rsidR="00F94E0E">
        <w:t xml:space="preserve"> and homoscedasticity</w:t>
      </w:r>
      <w:r>
        <w:t>.</w:t>
      </w:r>
      <w:r w:rsidR="00585DF7">
        <w:t xml:space="preserve"> </w:t>
      </w:r>
      <w:proofErr w:type="gramStart"/>
      <w:r w:rsidR="00585DF7">
        <w:t>A critical value of p&lt;0.05 was used to measure significance.</w:t>
      </w:r>
      <w:proofErr w:type="gramEnd"/>
    </w:p>
    <w:p w14:paraId="0F90A95C" w14:textId="530CE04C" w:rsidR="008251B4" w:rsidRDefault="004953C4" w:rsidP="0095354B">
      <w:r>
        <w:t xml:space="preserve">Models were curated both manually and </w:t>
      </w:r>
      <w:r w:rsidR="00286F83">
        <w:t>automatically; models were then compared to</w:t>
      </w:r>
      <w:r>
        <w:t xml:space="preserve"> find the best model to show the relationship of viral load and other independent factors.</w:t>
      </w:r>
      <w:r w:rsidR="00286F83">
        <w:t xml:space="preserve"> During manual model curation the starting model was the maximal model. Each term was considered individually and the least significant term of the highest order was removed</w:t>
      </w:r>
      <w:r w:rsidR="00006D07">
        <w:t xml:space="preserve"> until removal of a term would cause a significant difference.</w:t>
      </w:r>
      <w:r w:rsidR="00046F05">
        <w:t xml:space="preserve"> </w:t>
      </w:r>
      <w:r w:rsidR="008251B4">
        <w:t xml:space="preserve">Models were compared to the minimal model and maximal </w:t>
      </w:r>
      <w:proofErr w:type="gramStart"/>
      <w:r w:rsidR="008251B4">
        <w:t>model,</w:t>
      </w:r>
      <w:proofErr w:type="gramEnd"/>
      <w:r w:rsidR="008251B4">
        <w:t xml:space="preserve"> log versions of these models were also used.</w:t>
      </w:r>
    </w:p>
    <w:p w14:paraId="4324A46A" w14:textId="6FC44960" w:rsidR="00286F83" w:rsidRPr="00E5290F" w:rsidRDefault="00286F83" w:rsidP="0095354B">
      <w:pPr>
        <w:rPr>
          <w:b/>
        </w:rPr>
      </w:pPr>
      <w:r w:rsidRPr="00E5290F">
        <w:rPr>
          <w:b/>
        </w:rPr>
        <w:t>Results</w:t>
      </w:r>
    </w:p>
    <w:p w14:paraId="6067D6A0" w14:textId="72A7A4E0" w:rsidR="004A4824" w:rsidRDefault="00046F05" w:rsidP="0095354B">
      <w:r>
        <w:rPr>
          <w:noProof/>
          <w:lang w:eastAsia="en-GB"/>
        </w:rPr>
        <w:drawing>
          <wp:anchor distT="0" distB="0" distL="114300" distR="114300" simplePos="0" relativeHeight="251658240" behindDoc="0" locked="0" layoutInCell="1" allowOverlap="1" wp14:anchorId="2D61BE45" wp14:editId="4AE53139">
            <wp:simplePos x="0" y="0"/>
            <wp:positionH relativeFrom="column">
              <wp:posOffset>69850</wp:posOffset>
            </wp:positionH>
            <wp:positionV relativeFrom="paragraph">
              <wp:posOffset>2169160</wp:posOffset>
            </wp:positionV>
            <wp:extent cx="3408045" cy="2514600"/>
            <wp:effectExtent l="0" t="0" r="190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ssue type and CD4.png"/>
                    <pic:cNvPicPr/>
                  </pic:nvPicPr>
                  <pic:blipFill rotWithShape="1">
                    <a:blip r:embed="rId12">
                      <a:extLst>
                        <a:ext uri="{28A0092B-C50C-407E-A947-70E740481C1C}">
                          <a14:useLocalDpi xmlns:a14="http://schemas.microsoft.com/office/drawing/2010/main" val="0"/>
                        </a:ext>
                      </a:extLst>
                    </a:blip>
                    <a:srcRect t="15019"/>
                    <a:stretch/>
                  </pic:blipFill>
                  <pic:spPr bwMode="auto">
                    <a:xfrm>
                      <a:off x="0" y="0"/>
                      <a:ext cx="3408045" cy="2514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4824">
        <w:t xml:space="preserve">The ability of the immune system to penetrate the CNS </w:t>
      </w:r>
      <w:r w:rsidR="003E6466">
        <w:t>and the effect this had on the viral load was assessed</w:t>
      </w:r>
      <w:r w:rsidR="00F2047F">
        <w:t>, overall the CD4 count and tissue type were found to be non-significant factors in viral load(ANOVA – F(1,36) = 0.736, p=0.397 and F(1,36) = 1.145, p=0.292 respectively)</w:t>
      </w:r>
      <w:r w:rsidR="003E6466">
        <w:t xml:space="preserve">. </w:t>
      </w:r>
      <w:r w:rsidR="007E2644">
        <w:t>In the brain a difference in viral load can be seen that corresponds to the CD4 count, with higher CD4 counts generally seen with higher viral loads, possibly indicating that the immune system is able to penetrate this area of the CNS</w:t>
      </w:r>
      <w:r w:rsidR="00D62593">
        <w:t xml:space="preserve"> (CD4 high: M = 16.865, SD = 7.670; CD4 low: M = 11.566, SD = 7.161)</w:t>
      </w:r>
      <w:r w:rsidR="007E2644">
        <w:t>. This can’t be seen in the spinal cord, with viral load being similar levels irrespective of the immune response</w:t>
      </w:r>
      <w:r w:rsidR="00D62593">
        <w:t xml:space="preserve"> </w:t>
      </w:r>
      <w:r w:rsidR="00D62593">
        <w:t>(CD4 high</w:t>
      </w:r>
      <w:r w:rsidR="00D62593">
        <w:t>: M = 11.106</w:t>
      </w:r>
      <w:r w:rsidR="00D62593">
        <w:t xml:space="preserve">, SD = </w:t>
      </w:r>
      <w:r w:rsidR="00D62593">
        <w:t>4.084; CD4 low: M = 12.690, SD = 7.789</w:t>
      </w:r>
      <w:r w:rsidR="00D62593">
        <w:t>)</w:t>
      </w:r>
      <w:r w:rsidR="00EB5FA8">
        <w:t>.</w:t>
      </w:r>
      <w:r w:rsidR="007E2644">
        <w:t xml:space="preserve"> There is some interaction between the tissue type and the CD4 count - a</w:t>
      </w:r>
      <w:r w:rsidR="003B7FF0">
        <w:t>lthough this was not considered statistically significant</w:t>
      </w:r>
      <w:r w:rsidR="00EB5FA8">
        <w:t xml:space="preserve"> (ANOVA – </w:t>
      </w:r>
      <w:proofErr w:type="gramStart"/>
      <w:r w:rsidR="00EB5FA8">
        <w:t>F(</w:t>
      </w:r>
      <w:proofErr w:type="gramEnd"/>
      <w:r w:rsidR="00EB5FA8">
        <w:t>1,36) = 2.526, p = 0.121)</w:t>
      </w:r>
      <w:r w:rsidR="003B7FF0">
        <w:t>.</w:t>
      </w:r>
      <w:r w:rsidR="00E5290F">
        <w:t xml:space="preserve"> Due to the high error rates seen, these results aren’t fully conclusive.</w:t>
      </w:r>
    </w:p>
    <w:p w14:paraId="579F5881" w14:textId="5F047F22" w:rsidR="00F8678A" w:rsidRPr="00F8678A" w:rsidRDefault="00A5175B" w:rsidP="000731D8">
      <w:pPr>
        <w:pStyle w:val="Caption"/>
      </w:pPr>
      <w:r>
        <w:t xml:space="preserve">Figure </w:t>
      </w:r>
      <w:r w:rsidR="000C4BA6">
        <w:fldChar w:fldCharType="begin"/>
      </w:r>
      <w:r w:rsidR="000C4BA6">
        <w:instrText xml:space="preserve"> SEQ Figure \* ARABIC </w:instrText>
      </w:r>
      <w:r w:rsidR="000C4BA6">
        <w:fldChar w:fldCharType="separate"/>
      </w:r>
      <w:r>
        <w:rPr>
          <w:noProof/>
        </w:rPr>
        <w:t>4</w:t>
      </w:r>
      <w:r w:rsidR="000C4BA6">
        <w:rPr>
          <w:noProof/>
        </w:rPr>
        <w:fldChar w:fldCharType="end"/>
      </w:r>
      <w:r>
        <w:t xml:space="preserve"> | HIV viral load is not influenced by tissue type of immune reaction. </w:t>
      </w:r>
      <w:r>
        <w:rPr>
          <w:b w:val="0"/>
        </w:rPr>
        <w:t>Samples were collected from two different sites in the body and the general CD4 count me</w:t>
      </w:r>
      <w:r w:rsidR="00C17413">
        <w:rPr>
          <w:b w:val="0"/>
        </w:rPr>
        <w:t>asured; sample sizes were N = 20</w:t>
      </w:r>
      <w:r>
        <w:rPr>
          <w:b w:val="0"/>
        </w:rPr>
        <w:t xml:space="preserve"> for each </w:t>
      </w:r>
      <w:r w:rsidR="00C17413">
        <w:rPr>
          <w:b w:val="0"/>
        </w:rPr>
        <w:t>tissue</w:t>
      </w:r>
      <w:r>
        <w:rPr>
          <w:b w:val="0"/>
        </w:rPr>
        <w:t xml:space="preserve"> type</w:t>
      </w:r>
      <w:r w:rsidR="00C17413">
        <w:rPr>
          <w:b w:val="0"/>
        </w:rPr>
        <w:t xml:space="preserve"> and N = 20 for each CD4 level</w:t>
      </w:r>
      <w:r>
        <w:rPr>
          <w:b w:val="0"/>
        </w:rPr>
        <w:t xml:space="preserve">. Viral load, tissue type and CD4 count were modelled by linear model. Significance between groups was tested by ANOVA and assessed using p&lt;0.05. </w:t>
      </w:r>
      <w:proofErr w:type="spellStart"/>
      <w:proofErr w:type="gramStart"/>
      <w:r>
        <w:rPr>
          <w:b w:val="0"/>
        </w:rPr>
        <w:t>Barplot</w:t>
      </w:r>
      <w:proofErr w:type="spellEnd"/>
      <w:r>
        <w:rPr>
          <w:b w:val="0"/>
        </w:rPr>
        <w:t xml:space="preserve"> showing means and 95% confidence intervals of viral load.</w:t>
      </w:r>
      <w:proofErr w:type="gramEnd"/>
      <w:r>
        <w:rPr>
          <w:b w:val="0"/>
        </w:rPr>
        <w:t xml:space="preserve"> </w:t>
      </w:r>
    </w:p>
    <w:tbl>
      <w:tblPr>
        <w:tblStyle w:val="TableGrid"/>
        <w:tblpPr w:leftFromText="180" w:rightFromText="180" w:vertAnchor="text" w:horzAnchor="margin" w:tblpY="138"/>
        <w:tblW w:w="0" w:type="auto"/>
        <w:tblLook w:val="04A0" w:firstRow="1" w:lastRow="0" w:firstColumn="1" w:lastColumn="0" w:noHBand="0" w:noVBand="1"/>
      </w:tblPr>
      <w:tblGrid>
        <w:gridCol w:w="1848"/>
        <w:gridCol w:w="1848"/>
        <w:gridCol w:w="1848"/>
        <w:gridCol w:w="1849"/>
        <w:gridCol w:w="1849"/>
      </w:tblGrid>
      <w:tr w:rsidR="000731D8" w14:paraId="1AA3BC34" w14:textId="77777777" w:rsidTr="000731D8">
        <w:tc>
          <w:tcPr>
            <w:tcW w:w="9242" w:type="dxa"/>
            <w:gridSpan w:val="5"/>
            <w:tcBorders>
              <w:top w:val="nil"/>
              <w:left w:val="nil"/>
              <w:right w:val="nil"/>
            </w:tcBorders>
          </w:tcPr>
          <w:p w14:paraId="34076468" w14:textId="378DE725" w:rsidR="000731D8" w:rsidRDefault="000731D8" w:rsidP="000731D8">
            <w:r w:rsidRPr="000731D8">
              <w:rPr>
                <w:b/>
              </w:rPr>
              <w:lastRenderedPageBreak/>
              <w:t xml:space="preserve">Table </w:t>
            </w:r>
            <w:r w:rsidRPr="000731D8">
              <w:rPr>
                <w:b/>
              </w:rPr>
              <w:fldChar w:fldCharType="begin"/>
            </w:r>
            <w:r w:rsidRPr="000731D8">
              <w:rPr>
                <w:b/>
              </w:rPr>
              <w:instrText xml:space="preserve"> SEQ Table \* ARABIC </w:instrText>
            </w:r>
            <w:r w:rsidRPr="000731D8">
              <w:rPr>
                <w:b/>
              </w:rPr>
              <w:fldChar w:fldCharType="separate"/>
            </w:r>
            <w:r>
              <w:rPr>
                <w:b/>
                <w:noProof/>
              </w:rPr>
              <w:t>1</w:t>
            </w:r>
            <w:r w:rsidRPr="000731D8">
              <w:rPr>
                <w:b/>
              </w:rPr>
              <w:fldChar w:fldCharType="end"/>
            </w:r>
            <w:r w:rsidRPr="000731D8">
              <w:rPr>
                <w:b/>
              </w:rPr>
              <w:t xml:space="preserve"> | Main experimental factors predicting HIV viral load</w:t>
            </w:r>
            <w:r>
              <w:t xml:space="preserve">.  </w:t>
            </w:r>
            <w:r w:rsidRPr="000731D8">
              <w:t xml:space="preserve">ANOVA analysis of variance.  Statistics describe linear models and their significance levels. Bold values indicate statistically significant factors that were maintained in the </w:t>
            </w:r>
            <w:r w:rsidR="00C17413">
              <w:t xml:space="preserve">manually curated </w:t>
            </w:r>
            <w:r w:rsidRPr="000731D8">
              <w:t>model.</w:t>
            </w:r>
          </w:p>
        </w:tc>
      </w:tr>
      <w:tr w:rsidR="000731D8" w14:paraId="1157037C" w14:textId="77777777" w:rsidTr="000731D8">
        <w:tc>
          <w:tcPr>
            <w:tcW w:w="1848" w:type="dxa"/>
          </w:tcPr>
          <w:p w14:paraId="1677E93D" w14:textId="77777777" w:rsidR="000731D8" w:rsidRDefault="000731D8" w:rsidP="000731D8">
            <w:r>
              <w:t>Experimental Factor</w:t>
            </w:r>
          </w:p>
        </w:tc>
        <w:tc>
          <w:tcPr>
            <w:tcW w:w="1848" w:type="dxa"/>
          </w:tcPr>
          <w:p w14:paraId="113B948B" w14:textId="77777777" w:rsidR="000731D8" w:rsidRDefault="000731D8" w:rsidP="000731D8">
            <w:r>
              <w:t>Distance</w:t>
            </w:r>
          </w:p>
        </w:tc>
        <w:tc>
          <w:tcPr>
            <w:tcW w:w="1848" w:type="dxa"/>
          </w:tcPr>
          <w:p w14:paraId="35BE41A2" w14:textId="77777777" w:rsidR="000731D8" w:rsidRDefault="000731D8" w:rsidP="000731D8">
            <w:r>
              <w:t>Shannon Diversity</w:t>
            </w:r>
          </w:p>
        </w:tc>
        <w:tc>
          <w:tcPr>
            <w:tcW w:w="1849" w:type="dxa"/>
          </w:tcPr>
          <w:p w14:paraId="5EE8B2F9" w14:textId="77777777" w:rsidR="000731D8" w:rsidRDefault="000731D8" w:rsidP="000731D8">
            <w:r>
              <w:t>CD4 level</w:t>
            </w:r>
          </w:p>
        </w:tc>
        <w:tc>
          <w:tcPr>
            <w:tcW w:w="1849" w:type="dxa"/>
          </w:tcPr>
          <w:p w14:paraId="2026F378" w14:textId="77777777" w:rsidR="000731D8" w:rsidRDefault="000731D8" w:rsidP="000731D8">
            <w:r>
              <w:t>Tissue type</w:t>
            </w:r>
          </w:p>
        </w:tc>
      </w:tr>
      <w:tr w:rsidR="000731D8" w14:paraId="6678A152" w14:textId="77777777" w:rsidTr="000731D8">
        <w:tc>
          <w:tcPr>
            <w:tcW w:w="1848" w:type="dxa"/>
          </w:tcPr>
          <w:p w14:paraId="522D6B10" w14:textId="77777777" w:rsidR="000731D8" w:rsidRDefault="000731D8" w:rsidP="000731D8">
            <w:r>
              <w:t>Significance</w:t>
            </w:r>
          </w:p>
        </w:tc>
        <w:tc>
          <w:tcPr>
            <w:tcW w:w="1848" w:type="dxa"/>
          </w:tcPr>
          <w:p w14:paraId="33711570" w14:textId="77777777" w:rsidR="000731D8" w:rsidRDefault="000731D8" w:rsidP="000731D8">
            <w:r>
              <w:t>F(1,35) = 13.121</w:t>
            </w:r>
          </w:p>
          <w:p w14:paraId="14502E40" w14:textId="77777777" w:rsidR="000731D8" w:rsidRPr="00A82C72" w:rsidRDefault="000731D8" w:rsidP="000731D8">
            <w:pPr>
              <w:rPr>
                <w:b/>
              </w:rPr>
            </w:pPr>
            <w:r w:rsidRPr="00A82C72">
              <w:rPr>
                <w:b/>
              </w:rPr>
              <w:t>P=0.001</w:t>
            </w:r>
          </w:p>
        </w:tc>
        <w:tc>
          <w:tcPr>
            <w:tcW w:w="1848" w:type="dxa"/>
          </w:tcPr>
          <w:p w14:paraId="630B0871" w14:textId="77777777" w:rsidR="000731D8" w:rsidRDefault="000731D8" w:rsidP="000731D8">
            <w:r>
              <w:t>F(1,37) = 0.2436</w:t>
            </w:r>
          </w:p>
          <w:p w14:paraId="394FC3EC" w14:textId="77777777" w:rsidR="000731D8" w:rsidRDefault="000731D8" w:rsidP="000731D8">
            <w:r>
              <w:t>P=0.625</w:t>
            </w:r>
          </w:p>
        </w:tc>
        <w:tc>
          <w:tcPr>
            <w:tcW w:w="1849" w:type="dxa"/>
          </w:tcPr>
          <w:p w14:paraId="441C0BA7" w14:textId="77777777" w:rsidR="000731D8" w:rsidRDefault="000731D8" w:rsidP="000731D8">
            <w:r>
              <w:t>F(1,31)=0.926</w:t>
            </w:r>
          </w:p>
          <w:p w14:paraId="02F7D41F" w14:textId="77777777" w:rsidR="000731D8" w:rsidRDefault="000731D8" w:rsidP="000731D8">
            <w:r>
              <w:t>P=0.343</w:t>
            </w:r>
          </w:p>
        </w:tc>
        <w:tc>
          <w:tcPr>
            <w:tcW w:w="1849" w:type="dxa"/>
          </w:tcPr>
          <w:p w14:paraId="7891638E" w14:textId="77777777" w:rsidR="000731D8" w:rsidRDefault="000731D8" w:rsidP="000731D8">
            <w:r>
              <w:t>F(1,36)=0.007</w:t>
            </w:r>
          </w:p>
          <w:p w14:paraId="7CA52490" w14:textId="77777777" w:rsidR="000731D8" w:rsidRDefault="000731D8" w:rsidP="000731D8">
            <w:r>
              <w:t>P=0.936</w:t>
            </w:r>
          </w:p>
        </w:tc>
      </w:tr>
    </w:tbl>
    <w:p w14:paraId="71AE5D58" w14:textId="392D15C3" w:rsidR="000731D8" w:rsidRDefault="000731D8" w:rsidP="000731D8">
      <w:pPr>
        <w:pStyle w:val="Caption"/>
        <w:keepNext/>
      </w:pPr>
    </w:p>
    <w:p w14:paraId="314D05E7" w14:textId="6C83BEA9" w:rsidR="00F8678A" w:rsidRDefault="00286F83" w:rsidP="0095354B">
      <w:r>
        <w:t xml:space="preserve">Initial exploration of the data showed that the only variables showing </w:t>
      </w:r>
      <w:r w:rsidR="0002522E">
        <w:t xml:space="preserve">a </w:t>
      </w:r>
      <w:r>
        <w:t xml:space="preserve">significant </w:t>
      </w:r>
      <w:r w:rsidR="00F80D2B">
        <w:t>relationship</w:t>
      </w:r>
      <w:r w:rsidR="005F3B09">
        <w:t xml:space="preserve"> were viral load and distance, a strong</w:t>
      </w:r>
      <w:r w:rsidR="00EC6841">
        <w:t xml:space="preserve"> positive correlation</w:t>
      </w:r>
      <w:r w:rsidR="001F42D7">
        <w:t xml:space="preserve"> can be seen</w:t>
      </w:r>
      <w:r w:rsidR="00EC6841">
        <w:t xml:space="preserve"> with viral load increasing with genetic distance</w:t>
      </w:r>
      <w:r w:rsidR="001F42D7">
        <w:t xml:space="preserve"> </w:t>
      </w:r>
      <w:r w:rsidR="001F42D7">
        <w:t>(Pearson’s coefficient, r(38)=0.495, p=0.002)</w:t>
      </w:r>
      <w:r w:rsidR="0015241D">
        <w:t xml:space="preserve"> (</w:t>
      </w:r>
      <w:r w:rsidR="0015241D">
        <w:fldChar w:fldCharType="begin"/>
      </w:r>
      <w:r w:rsidR="0015241D">
        <w:instrText xml:space="preserve"> REF _Ref499572632 \h </w:instrText>
      </w:r>
      <w:r w:rsidR="0015241D">
        <w:fldChar w:fldCharType="separate"/>
      </w:r>
      <w:r w:rsidR="0015241D">
        <w:t xml:space="preserve">Figure </w:t>
      </w:r>
      <w:r w:rsidR="0015241D">
        <w:rPr>
          <w:noProof/>
        </w:rPr>
        <w:t>4</w:t>
      </w:r>
      <w:r w:rsidR="0015241D">
        <w:fldChar w:fldCharType="end"/>
      </w:r>
      <w:r w:rsidR="0015241D">
        <w:t>).</w:t>
      </w:r>
      <w:r w:rsidR="004A4824">
        <w:t xml:space="preserve"> </w:t>
      </w:r>
      <w:r w:rsidR="00022AB1">
        <w:t xml:space="preserve">This is seen in the models curated </w:t>
      </w:r>
      <w:r w:rsidR="001F42D7">
        <w:t>as other factor</w:t>
      </w:r>
      <w:r w:rsidR="00D62593">
        <w:t>s</w:t>
      </w:r>
      <w:r w:rsidR="001F42D7">
        <w:t xml:space="preserve"> play a non-significant role in predicting viral load;</w:t>
      </w:r>
      <w:r w:rsidR="00022AB1">
        <w:t xml:space="preserve"> the</w:t>
      </w:r>
      <w:r w:rsidR="00A43A45">
        <w:t xml:space="preserve"> main</w:t>
      </w:r>
      <w:r w:rsidR="00022AB1">
        <w:t xml:space="preserve"> factors and their significance</w:t>
      </w:r>
      <w:r w:rsidR="001F42D7">
        <w:t xml:space="preserve"> are</w:t>
      </w:r>
      <w:r w:rsidR="00022AB1">
        <w:t xml:space="preserve"> listed in</w:t>
      </w:r>
      <w:r w:rsidR="00A43A45">
        <w:t xml:space="preserve"> </w:t>
      </w:r>
      <w:r w:rsidR="00A43A45">
        <w:fldChar w:fldCharType="begin"/>
      </w:r>
      <w:r w:rsidR="00A43A45">
        <w:instrText xml:space="preserve"> REF _Ref499572723 \h </w:instrText>
      </w:r>
      <w:r w:rsidR="00A43A45">
        <w:fldChar w:fldCharType="separate"/>
      </w:r>
      <w:r w:rsidR="00A43A45">
        <w:t xml:space="preserve">Table </w:t>
      </w:r>
      <w:r w:rsidR="00A43A45">
        <w:rPr>
          <w:noProof/>
        </w:rPr>
        <w:t>1</w:t>
      </w:r>
      <w:r w:rsidR="00A43A45">
        <w:fldChar w:fldCharType="end"/>
      </w:r>
      <w:r w:rsidR="00022AB1">
        <w:t>.</w:t>
      </w:r>
    </w:p>
    <w:p w14:paraId="493C2A60" w14:textId="77777777" w:rsidR="00F35F1E" w:rsidRDefault="00F35F1E" w:rsidP="00F35F1E">
      <w:pPr>
        <w:keepNext/>
      </w:pPr>
      <w:r>
        <w:rPr>
          <w:noProof/>
          <w:lang w:eastAsia="en-GB"/>
        </w:rPr>
        <w:drawing>
          <wp:inline distT="0" distB="0" distL="0" distR="0" wp14:anchorId="0381B7C9" wp14:editId="22745238">
            <wp:extent cx="4629796" cy="34485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al load dis.png"/>
                    <pic:cNvPicPr/>
                  </pic:nvPicPr>
                  <pic:blipFill>
                    <a:blip r:embed="rId13">
                      <a:extLst>
                        <a:ext uri="{28A0092B-C50C-407E-A947-70E740481C1C}">
                          <a14:useLocalDpi xmlns:a14="http://schemas.microsoft.com/office/drawing/2010/main" val="0"/>
                        </a:ext>
                      </a:extLst>
                    </a:blip>
                    <a:stretch>
                      <a:fillRect/>
                    </a:stretch>
                  </pic:blipFill>
                  <pic:spPr>
                    <a:xfrm>
                      <a:off x="0" y="0"/>
                      <a:ext cx="4629796" cy="3448531"/>
                    </a:xfrm>
                    <a:prstGeom prst="rect">
                      <a:avLst/>
                    </a:prstGeom>
                  </pic:spPr>
                </pic:pic>
              </a:graphicData>
            </a:graphic>
          </wp:inline>
        </w:drawing>
      </w:r>
    </w:p>
    <w:p w14:paraId="6B8269B9" w14:textId="6435C8CC" w:rsidR="00F8678A" w:rsidRPr="00C17413" w:rsidRDefault="00F35F1E" w:rsidP="00F8678A">
      <w:pPr>
        <w:pStyle w:val="Caption"/>
        <w:rPr>
          <w:b w:val="0"/>
        </w:rPr>
      </w:pPr>
      <w:bookmarkStart w:id="3" w:name="_Ref499572632"/>
      <w:bookmarkStart w:id="4" w:name="_Ref499572624"/>
      <w:r>
        <w:t xml:space="preserve">Figure </w:t>
      </w:r>
      <w:r w:rsidR="000C4BA6">
        <w:fldChar w:fldCharType="begin"/>
      </w:r>
      <w:r w:rsidR="000C4BA6">
        <w:instrText xml:space="preserve"> SEQ Figure \* ARABIC </w:instrText>
      </w:r>
      <w:r w:rsidR="000C4BA6">
        <w:fldChar w:fldCharType="separate"/>
      </w:r>
      <w:r w:rsidR="00A5175B">
        <w:rPr>
          <w:noProof/>
        </w:rPr>
        <w:t>5</w:t>
      </w:r>
      <w:r w:rsidR="000C4BA6">
        <w:rPr>
          <w:noProof/>
        </w:rPr>
        <w:fldChar w:fldCharType="end"/>
      </w:r>
      <w:bookmarkEnd w:id="3"/>
      <w:r>
        <w:t xml:space="preserve"> | Scatter plot showing the </w:t>
      </w:r>
      <w:r w:rsidR="00F80D2B">
        <w:t>strong correlation</w:t>
      </w:r>
      <w:r>
        <w:t xml:space="preserve"> between viral load (viral population expressed as </w:t>
      </w:r>
      <w:proofErr w:type="gramStart"/>
      <w:r>
        <w:t>log10(</w:t>
      </w:r>
      <w:proofErr w:type="gramEnd"/>
      <w:r>
        <w:t>particles per ml) and distance (mean pairwise genetic distance to a reference sequence).</w:t>
      </w:r>
      <w:bookmarkEnd w:id="4"/>
      <w:r w:rsidR="00C17413">
        <w:t xml:space="preserve"> </w:t>
      </w:r>
      <w:r w:rsidR="00C17413">
        <w:rPr>
          <w:b w:val="0"/>
        </w:rPr>
        <w:t>Tissue did not play a significant role in predicting viral load.</w:t>
      </w:r>
    </w:p>
    <w:p w14:paraId="4387AC5F" w14:textId="0705DF97" w:rsidR="009D4D58" w:rsidRDefault="00A93571" w:rsidP="004E37EF">
      <w:r>
        <w:t xml:space="preserve">The concluding </w:t>
      </w:r>
      <w:r w:rsidR="0002522E">
        <w:t xml:space="preserve">automatically curated </w:t>
      </w:r>
      <w:r>
        <w:t>backwards</w:t>
      </w:r>
      <w:r w:rsidR="0002522E">
        <w:t xml:space="preserve"> stepwise</w:t>
      </w:r>
      <w:r>
        <w:t xml:space="preserve"> model was equivalent to the maximal model and the forward stepwise model gave viral load as a measure of Distance + D</w:t>
      </w:r>
      <w:r w:rsidRPr="00A93571">
        <w:t>iversity</w:t>
      </w:r>
      <w:r w:rsidR="00C17413">
        <w:t>, meaning that patient</w:t>
      </w:r>
      <w:bookmarkStart w:id="5" w:name="_GoBack"/>
      <w:bookmarkEnd w:id="5"/>
      <w:r w:rsidR="00A43A45">
        <w:t xml:space="preserve"> viral load is higher for more genetically distant and diverse viruses.</w:t>
      </w:r>
      <w:r>
        <w:t xml:space="preserve"> Comparison of these models showed that maximal model to be </w:t>
      </w:r>
      <w:r w:rsidR="0002522E">
        <w:t xml:space="preserve">a </w:t>
      </w:r>
      <w:r>
        <w:t>better</w:t>
      </w:r>
      <w:r w:rsidR="0002522E">
        <w:t xml:space="preserve"> model</w:t>
      </w:r>
      <w:r>
        <w:t xml:space="preserve"> than the simplified one, but not significantly (</w:t>
      </w:r>
      <w:proofErr w:type="gramStart"/>
      <w:r>
        <w:t>F(</w:t>
      </w:r>
      <w:proofErr w:type="gramEnd"/>
      <w:r>
        <w:t>13, 24)=1.609, p=0.1514). Due to this</w:t>
      </w:r>
      <w:r w:rsidR="006B4A7A">
        <w:t>, and the principle of parsimony, I would suggest that the forward stepwise model is best due to simplistic models with fewer parameters are preferred.</w:t>
      </w:r>
    </w:p>
    <w:p w14:paraId="7EE3964D" w14:textId="780CF3C1" w:rsidR="004E60A6" w:rsidRDefault="00D62593" w:rsidP="006B4A7A">
      <w:r>
        <w:t xml:space="preserve">The manually </w:t>
      </w:r>
      <w:r w:rsidR="006B4A7A">
        <w:t>curated</w:t>
      </w:r>
      <w:r>
        <w:t xml:space="preserve"> model</w:t>
      </w:r>
      <w:r w:rsidR="006B4A7A">
        <w:t xml:space="preserve"> gave a minimal ad</w:t>
      </w:r>
      <w:r w:rsidR="00033EC5">
        <w:t>equate model for viral load as</w:t>
      </w:r>
      <w:r w:rsidR="006B4A7A">
        <w:t xml:space="preserve"> viral load increasing with </w:t>
      </w:r>
      <w:r w:rsidR="00033EC5">
        <w:t xml:space="preserve">genetic </w:t>
      </w:r>
      <w:r w:rsidR="006B4A7A">
        <w:t>distance</w:t>
      </w:r>
      <w:r w:rsidR="009D2957">
        <w:t xml:space="preserve"> </w:t>
      </w:r>
      <w:r w:rsidR="00A43A45">
        <w:t>(</w:t>
      </w:r>
      <w:r w:rsidR="00A43A45">
        <w:fldChar w:fldCharType="begin"/>
      </w:r>
      <w:r w:rsidR="00A43A45">
        <w:instrText xml:space="preserve"> REF _Ref499573005 \h </w:instrText>
      </w:r>
      <w:r w:rsidR="00A43A45">
        <w:fldChar w:fldCharType="separate"/>
      </w:r>
      <w:r w:rsidR="00A43A45" w:rsidRPr="009D2957">
        <w:t xml:space="preserve">Figure </w:t>
      </w:r>
      <w:r w:rsidR="00A43A45" w:rsidRPr="009D2957">
        <w:rPr>
          <w:noProof/>
        </w:rPr>
        <w:t>5</w:t>
      </w:r>
      <w:r w:rsidR="00A43A45">
        <w:fldChar w:fldCharType="end"/>
      </w:r>
      <w:r w:rsidR="00A43A45">
        <w:t>)</w:t>
      </w:r>
      <w:r>
        <w:t xml:space="preserve">. </w:t>
      </w:r>
      <w:r w:rsidR="006B4A7A">
        <w:t>Comparative to the log maximal model the manually curated minimal adequate model was not a significantly better fit (</w:t>
      </w:r>
      <w:proofErr w:type="gramStart"/>
      <w:r w:rsidR="006B4A7A">
        <w:t>F(</w:t>
      </w:r>
      <w:proofErr w:type="gramEnd"/>
      <w:r w:rsidR="006B4A7A">
        <w:t xml:space="preserve">14, 38)=0.9929, p=0.4892); therefore I would also conclude that the manually curated model is more suitable for describing the model due </w:t>
      </w:r>
      <w:r w:rsidR="006B4A7A">
        <w:lastRenderedPageBreak/>
        <w:t>to the principle of parsimony.</w:t>
      </w:r>
      <w:r w:rsidR="009D2957">
        <w:t xml:space="preserve"> Further analysis of the model may be required without inclusion of the outlying data point that can be </w:t>
      </w:r>
      <w:proofErr w:type="gramStart"/>
      <w:r w:rsidR="009D2957">
        <w:t>seen,</w:t>
      </w:r>
      <w:proofErr w:type="gramEnd"/>
      <w:r w:rsidR="009D2957">
        <w:t xml:space="preserve"> as it has a Cook’s distance greater than 0.5 meaning it may be influential.</w:t>
      </w:r>
    </w:p>
    <w:p w14:paraId="4A4601EF" w14:textId="77777777" w:rsidR="009D2957" w:rsidRDefault="004E60A6" w:rsidP="009D2957">
      <w:pPr>
        <w:keepNext/>
      </w:pPr>
      <w:r>
        <w:rPr>
          <w:noProof/>
          <w:lang w:eastAsia="en-GB"/>
        </w:rPr>
        <w:drawing>
          <wp:inline distT="0" distB="0" distL="0" distR="0" wp14:anchorId="750CB046" wp14:editId="02D3634C">
            <wp:extent cx="4629796" cy="34485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5.png"/>
                    <pic:cNvPicPr/>
                  </pic:nvPicPr>
                  <pic:blipFill>
                    <a:blip r:embed="rId14">
                      <a:extLst>
                        <a:ext uri="{28A0092B-C50C-407E-A947-70E740481C1C}">
                          <a14:useLocalDpi xmlns:a14="http://schemas.microsoft.com/office/drawing/2010/main" val="0"/>
                        </a:ext>
                      </a:extLst>
                    </a:blip>
                    <a:stretch>
                      <a:fillRect/>
                    </a:stretch>
                  </pic:blipFill>
                  <pic:spPr>
                    <a:xfrm>
                      <a:off x="0" y="0"/>
                      <a:ext cx="4629796" cy="3448531"/>
                    </a:xfrm>
                    <a:prstGeom prst="rect">
                      <a:avLst/>
                    </a:prstGeom>
                  </pic:spPr>
                </pic:pic>
              </a:graphicData>
            </a:graphic>
          </wp:inline>
        </w:drawing>
      </w:r>
    </w:p>
    <w:p w14:paraId="02A84DF8" w14:textId="05CD44BA" w:rsidR="00A82C72" w:rsidRDefault="009D2957" w:rsidP="00F8678A">
      <w:pPr>
        <w:pStyle w:val="Caption"/>
      </w:pPr>
      <w:bookmarkStart w:id="6" w:name="_Ref499573005"/>
      <w:proofErr w:type="gramStart"/>
      <w:r w:rsidRPr="009D2957">
        <w:t xml:space="preserve">Figure </w:t>
      </w:r>
      <w:r w:rsidR="000C4BA6">
        <w:fldChar w:fldCharType="begin"/>
      </w:r>
      <w:r w:rsidR="000C4BA6">
        <w:instrText xml:space="preserve"> SEQ Figure \* ARABIC </w:instrText>
      </w:r>
      <w:r w:rsidR="000C4BA6">
        <w:fldChar w:fldCharType="separate"/>
      </w:r>
      <w:r w:rsidR="00A5175B">
        <w:rPr>
          <w:noProof/>
        </w:rPr>
        <w:t>6</w:t>
      </w:r>
      <w:r w:rsidR="000C4BA6">
        <w:rPr>
          <w:noProof/>
        </w:rPr>
        <w:fldChar w:fldCharType="end"/>
      </w:r>
      <w:bookmarkEnd w:id="6"/>
      <w:r>
        <w:t xml:space="preserve"> | </w:t>
      </w:r>
      <w:r w:rsidR="00723F3E">
        <w:t>Scatter plot showing the manually curated model for viral load.</w:t>
      </w:r>
      <w:proofErr w:type="gramEnd"/>
      <w:r w:rsidR="00723F3E">
        <w:t xml:space="preserve"> </w:t>
      </w:r>
      <w:proofErr w:type="gramStart"/>
      <w:r w:rsidR="00723F3E" w:rsidRPr="00723F3E">
        <w:rPr>
          <w:b w:val="0"/>
        </w:rPr>
        <w:t>Log(</w:t>
      </w:r>
      <w:proofErr w:type="gramEnd"/>
      <w:r w:rsidR="00723F3E" w:rsidRPr="00723F3E">
        <w:rPr>
          <w:b w:val="0"/>
        </w:rPr>
        <w:t>viral load) plotted against genetic distance</w:t>
      </w:r>
      <w:r w:rsidR="00723F3E">
        <w:rPr>
          <w:b w:val="0"/>
        </w:rPr>
        <w:t xml:space="preserve"> with the model plotted as a line.</w:t>
      </w:r>
    </w:p>
    <w:p w14:paraId="4ACFF5AC" w14:textId="77777777" w:rsidR="00EB74E1" w:rsidRDefault="00EB74E1" w:rsidP="006B4A7A"/>
    <w:p w14:paraId="327E4F48" w14:textId="4E4591D9" w:rsidR="004E60A6" w:rsidRDefault="0002522E" w:rsidP="006B4A7A">
      <w:r>
        <w:t>Total word count = 999</w:t>
      </w:r>
      <w:r w:rsidR="00EB74E1">
        <w:t>.</w:t>
      </w:r>
    </w:p>
    <w:p w14:paraId="1BDB6575" w14:textId="77777777" w:rsidR="00EB74E1" w:rsidRDefault="00EB74E1" w:rsidP="006B4A7A"/>
    <w:p w14:paraId="2ED23FEE" w14:textId="52EB5551" w:rsidR="00723F3E" w:rsidRPr="00EB74E1" w:rsidRDefault="00723F3E" w:rsidP="006B4A7A">
      <w:pPr>
        <w:rPr>
          <w:b/>
        </w:rPr>
      </w:pPr>
      <w:r w:rsidRPr="00EB74E1">
        <w:rPr>
          <w:b/>
        </w:rPr>
        <w:t>References</w:t>
      </w:r>
    </w:p>
    <w:p w14:paraId="185E8180" w14:textId="146E3A55" w:rsidR="008855E2" w:rsidRPr="004B68ED" w:rsidRDefault="4B0E9978" w:rsidP="004B68ED">
      <w:proofErr w:type="gramStart"/>
      <w:r>
        <w:t>R Core Team (2017).</w:t>
      </w:r>
      <w:proofErr w:type="gramEnd"/>
      <w:r>
        <w:t xml:space="preserve"> “R: A language and environment for statistical computing”. </w:t>
      </w:r>
      <w:proofErr w:type="gramStart"/>
      <w:r>
        <w:t>R Foundation for Statistical Computing, Vienna, Austria.</w:t>
      </w:r>
      <w:proofErr w:type="gramEnd"/>
      <w:r>
        <w:t xml:space="preserve"> </w:t>
      </w:r>
      <w:proofErr w:type="gramStart"/>
      <w:r>
        <w:t>URL https://www.R-project.org/.</w:t>
      </w:r>
      <w:proofErr w:type="gramEnd"/>
    </w:p>
    <w:p w14:paraId="62F8B104" w14:textId="79ABCA08" w:rsidR="008855E2" w:rsidRDefault="008855E2" w:rsidP="006B4A7A"/>
    <w:p w14:paraId="6692E2DA" w14:textId="77777777" w:rsidR="006B4A7A" w:rsidRDefault="006B4A7A" w:rsidP="004E37EF"/>
    <w:sectPr w:rsidR="006B4A7A">
      <w:head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58F46C" w14:textId="77777777" w:rsidR="000C4BA6" w:rsidRDefault="000C4BA6" w:rsidP="00445BC0">
      <w:pPr>
        <w:spacing w:after="0" w:line="240" w:lineRule="auto"/>
      </w:pPr>
      <w:r>
        <w:separator/>
      </w:r>
    </w:p>
  </w:endnote>
  <w:endnote w:type="continuationSeparator" w:id="0">
    <w:p w14:paraId="23BA73F2" w14:textId="77777777" w:rsidR="000C4BA6" w:rsidRDefault="000C4BA6" w:rsidP="00445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1E0647" w14:textId="77777777" w:rsidR="000C4BA6" w:rsidRDefault="000C4BA6" w:rsidP="00445BC0">
      <w:pPr>
        <w:spacing w:after="0" w:line="240" w:lineRule="auto"/>
      </w:pPr>
      <w:r>
        <w:separator/>
      </w:r>
    </w:p>
  </w:footnote>
  <w:footnote w:type="continuationSeparator" w:id="0">
    <w:p w14:paraId="10B46F91" w14:textId="77777777" w:rsidR="000C4BA6" w:rsidRDefault="000C4BA6" w:rsidP="00445B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1ACB2C" w14:textId="6E9AB18B" w:rsidR="00445BC0" w:rsidRDefault="00445BC0">
    <w:pPr>
      <w:pStyle w:val="Header"/>
    </w:pPr>
    <w:r>
      <w:t>Rachael Turner – Student Number: 170386326</w:t>
    </w:r>
  </w:p>
  <w:p w14:paraId="284871BD" w14:textId="77777777" w:rsidR="00445BC0" w:rsidRDefault="00445B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8D6993"/>
    <w:multiLevelType w:val="hybridMultilevel"/>
    <w:tmpl w:val="109EE724"/>
    <w:lvl w:ilvl="0" w:tplc="02E8FF68">
      <w:start w:val="1"/>
      <w:numFmt w:val="decimal"/>
      <w:lvlText w:val="%1."/>
      <w:lvlJc w:val="left"/>
      <w:pPr>
        <w:ind w:left="720" w:hanging="360"/>
      </w:pPr>
    </w:lvl>
    <w:lvl w:ilvl="1" w:tplc="BE50B35E">
      <w:start w:val="1"/>
      <w:numFmt w:val="lowerLetter"/>
      <w:lvlText w:val="%2."/>
      <w:lvlJc w:val="left"/>
      <w:pPr>
        <w:ind w:left="1440" w:hanging="360"/>
      </w:pPr>
    </w:lvl>
    <w:lvl w:ilvl="2" w:tplc="93A6D546">
      <w:start w:val="1"/>
      <w:numFmt w:val="lowerRoman"/>
      <w:lvlText w:val="%3."/>
      <w:lvlJc w:val="right"/>
      <w:pPr>
        <w:ind w:left="2160" w:hanging="180"/>
      </w:pPr>
    </w:lvl>
    <w:lvl w:ilvl="3" w:tplc="582E3EAC">
      <w:start w:val="1"/>
      <w:numFmt w:val="decimal"/>
      <w:lvlText w:val="%4."/>
      <w:lvlJc w:val="left"/>
      <w:pPr>
        <w:ind w:left="2880" w:hanging="360"/>
      </w:pPr>
    </w:lvl>
    <w:lvl w:ilvl="4" w:tplc="B134B3BE">
      <w:start w:val="1"/>
      <w:numFmt w:val="lowerLetter"/>
      <w:lvlText w:val="%5."/>
      <w:lvlJc w:val="left"/>
      <w:pPr>
        <w:ind w:left="3600" w:hanging="360"/>
      </w:pPr>
    </w:lvl>
    <w:lvl w:ilvl="5" w:tplc="243216CE">
      <w:start w:val="1"/>
      <w:numFmt w:val="lowerRoman"/>
      <w:lvlText w:val="%6."/>
      <w:lvlJc w:val="right"/>
      <w:pPr>
        <w:ind w:left="4320" w:hanging="180"/>
      </w:pPr>
    </w:lvl>
    <w:lvl w:ilvl="6" w:tplc="2036317C">
      <w:start w:val="1"/>
      <w:numFmt w:val="decimal"/>
      <w:lvlText w:val="%7."/>
      <w:lvlJc w:val="left"/>
      <w:pPr>
        <w:ind w:left="5040" w:hanging="360"/>
      </w:pPr>
    </w:lvl>
    <w:lvl w:ilvl="7" w:tplc="AB1E52CA">
      <w:start w:val="1"/>
      <w:numFmt w:val="lowerLetter"/>
      <w:lvlText w:val="%8."/>
      <w:lvlJc w:val="left"/>
      <w:pPr>
        <w:ind w:left="5760" w:hanging="360"/>
      </w:pPr>
    </w:lvl>
    <w:lvl w:ilvl="8" w:tplc="65A03E30">
      <w:start w:val="1"/>
      <w:numFmt w:val="lowerRoman"/>
      <w:lvlText w:val="%9."/>
      <w:lvlJc w:val="right"/>
      <w:pPr>
        <w:ind w:left="6480" w:hanging="180"/>
      </w:pPr>
    </w:lvl>
  </w:abstractNum>
  <w:abstractNum w:abstractNumId="1">
    <w:nsid w:val="41522873"/>
    <w:multiLevelType w:val="hybridMultilevel"/>
    <w:tmpl w:val="BED0D760"/>
    <w:lvl w:ilvl="0" w:tplc="C67AAED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mc="http://schemas.openxmlformats.org/markup-compatibility/2006" xmlns:w15="http://schemas.microsoft.com/office/word/2012/wordml" mc:Ignorable="w15">
  <w15:person w15:author="Rachael Louise Turner">
    <w15:presenceInfo w15:providerId="AD" w15:userId="10037FFEA450B237@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C22E1B"/>
    <w:rsid w:val="00006D07"/>
    <w:rsid w:val="00022AA3"/>
    <w:rsid w:val="00022AB1"/>
    <w:rsid w:val="0002522E"/>
    <w:rsid w:val="00033EC5"/>
    <w:rsid w:val="00046F05"/>
    <w:rsid w:val="000731D8"/>
    <w:rsid w:val="000C4BA6"/>
    <w:rsid w:val="001024A0"/>
    <w:rsid w:val="0015241D"/>
    <w:rsid w:val="001A2D15"/>
    <w:rsid w:val="001F42D7"/>
    <w:rsid w:val="00240D66"/>
    <w:rsid w:val="00286F83"/>
    <w:rsid w:val="003B7FF0"/>
    <w:rsid w:val="003D3CF9"/>
    <w:rsid w:val="003E6466"/>
    <w:rsid w:val="00445BC0"/>
    <w:rsid w:val="0046614B"/>
    <w:rsid w:val="004953C4"/>
    <w:rsid w:val="004A4824"/>
    <w:rsid w:val="004B68ED"/>
    <w:rsid w:val="004E37EF"/>
    <w:rsid w:val="004E60A6"/>
    <w:rsid w:val="00585DF7"/>
    <w:rsid w:val="005D3A3B"/>
    <w:rsid w:val="005D76D2"/>
    <w:rsid w:val="005F3B09"/>
    <w:rsid w:val="00654BB0"/>
    <w:rsid w:val="006B4A7A"/>
    <w:rsid w:val="00703C8C"/>
    <w:rsid w:val="00723F3E"/>
    <w:rsid w:val="0075296F"/>
    <w:rsid w:val="007E2644"/>
    <w:rsid w:val="007E4590"/>
    <w:rsid w:val="008251B4"/>
    <w:rsid w:val="00880AC1"/>
    <w:rsid w:val="008855E2"/>
    <w:rsid w:val="0095354B"/>
    <w:rsid w:val="009D2957"/>
    <w:rsid w:val="009D4D58"/>
    <w:rsid w:val="00A13ECA"/>
    <w:rsid w:val="00A43A45"/>
    <w:rsid w:val="00A5175B"/>
    <w:rsid w:val="00A82C72"/>
    <w:rsid w:val="00A93571"/>
    <w:rsid w:val="00AF6BE6"/>
    <w:rsid w:val="00B43D3E"/>
    <w:rsid w:val="00B65743"/>
    <w:rsid w:val="00B779E1"/>
    <w:rsid w:val="00BE4EB2"/>
    <w:rsid w:val="00C17413"/>
    <w:rsid w:val="00C37AEB"/>
    <w:rsid w:val="00C419A8"/>
    <w:rsid w:val="00CD60E8"/>
    <w:rsid w:val="00D62593"/>
    <w:rsid w:val="00D84675"/>
    <w:rsid w:val="00DC2D70"/>
    <w:rsid w:val="00DC646E"/>
    <w:rsid w:val="00E5290F"/>
    <w:rsid w:val="00EB5FA8"/>
    <w:rsid w:val="00EB74E1"/>
    <w:rsid w:val="00EC6841"/>
    <w:rsid w:val="00F2047F"/>
    <w:rsid w:val="00F232B6"/>
    <w:rsid w:val="00F23B82"/>
    <w:rsid w:val="00F35F1E"/>
    <w:rsid w:val="00F80D2B"/>
    <w:rsid w:val="00F8678A"/>
    <w:rsid w:val="00F94E0E"/>
    <w:rsid w:val="14B0ECD2"/>
    <w:rsid w:val="4B0E9978"/>
    <w:rsid w:val="64C22E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578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5D3A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A3B"/>
    <w:rPr>
      <w:rFonts w:ascii="Tahoma" w:hAnsi="Tahoma" w:cs="Tahoma"/>
      <w:sz w:val="16"/>
      <w:szCs w:val="16"/>
    </w:rPr>
  </w:style>
  <w:style w:type="paragraph" w:styleId="Caption">
    <w:name w:val="caption"/>
    <w:basedOn w:val="Normal"/>
    <w:next w:val="Normal"/>
    <w:uiPriority w:val="35"/>
    <w:unhideWhenUsed/>
    <w:qFormat/>
    <w:rsid w:val="005D3A3B"/>
    <w:pPr>
      <w:spacing w:after="200" w:line="240" w:lineRule="auto"/>
    </w:pPr>
    <w:rPr>
      <w:b/>
      <w:bCs/>
      <w:color w:val="5B9BD5" w:themeColor="accent1"/>
      <w:sz w:val="18"/>
      <w:szCs w:val="18"/>
    </w:rPr>
  </w:style>
  <w:style w:type="paragraph" w:styleId="HTMLPreformatted">
    <w:name w:val="HTML Preformatted"/>
    <w:basedOn w:val="Normal"/>
    <w:link w:val="HTMLPreformattedChar"/>
    <w:uiPriority w:val="99"/>
    <w:semiHidden/>
    <w:unhideWhenUsed/>
    <w:rsid w:val="00885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855E2"/>
    <w:rPr>
      <w:rFonts w:ascii="Courier New" w:eastAsia="Times New Roman" w:hAnsi="Courier New" w:cs="Courier New"/>
      <w:sz w:val="20"/>
      <w:szCs w:val="20"/>
      <w:lang w:eastAsia="en-GB"/>
    </w:rPr>
  </w:style>
  <w:style w:type="character" w:customStyle="1" w:styleId="gnkrckgcgsb">
    <w:name w:val="gnkrckgcgsb"/>
    <w:basedOn w:val="DefaultParagraphFont"/>
    <w:rsid w:val="008855E2"/>
  </w:style>
  <w:style w:type="table" w:styleId="TableGrid">
    <w:name w:val="Table Grid"/>
    <w:basedOn w:val="TableNormal"/>
    <w:uiPriority w:val="39"/>
    <w:rsid w:val="00A82C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5290F"/>
    <w:rPr>
      <w:color w:val="954F72" w:themeColor="followedHyperlink"/>
      <w:u w:val="single"/>
    </w:rPr>
  </w:style>
  <w:style w:type="paragraph" w:styleId="Header">
    <w:name w:val="header"/>
    <w:basedOn w:val="Normal"/>
    <w:link w:val="HeaderChar"/>
    <w:uiPriority w:val="99"/>
    <w:unhideWhenUsed/>
    <w:rsid w:val="00445B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5BC0"/>
  </w:style>
  <w:style w:type="paragraph" w:styleId="Footer">
    <w:name w:val="footer"/>
    <w:basedOn w:val="Normal"/>
    <w:link w:val="FooterChar"/>
    <w:uiPriority w:val="99"/>
    <w:unhideWhenUsed/>
    <w:rsid w:val="00445B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5B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5D3A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A3B"/>
    <w:rPr>
      <w:rFonts w:ascii="Tahoma" w:hAnsi="Tahoma" w:cs="Tahoma"/>
      <w:sz w:val="16"/>
      <w:szCs w:val="16"/>
    </w:rPr>
  </w:style>
  <w:style w:type="paragraph" w:styleId="Caption">
    <w:name w:val="caption"/>
    <w:basedOn w:val="Normal"/>
    <w:next w:val="Normal"/>
    <w:uiPriority w:val="35"/>
    <w:unhideWhenUsed/>
    <w:qFormat/>
    <w:rsid w:val="005D3A3B"/>
    <w:pPr>
      <w:spacing w:after="200" w:line="240" w:lineRule="auto"/>
    </w:pPr>
    <w:rPr>
      <w:b/>
      <w:bCs/>
      <w:color w:val="5B9BD5" w:themeColor="accent1"/>
      <w:sz w:val="18"/>
      <w:szCs w:val="18"/>
    </w:rPr>
  </w:style>
  <w:style w:type="paragraph" w:styleId="HTMLPreformatted">
    <w:name w:val="HTML Preformatted"/>
    <w:basedOn w:val="Normal"/>
    <w:link w:val="HTMLPreformattedChar"/>
    <w:uiPriority w:val="99"/>
    <w:semiHidden/>
    <w:unhideWhenUsed/>
    <w:rsid w:val="00885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855E2"/>
    <w:rPr>
      <w:rFonts w:ascii="Courier New" w:eastAsia="Times New Roman" w:hAnsi="Courier New" w:cs="Courier New"/>
      <w:sz w:val="20"/>
      <w:szCs w:val="20"/>
      <w:lang w:eastAsia="en-GB"/>
    </w:rPr>
  </w:style>
  <w:style w:type="character" w:customStyle="1" w:styleId="gnkrckgcgsb">
    <w:name w:val="gnkrckgcgsb"/>
    <w:basedOn w:val="DefaultParagraphFont"/>
    <w:rsid w:val="008855E2"/>
  </w:style>
  <w:style w:type="table" w:styleId="TableGrid">
    <w:name w:val="Table Grid"/>
    <w:basedOn w:val="TableNormal"/>
    <w:uiPriority w:val="39"/>
    <w:rsid w:val="00A82C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5290F"/>
    <w:rPr>
      <w:color w:val="954F72" w:themeColor="followedHyperlink"/>
      <w:u w:val="single"/>
    </w:rPr>
  </w:style>
  <w:style w:type="paragraph" w:styleId="Header">
    <w:name w:val="header"/>
    <w:basedOn w:val="Normal"/>
    <w:link w:val="HeaderChar"/>
    <w:uiPriority w:val="99"/>
    <w:unhideWhenUsed/>
    <w:rsid w:val="00445B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5BC0"/>
  </w:style>
  <w:style w:type="paragraph" w:styleId="Footer">
    <w:name w:val="footer"/>
    <w:basedOn w:val="Normal"/>
    <w:link w:val="FooterChar"/>
    <w:uiPriority w:val="99"/>
    <w:unhideWhenUsed/>
    <w:rsid w:val="00445B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5B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28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584e44b069314d70" Type="http://schemas.microsoft.com/office/2011/relationships/people" Target="peop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329D4DF8-1745-4D04-8CFF-2AC6331D4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6</Pages>
  <Words>1436</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Louise Turner</dc:creator>
  <cp:keywords/>
  <dc:description/>
  <cp:lastModifiedBy>Rachael</cp:lastModifiedBy>
  <cp:revision>22</cp:revision>
  <dcterms:created xsi:type="dcterms:W3CDTF">2017-11-19T14:21:00Z</dcterms:created>
  <dcterms:modified xsi:type="dcterms:W3CDTF">2017-11-29T16:21:00Z</dcterms:modified>
</cp:coreProperties>
</file>