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Teacher Answer Key &amp; Marking Guide</w:t>
      </w:r>
    </w:p>
    <w:p>
      <w:pPr>
        <w:spacing w:after="160"/>
      </w:pPr>
      <w:r>
        <w:rPr>
          <w:color w:val="5F5E5A"/>
          <w:sz w:val="22"/>
          <w:szCs w:val="22"/>
        </w:rPr>
        <w:t xml:space="preserve">Weak Passwords &amp; Brute-Force Attacks  •  Digital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9E6" w:sz="4"/>
              <w:left w:val="single" w:color="D6D9E6" w:sz="4"/>
              <w:bottom w:val="single" w:color="D6D9E6" w:sz="4"/>
              <w:right w:val="single" w:color="D6D9E6" w:sz="4"/>
            </w:tcBorders>
            <w:shd w:fill="EEF0F6" w:val="clear"/>
            <w:tcMar>
              <w:top w:type="dxa" w:w="120"/>
              <w:left w:type="dxa" w:w="180"/>
              <w:bottom w:type="dxa" w:w="120"/>
              <w:right w:type="dxa" w:w="180"/>
            </w:tcMar>
          </w:tcPr>
          <w:p>
            <w:pPr>
              <w:spacing w:after="60"/>
            </w:pPr>
            <w:r>
              <w:rPr>
                <w:b/>
                <w:bCs/>
                <w:color w:val="191970"/>
              </w:rPr>
              <w:t xml:space="preserve">Before the lesson</w:t>
            </w:r>
          </w:p>
          <w:p>
            <w:pPr>
              <w:pStyle w:val="ListParagraph"/>
              <w:numPr>
                <w:ilvl w:val="0"/>
                <w:numId w:val="2"/>
              </w:numPr>
              <w:spacing w:after="80" w:line="276"/>
            </w:pPr>
            <w:r>
              <w:t xml:space="preserve">Set bob’s password in </w:t>
            </w:r>
            <w:r>
              <w:rPr>
                <w:rFonts w:ascii="Consolas" w:cs="Consolas" w:eastAsia="Consolas" w:hAnsi="Consolas"/>
                <w:color w:val="1F3864"/>
                <w:sz w:val="20"/>
                <w:szCs w:val="20"/>
              </w:rPr>
              <w:t xml:space="preserve">TargetWebsite/Program.cs</w:t>
            </w:r>
            <w:r>
              <w:t xml:space="preserve"> to the number you want cracked (ships as </w:t>
            </w:r>
            <w:r>
              <w:rPr>
                <w:rFonts w:ascii="Consolas" w:cs="Consolas" w:eastAsia="Consolas" w:hAnsi="Consolas"/>
                <w:color w:val="1F3864"/>
                <w:sz w:val="20"/>
                <w:szCs w:val="20"/>
              </w:rPr>
              <w:t xml:space="preserve">42</w:t>
            </w:r>
            <w:r>
              <w:t xml:space="preserve">). This is the expected answer.</w:t>
            </w:r>
          </w:p>
          <w:p>
            <w:pPr>
              <w:pStyle w:val="ListParagraph"/>
              <w:numPr>
                <w:ilvl w:val="0"/>
                <w:numId w:val="2"/>
              </w:numPr>
              <w:spacing w:after="80" w:line="276"/>
            </w:pPr>
            <w:r>
              <w:t xml:space="preserve">Test the full clone → open → run path on one student laptop image first, especially the .NET version (projects target </w:t>
            </w:r>
            <w:r>
              <w:rPr>
                <w:rFonts w:ascii="Consolas" w:cs="Consolas" w:eastAsia="Consolas" w:hAnsi="Consolas"/>
                <w:color w:val="1F3864"/>
                <w:sz w:val="20"/>
                <w:szCs w:val="20"/>
              </w:rPr>
              <w:t xml:space="preserve">net8.0</w:t>
            </w:r>
            <w:r>
              <w:t xml:space="preserve">).</w:t>
            </w:r>
          </w:p>
          <w:p>
            <w:pPr>
              <w:pStyle w:val="ListParagraph"/>
              <w:numPr>
                <w:ilvl w:val="0"/>
                <w:numId w:val="2"/>
              </w:numPr>
              <w:spacing w:after="80" w:line="276"/>
            </w:pPr>
            <w:r>
              <w:t xml:space="preserve">Because each student runs both halves on localhost, nothing crosses the network — the teacher/student VLAN split doesn’t matter.</w:t>
            </w:r>
          </w:p>
        </w:tc>
      </w:tr>
    </w:tbl>
    <w:p>
      <w:pPr>
        <w:pStyle w:val="Heading1"/>
      </w:pPr>
      <w:r>
        <w:t xml:space="preserve">Part 1 — Watch and think</w:t>
      </w:r>
    </w:p>
    <w:p>
      <w:pPr>
        <w:spacing w:after="120" w:line="276"/>
      </w:pPr>
      <w:r>
        <w:rPr>
          <w:b/>
          <w:bCs/>
          <w:color w:val="191970"/>
        </w:rPr>
        <w:t xml:space="preserve">Q2 (model answer).  </w:t>
      </w:r>
      <w:r>
        <w:t xml:space="preserve">A password is easy for a computer to guess when the number of possibilities is small or predictable: it is short, uses only one kind of character (e.g. just digits), is a common word or a known leaked password, or is based on personal information. Computers can test millions of guesses per second, so any small or predictable set of possibilities is exhausted almost instantly. Accept answers that capture “few possibilities” and/or “predictable”.</w:t>
      </w:r>
    </w:p>
    <w:p>
      <w:pPr>
        <w:pStyle w:val="Heading1"/>
      </w:pPr>
      <w:r>
        <w:t xml:space="preserve">Part 2 — Set up the lab</w:t>
      </w:r>
    </w:p>
    <w:p>
      <w:pPr>
        <w:spacing w:after="120" w:line="276"/>
      </w:pPr>
      <w:r>
        <w:rPr>
          <w:b/>
          <w:bCs/>
          <w:color w:val="191970"/>
        </w:rPr>
        <w:t xml:space="preserve">Manual guess (model answer).  </w:t>
      </w:r>
      <w:r>
        <w:t xml:space="preserve">Students should not be able to log in by hand. bob’s password is one of 99 numbers, so guessing it manually in a few tries is unlikely. The teaching point: what is tedious and slow for a human is trivial for a program — a computer can try all 99 in a fraction of a second.</w:t>
      </w:r>
    </w:p>
    <w:p>
      <w:pPr>
        <w:pStyle w:val="Heading1"/>
      </w:pPr>
      <w:r>
        <w:t xml:space="preserve">Part 3 — The cracking task</w:t>
      </w:r>
    </w:p>
    <w:p>
      <w:pPr>
        <w:spacing w:after="120" w:line="276"/>
      </w:pPr>
      <w:r>
        <w:rPr>
          <w:b/>
          <w:bCs/>
        </w:rPr>
        <w:t xml:space="preserve">Expected result: </w:t>
      </w:r>
      <w:r>
        <w:t xml:space="preserve">the program discovers and prints bob’s number (the value you set in the target) and stops.</w:t>
      </w:r>
    </w:p>
    <w:p>
      <w:pPr>
        <w:pStyle w:val="Heading2"/>
      </w:pPr>
      <w:r>
        <w:t xml:space="preserve">How to mark it</w:t>
      </w:r>
    </w:p>
    <w:p>
      <w:pPr>
        <w:spacing w:after="120" w:line="276"/>
      </w:pPr>
      <w:r>
        <w:t xml:space="preserve">Rather than a single “correct” listing, judge each student’s program against the behaviour below — there are several valid ways to write it. A correct solution sends each candidate password to the login endpoint, recognises the response that signals success, loops through the whole range automatically, and stops when it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9CCDA" w:sz="2"/>
              <w:left w:val="single" w:color="C9CCDA" w:sz="2"/>
              <w:bottom w:val="single" w:color="C9CCDA" w:sz="2"/>
              <w:right w:val="single" w:color="C9CCDA" w:sz="2"/>
            </w:tcBorders>
            <w:shd w:fill="1F3864" w:val="clear"/>
            <w:tcMar>
              <w:top w:type="dxa" w:w="80"/>
              <w:left w:type="dxa" w:w="120"/>
              <w:bottom w:type="dxa" w:w="80"/>
              <w:right w:type="dxa" w:w="120"/>
            </w:tcMar>
          </w:tcPr>
          <w:p>
            <w:r>
              <w:rPr>
                <w:b/>
                <w:bCs/>
                <w:color w:val="FFFFFF"/>
              </w:rPr>
              <w:t xml:space="preserve">What a correct solution shows</w:t>
            </w:r>
          </w:p>
        </w:tc>
        <w:tc>
          <w:tcPr>
            <w:tcW w:type="dxa" w:w="1800"/>
            <w:tcBorders>
              <w:top w:val="single" w:color="C9CCDA" w:sz="2"/>
              <w:left w:val="single" w:color="C9CCDA" w:sz="2"/>
              <w:bottom w:val="single" w:color="C9CCDA" w:sz="2"/>
              <w:right w:val="single" w:color="C9CCDA" w:sz="2"/>
            </w:tcBorders>
            <w:shd w:fill="1F3864" w:val="clear"/>
            <w:tcMar>
              <w:top w:type="dxa" w:w="80"/>
              <w:left w:type="dxa" w:w="120"/>
              <w:bottom w:type="dxa" w:w="80"/>
              <w:right w:type="dxa" w:w="120"/>
            </w:tcMar>
          </w:tcPr>
          <w:p>
            <w:pPr>
              <w:jc w:val="center"/>
            </w:pPr>
            <w:r>
              <w:rPr>
                <w:b/>
                <w:bCs/>
                <w:color w:val="FFFFFF"/>
              </w:rPr>
              <w:t xml:space="preserve">Marks</w:t>
            </w:r>
          </w:p>
        </w:tc>
      </w:tr>
      <w:tr>
        <w:tc>
          <w:tcPr>
            <w:tcW w:type="dxa" w:w="7560"/>
            <w:tcBorders>
              <w:top w:val="single" w:color="C9CCDA" w:sz="2"/>
              <w:left w:val="single" w:color="C9CCDA" w:sz="2"/>
              <w:bottom w:val="single" w:color="C9CCDA" w:sz="2"/>
              <w:right w:val="single" w:color="C9CCDA" w:sz="2"/>
            </w:tcBorders>
            <w:shd w:fill="FFFFFF" w:val="clear"/>
            <w:tcMar>
              <w:top w:type="dxa" w:w="80"/>
              <w:left w:type="dxa" w:w="120"/>
              <w:bottom w:type="dxa" w:w="80"/>
              <w:right w:type="dxa" w:w="120"/>
            </w:tcMar>
          </w:tcPr>
          <w:p>
            <w:r>
              <w:rPr>
                <w:b w:val="false"/>
                <w:bCs w:val="false"/>
                <w:color w:val="000000"/>
              </w:rPr>
              <w:t xml:space="preserve">Sends a username (bob) and a password guess to the login endpoint using the request building block from the starter.</w:t>
            </w:r>
          </w:p>
        </w:tc>
        <w:tc>
          <w:tcPr>
            <w:tcW w:type="dxa" w:w="1800"/>
            <w:tcBorders>
              <w:top w:val="single" w:color="C9CCDA" w:sz="2"/>
              <w:left w:val="single" w:color="C9CCDA" w:sz="2"/>
              <w:bottom w:val="single" w:color="C9CCDA" w:sz="2"/>
              <w:right w:val="single" w:color="C9CCDA" w:sz="2"/>
            </w:tcBorders>
            <w:shd w:fill="FFFFFF" w:val="clear"/>
            <w:tcMar>
              <w:top w:type="dxa" w:w="80"/>
              <w:left w:type="dxa" w:w="120"/>
              <w:bottom w:type="dxa" w:w="80"/>
              <w:right w:type="dxa" w:w="120"/>
            </w:tcMar>
          </w:tcPr>
          <w:p>
            <w:pPr>
              <w:jc w:val="center"/>
            </w:pPr>
            <w:r>
              <w:rPr>
                <w:b w:val="false"/>
                <w:bCs w:val="false"/>
                <w:color w:val="000000"/>
              </w:rPr>
              <w:t xml:space="preserve">/3</w:t>
            </w:r>
          </w:p>
        </w:tc>
      </w:tr>
      <w:tr>
        <w:tc>
          <w:tcPr>
            <w:tcW w:type="dxa" w:w="7560"/>
            <w:tcBorders>
              <w:top w:val="single" w:color="C9CCDA" w:sz="2"/>
              <w:left w:val="single" w:color="C9CCDA" w:sz="2"/>
              <w:bottom w:val="single" w:color="C9CCDA" w:sz="2"/>
              <w:right w:val="single" w:color="C9CCDA" w:sz="2"/>
            </w:tcBorders>
            <w:shd w:fill="FFFFFF" w:val="clear"/>
            <w:tcMar>
              <w:top w:type="dxa" w:w="80"/>
              <w:left w:type="dxa" w:w="120"/>
              <w:bottom w:type="dxa" w:w="80"/>
              <w:right w:type="dxa" w:w="120"/>
            </w:tcMar>
          </w:tcPr>
          <w:p>
            <w:r>
              <w:rPr>
                <w:b w:val="false"/>
                <w:bCs w:val="false"/>
                <w:color w:val="000000"/>
              </w:rPr>
              <w:t xml:space="preserve">Tries every candidate (1–99 inclusive) automatically, with no hard-coded answer — i.e. it genuinely searches.</w:t>
            </w:r>
          </w:p>
        </w:tc>
        <w:tc>
          <w:tcPr>
            <w:tcW w:type="dxa" w:w="1800"/>
            <w:tcBorders>
              <w:top w:val="single" w:color="C9CCDA" w:sz="2"/>
              <w:left w:val="single" w:color="C9CCDA" w:sz="2"/>
              <w:bottom w:val="single" w:color="C9CCDA" w:sz="2"/>
              <w:right w:val="single" w:color="C9CCDA" w:sz="2"/>
            </w:tcBorders>
            <w:shd w:fill="FFFFFF" w:val="clear"/>
            <w:tcMar>
              <w:top w:type="dxa" w:w="80"/>
              <w:left w:type="dxa" w:w="120"/>
              <w:bottom w:type="dxa" w:w="80"/>
              <w:right w:type="dxa" w:w="120"/>
            </w:tcMar>
          </w:tcPr>
          <w:p>
            <w:pPr>
              <w:jc w:val="center"/>
            </w:pPr>
            <w:r>
              <w:rPr>
                <w:b w:val="false"/>
                <w:bCs w:val="false"/>
                <w:color w:val="000000"/>
              </w:rPr>
              <w:t xml:space="preserve">/3</w:t>
            </w:r>
          </w:p>
        </w:tc>
      </w:tr>
      <w:tr>
        <w:tc>
          <w:tcPr>
            <w:tcW w:type="dxa" w:w="7560"/>
            <w:tcBorders>
              <w:top w:val="single" w:color="C9CCDA" w:sz="2"/>
              <w:left w:val="single" w:color="C9CCDA" w:sz="2"/>
              <w:bottom w:val="single" w:color="C9CCDA" w:sz="2"/>
              <w:right w:val="single" w:color="C9CCDA" w:sz="2"/>
            </w:tcBorders>
            <w:shd w:fill="FFFFFF" w:val="clear"/>
            <w:tcMar>
              <w:top w:type="dxa" w:w="80"/>
              <w:left w:type="dxa" w:w="120"/>
              <w:bottom w:type="dxa" w:w="80"/>
              <w:right w:type="dxa" w:w="120"/>
            </w:tcMar>
          </w:tcPr>
          <w:p>
            <w:r>
              <w:rPr>
                <w:b w:val="false"/>
                <w:bCs w:val="false"/>
                <w:color w:val="000000"/>
              </w:rPr>
              <w:t xml:space="preserve">Correctly distinguishes a successful login from a failed one by inspecting the response (the page it is redirected to, or the page content), not by guessing.</w:t>
            </w:r>
          </w:p>
        </w:tc>
        <w:tc>
          <w:tcPr>
            <w:tcW w:type="dxa" w:w="1800"/>
            <w:tcBorders>
              <w:top w:val="single" w:color="C9CCDA" w:sz="2"/>
              <w:left w:val="single" w:color="C9CCDA" w:sz="2"/>
              <w:bottom w:val="single" w:color="C9CCDA" w:sz="2"/>
              <w:right w:val="single" w:color="C9CCDA" w:sz="2"/>
            </w:tcBorders>
            <w:shd w:fill="FFFFFF" w:val="clear"/>
            <w:tcMar>
              <w:top w:type="dxa" w:w="80"/>
              <w:left w:type="dxa" w:w="120"/>
              <w:bottom w:type="dxa" w:w="80"/>
              <w:right w:type="dxa" w:w="120"/>
            </w:tcMar>
          </w:tcPr>
          <w:p>
            <w:pPr>
              <w:jc w:val="center"/>
            </w:pPr>
            <w:r>
              <w:rPr>
                <w:b w:val="false"/>
                <w:bCs w:val="false"/>
                <w:color w:val="000000"/>
              </w:rPr>
              <w:t xml:space="preserve">/3</w:t>
            </w:r>
          </w:p>
        </w:tc>
      </w:tr>
      <w:tr>
        <w:tc>
          <w:tcPr>
            <w:tcW w:type="dxa" w:w="7560"/>
            <w:tcBorders>
              <w:top w:val="single" w:color="C9CCDA" w:sz="2"/>
              <w:left w:val="single" w:color="C9CCDA" w:sz="2"/>
              <w:bottom w:val="single" w:color="C9CCDA" w:sz="2"/>
              <w:right w:val="single" w:color="C9CCDA" w:sz="2"/>
            </w:tcBorders>
            <w:shd w:fill="FFFFFF" w:val="clear"/>
            <w:tcMar>
              <w:top w:type="dxa" w:w="80"/>
              <w:left w:type="dxa" w:w="120"/>
              <w:bottom w:type="dxa" w:w="80"/>
              <w:right w:type="dxa" w:w="120"/>
            </w:tcMar>
          </w:tcPr>
          <w:p>
            <w:r>
              <w:rPr>
                <w:b w:val="false"/>
                <w:bCs w:val="false"/>
                <w:color w:val="000000"/>
              </w:rPr>
              <w:t xml:space="preserve">Stops on success and clearly reports the cracked password to the console.</w:t>
            </w:r>
          </w:p>
        </w:tc>
        <w:tc>
          <w:tcPr>
            <w:tcW w:type="dxa" w:w="1800"/>
            <w:tcBorders>
              <w:top w:val="single" w:color="C9CCDA" w:sz="2"/>
              <w:left w:val="single" w:color="C9CCDA" w:sz="2"/>
              <w:bottom w:val="single" w:color="C9CCDA" w:sz="2"/>
              <w:right w:val="single" w:color="C9CCDA" w:sz="2"/>
            </w:tcBorders>
            <w:shd w:fill="FFFFFF" w:val="clear"/>
            <w:tcMar>
              <w:top w:type="dxa" w:w="80"/>
              <w:left w:type="dxa" w:w="120"/>
              <w:bottom w:type="dxa" w:w="80"/>
              <w:right w:type="dxa" w:w="120"/>
            </w:tcMar>
          </w:tcPr>
          <w:p>
            <w:pPr>
              <w:jc w:val="center"/>
            </w:pPr>
            <w:r>
              <w:rPr>
                <w:b w:val="false"/>
                <w:bCs w:val="false"/>
                <w:color w:val="000000"/>
              </w:rPr>
              <w:t xml:space="preserve">/2</w:t>
            </w:r>
          </w:p>
        </w:tc>
      </w:tr>
      <w:tr>
        <w:tc>
          <w:tcPr>
            <w:tcW w:type="dxa" w:w="7560"/>
            <w:tcBorders>
              <w:top w:val="single" w:color="C9CCDA" w:sz="2"/>
              <w:left w:val="single" w:color="C9CCDA" w:sz="2"/>
              <w:bottom w:val="single" w:color="C9CCDA" w:sz="2"/>
              <w:right w:val="single" w:color="C9CCDA" w:sz="2"/>
            </w:tcBorders>
            <w:shd w:fill="FFFFFF" w:val="clear"/>
            <w:tcMar>
              <w:top w:type="dxa" w:w="80"/>
              <w:left w:type="dxa" w:w="120"/>
              <w:bottom w:type="dxa" w:w="80"/>
              <w:right w:type="dxa" w:w="120"/>
            </w:tcMar>
          </w:tcPr>
          <w:p>
            <w:r>
              <w:rPr>
                <w:b w:val="false"/>
                <w:bCs w:val="false"/>
                <w:color w:val="000000"/>
              </w:rPr>
              <w:t xml:space="preserve">Code is readable: sensible names, no leftover debug noise, runs without errors.</w:t>
            </w:r>
          </w:p>
        </w:tc>
        <w:tc>
          <w:tcPr>
            <w:tcW w:type="dxa" w:w="1800"/>
            <w:tcBorders>
              <w:top w:val="single" w:color="C9CCDA" w:sz="2"/>
              <w:left w:val="single" w:color="C9CCDA" w:sz="2"/>
              <w:bottom w:val="single" w:color="C9CCDA" w:sz="2"/>
              <w:right w:val="single" w:color="C9CCDA" w:sz="2"/>
            </w:tcBorders>
            <w:shd w:fill="FFFFFF" w:val="clear"/>
            <w:tcMar>
              <w:top w:type="dxa" w:w="80"/>
              <w:left w:type="dxa" w:w="120"/>
              <w:bottom w:type="dxa" w:w="80"/>
              <w:right w:type="dxa" w:w="120"/>
            </w:tcMar>
          </w:tcPr>
          <w:p>
            <w:pPr>
              <w:jc w:val="center"/>
            </w:pPr>
            <w:r>
              <w:rPr>
                <w:b w:val="false"/>
                <w:bCs w:val="false"/>
                <w:color w:val="000000"/>
              </w:rPr>
              <w:t xml:space="preserve">/2</w:t>
            </w:r>
          </w:p>
        </w:tc>
      </w:tr>
    </w:tbl>
    <w:p>
      <w:pPr>
        <w:spacing w:after="60"/>
      </w:pPr>
    </w:p>
    <w:p>
      <w:pPr>
        <w:pStyle w:val="Heading2"/>
      </w:pPr>
      <w:r>
        <w:t xml:space="preserve">Common student mistakes to watch for</w:t>
      </w:r>
    </w:p>
    <w:p>
      <w:pPr>
        <w:pStyle w:val="ListParagraph"/>
        <w:numPr>
          <w:ilvl w:val="0"/>
          <w:numId w:val="2"/>
        </w:numPr>
        <w:spacing w:after="80" w:line="276"/>
      </w:pPr>
      <w:r>
        <w:t xml:space="preserve">Hard-coding the known number instead of searching for it — the program must </w:t>
      </w:r>
      <w:r>
        <w:rPr>
          <w:i/>
          <w:iCs/>
        </w:rPr>
        <w:t xml:space="preserve">find</w:t>
      </w:r>
      <w:r>
        <w:t xml:space="preserve"> it. Mark down heavily.</w:t>
      </w:r>
    </w:p>
    <w:p>
      <w:pPr>
        <w:pStyle w:val="ListParagraph"/>
        <w:numPr>
          <w:ilvl w:val="0"/>
          <w:numId w:val="2"/>
        </w:numPr>
        <w:spacing w:after="80" w:line="276"/>
      </w:pPr>
      <w:r>
        <w:t xml:space="preserve">Treating every response as a success (never actually checking), so it “finds” the password on the first try.</w:t>
      </w:r>
    </w:p>
    <w:p>
      <w:pPr>
        <w:pStyle w:val="ListParagraph"/>
        <w:numPr>
          <w:ilvl w:val="0"/>
          <w:numId w:val="2"/>
        </w:numPr>
        <w:spacing w:after="80" w:line="276"/>
      </w:pPr>
      <w:r>
        <w:t xml:space="preserve">Off-by-one range errors — the range is </w:t>
      </w:r>
      <w:r>
        <w:rPr>
          <w:b/>
          <w:bCs/>
        </w:rPr>
        <w:t xml:space="preserve">1 to 99 inclusive</w:t>
      </w:r>
      <w:r>
        <w:t xml:space="preserve">.</w:t>
      </w:r>
    </w:p>
    <w:p>
      <w:pPr>
        <w:pStyle w:val="ListParagraph"/>
        <w:numPr>
          <w:ilvl w:val="0"/>
          <w:numId w:val="2"/>
        </w:numPr>
        <w:spacing w:after="80" w:line="276"/>
      </w:pPr>
      <w:r>
        <w:t xml:space="preserve">Not stopping after success (keeps looping). A </w:t>
      </w:r>
      <w:r>
        <w:rPr>
          <w:rFonts w:ascii="Consolas" w:cs="Consolas" w:eastAsia="Consolas" w:hAnsi="Consolas"/>
          <w:color w:val="1F3864"/>
          <w:sz w:val="20"/>
          <w:szCs w:val="20"/>
        </w:rPr>
        <w:t xml:space="preserve">break</w:t>
      </w:r>
      <w:r>
        <w:t xml:space="preserve"> or early return is expected.</w:t>
      </w:r>
    </w:p>
    <w:p>
      <w:pPr>
        <w:pStyle w:val="ListParagraph"/>
        <w:numPr>
          <w:ilvl w:val="0"/>
          <w:numId w:val="2"/>
        </w:numPr>
        <w:spacing w:after="80" w:line="276"/>
      </w:pPr>
      <w:r>
        <w:t xml:space="preserve">Confusion over redirects: by default the HTTP client follows redirects, so checking the </w:t>
      </w:r>
      <w:r>
        <w:rPr>
          <w:i/>
          <w:iCs/>
        </w:rPr>
        <w:t xml:space="preserve">final</w:t>
      </w:r>
      <w:r>
        <w:t xml:space="preserve"> page works. If a student turns auto-redirect off, they should instead read the redirect target. Both are acceptable.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9E6" w:sz="4"/>
              <w:left w:val="single" w:color="D6D9E6" w:sz="4"/>
              <w:bottom w:val="single" w:color="D6D9E6" w:sz="4"/>
              <w:right w:val="single" w:color="D6D9E6" w:sz="4"/>
            </w:tcBorders>
            <w:shd w:fill="F1EFE8" w:val="clear"/>
            <w:tcMar>
              <w:top w:type="dxa" w:w="120"/>
              <w:left w:type="dxa" w:w="180"/>
              <w:bottom w:type="dxa" w:w="120"/>
              <w:right w:type="dxa" w:w="180"/>
            </w:tcMar>
          </w:tcPr>
          <w:p>
            <w:pPr>
              <w:spacing w:after="60"/>
            </w:pPr>
            <w:r>
              <w:rPr>
                <w:b/>
                <w:bCs/>
                <w:color w:val="191970"/>
              </w:rPr>
              <w:t xml:space="preserve">Note on a model code solution</w:t>
            </w:r>
          </w:p>
          <w:p>
            <w:pPr>
              <w:spacing w:after="120" w:line="276"/>
            </w:pPr>
            <w:r>
              <w:rPr>
                <w:sz w:val="21"/>
                <w:szCs w:val="21"/>
              </w:rPr>
              <w:t xml:space="preserve">This guide intentionally defines a correct answer by its behaviour and the rubric above rather than shipping a ready-to-run attack program. Any student solution that meets the criteria is correct, however they structured it. If you want a reference implementation to mark against, the simplest approach is to write a short one yourself from the criteria, or accept the first complete, correct student submission as the exemplar.</w:t>
            </w:r>
          </w:p>
        </w:tc>
      </w:tr>
    </w:tbl>
    <w:p>
      <w:pPr>
        <w:pStyle w:val="Heading2"/>
      </w:pPr>
      <w:r>
        <w:t xml:space="preserve">Extension answers</w:t>
      </w:r>
    </w:p>
    <w:p>
      <w:pPr>
        <w:spacing w:after="120" w:line="276"/>
      </w:pPr>
      <w:r>
        <w:rPr>
          <w:b/>
          <w:bCs/>
          <w:color w:val="191970"/>
        </w:rPr>
        <w:t xml:space="preserve">E1 (timing).  </w:t>
      </w:r>
      <w:r>
        <w:t xml:space="preserve">On localhost the whole 1–99 sweep finishes in well under a second; guesses-per-second will be high. The point: there is no cost to the attacker for guessing a lot.</w:t>
      </w:r>
    </w:p>
    <w:p>
      <w:pPr>
        <w:spacing w:after="120" w:line="276"/>
      </w:pPr>
      <w:r>
        <w:rPr>
          <w:b/>
          <w:bCs/>
          <w:color w:val="191970"/>
        </w:rPr>
        <w:t xml:space="preserve">E2 (1–9999).  </w:t>
      </w:r>
      <w:r>
        <w:t xml:space="preserve">About 100× more guesses. Still fast locally, but it makes the key idea concrete: every extra digit (or character type) multiplies the number of possibilities, so length and unpredictability are what make a password expensive to crack.</w:t>
      </w:r>
    </w:p>
    <w:p>
      <w:pPr>
        <w:spacing w:after="120" w:line="276"/>
      </w:pPr>
      <w:r>
        <w:rPr>
          <w:b/>
          <w:bCs/>
          <w:color w:val="191970"/>
        </w:rPr>
        <w:t xml:space="preserve">E3 (admin.html).  </w:t>
      </w:r>
      <w:r>
        <w:t xml:space="preserve">The page loads </w:t>
      </w:r>
      <w:r>
        <w:rPr>
          <w:i/>
          <w:iCs/>
        </w:rPr>
        <w:t xml:space="preserve">without</w:t>
      </w:r>
      <w:r>
        <w:t xml:space="preserve"> logging in — a separate flaw called broken access control. A real application must check that the user is actually logged in on </w:t>
      </w:r>
      <w:r>
        <w:rPr>
          <w:i/>
          <w:iCs/>
        </w:rPr>
        <w:t xml:space="preserve">every</w:t>
      </w:r>
      <w:r>
        <w:t xml:space="preserve"> protected page, not just redirect there after a successful login. Our target deliberately omits that check so the class can spot it.</w:t>
      </w:r>
    </w:p>
    <w:p>
      <w:pPr>
        <w:pStyle w:val="Heading1"/>
      </w:pPr>
      <w:r>
        <w:t xml:space="preserve">Part 5 — Reflect</w:t>
      </w:r>
    </w:p>
    <w:p>
      <w:pPr>
        <w:spacing w:after="120" w:line="276"/>
      </w:pPr>
      <w:r>
        <w:rPr>
          <w:b/>
          <w:bCs/>
          <w:color w:val="191970"/>
        </w:rPr>
        <w:t xml:space="preserve">Q1 (defences — any two).  </w:t>
      </w:r>
      <w:r>
        <w:t xml:space="preserve">Rate limiting (cap how many attempts are allowed per second / per account / per IP); account lockout or an increasing delay after a number of failed attempts; CAPTCHA to block automated tools; multi-factor authentication so a password alone isn’t enough; monitoring and alerting on bursts of failed logins. Also acceptable: enforcing longer/stronger passwords, and storing passwords hashed + salted so a leak is less damaging.</w:t>
      </w:r>
    </w:p>
    <w:p>
      <w:pPr>
        <w:spacing w:after="120" w:line="276"/>
      </w:pPr>
      <w:r>
        <w:rPr>
          <w:b/>
          <w:bCs/>
          <w:color w:val="191970"/>
        </w:rPr>
        <w:t xml:space="preserve">Q2 (GET leakage).  </w:t>
      </w:r>
      <w:r>
        <w:t xml:space="preserve">A password placed in the URL can be recorded in the web server’s access logs, the browser’s history and autocomplete, bookmarks, the Referer header sent to other sites, and any proxy or caching server in between — plus it is visible on screen. POST keeps credentials out of the URL (and real sites should always use HTTPS as well).</w:t>
      </w:r>
    </w:p>
    <w:p>
      <w:pPr>
        <w:spacing w:after="120" w:line="276"/>
      </w:pPr>
      <w:r>
        <w:rPr>
          <w:b/>
          <w:bCs/>
          <w:color w:val="191970"/>
        </w:rPr>
        <w:t xml:space="preserve">Q3 (strong-password rule).  </w:t>
      </w:r>
      <w:r>
        <w:t xml:space="preserve">Accept any sensible rule, e.g. “Use a long, unpredictable passphrase of several unrelated words (or 12+ mixed characters) and don’t reuse it across sites.”</w:t>
      </w:r>
    </w:p>
    <w:p>
      <w:pPr>
        <w:pStyle w:val="Heading1"/>
      </w:pPr>
      <w:r>
        <w:t xml:space="preserve">Teaching notes</w:t>
      </w:r>
    </w:p>
    <w:p>
      <w:pPr>
        <w:pStyle w:val="ListParagraph"/>
        <w:numPr>
          <w:ilvl w:val="0"/>
          <w:numId w:val="2"/>
        </w:numPr>
        <w:spacing w:after="80" w:line="276"/>
      </w:pPr>
      <w:r>
        <w:t xml:space="preserve">Suggested time: one lesson. Prerequisites: basic C# (variables, loops) and a first look at making a web request.</w:t>
      </w:r>
    </w:p>
    <w:p>
      <w:pPr>
        <w:pStyle w:val="ListParagraph"/>
        <w:numPr>
          <w:ilvl w:val="0"/>
          <w:numId w:val="2"/>
        </w:numPr>
        <w:spacing w:after="80" w:line="276"/>
      </w:pPr>
      <w:r>
        <w:t xml:space="preserve">Lead the debrief from the reflection questions to the defences — the attack succeeded only because guessing was unlimited and free. Tie each defence to the thing it removes (speed, attempts, single-factor).</w:t>
      </w:r>
    </w:p>
    <w:p>
      <w:pPr>
        <w:pStyle w:val="ListParagraph"/>
        <w:numPr>
          <w:ilvl w:val="0"/>
          <w:numId w:val="2"/>
        </w:numPr>
        <w:spacing w:after="80" w:line="276"/>
      </w:pPr>
      <w:r>
        <w:t xml:space="preserve">Optional demo: temporarily add a small delay to the target’s /validate response and re-run a student’s program to show how even a tiny per-attempt delay defeats brute force.</w:t>
      </w:r>
    </w:p>
    <w:p>
      <w:pPr>
        <w:pStyle w:val="ListParagraph"/>
        <w:numPr>
          <w:ilvl w:val="0"/>
          <w:numId w:val="2"/>
        </w:numPr>
        <w:spacing w:after="80" w:line="276"/>
      </w:pPr>
      <w:r>
        <w:t xml:space="preserve">Reinforce the ethics line: this is only legal on the practice site they run themselves; never against any other site or account.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191970"/>
      <w:sz w:val="40"/>
      <w:szCs w:val="40"/>
    </w:rPr>
  </w:style>
  <w:style w:type="paragraph" w:styleId="Heading1">
    <w:name w:val="Heading 1"/>
    <w:basedOn w:val="Normal"/>
    <w:next w:val="Normal"/>
    <w:qFormat/>
    <w:pPr>
      <w:pBdr>
        <w:bottom w:val="single" w:color="191970" w:sz="6" w:space="2"/>
      </w:pBdr>
      <w:spacing w:after="140" w:before="280"/>
      <w:outlineLvl w:val="0"/>
    </w:pPr>
    <w:rPr>
      <w:rFonts w:ascii="Arial" w:cs="Arial" w:eastAsia="Arial" w:hAnsi="Arial"/>
      <w:b/>
      <w:bCs/>
      <w:color w:val="191970"/>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2026-06-23T05:43:58.680Z</dcterms:created>
  <dcterms:modified xsi:type="dcterms:W3CDTF">2026-06-23T05:43:58.680Z</dcterms:modified>
</cp:coreProperties>
</file>

<file path=docProps/custom.xml><?xml version="1.0" encoding="utf-8"?>
<Properties xmlns="http://schemas.openxmlformats.org/officeDocument/2006/custom-properties" xmlns:vt="http://schemas.openxmlformats.org/officeDocument/2006/docPropsVTypes"/>
</file>