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高管薪酬与股权激励细则</w:t>
      </w:r>
    </w:p>
    <w:p>
      <w:r>
        <w:t>制度编号：HR-COMP-2026-03</w:t>
      </w:r>
    </w:p>
    <w:p>
      <w:r>
        <w:t>发布部门：人力资源部</w:t>
      </w:r>
    </w:p>
    <w:p>
      <w:r>
        <w:t>审批机构：董事会薪酬与考核委员会</w:t>
      </w:r>
    </w:p>
    <w:p>
      <w:r>
        <w:t>生效日期：2026-07-01</w:t>
      </w:r>
    </w:p>
    <w:p>
      <w:r>
        <w:t>密级：机密（仅人力资源部与管理层角色可查阅）</w:t>
      </w:r>
    </w:p>
    <w:p>
      <w:pPr>
        <w:pStyle w:val="Heading1"/>
      </w:pPr>
      <w:r>
        <w:t>一、适用范围与密级</w:t>
      </w:r>
    </w:p>
    <w:p>
      <w:r>
        <w:t>本细则适用于公司总监及以上管理人员、经认定的核心技术人员，以及由董事会批准的特别激励对象。</w:t>
      </w:r>
    </w:p>
    <w:p>
      <w:r>
        <w:t>本细则属公司机密文件，仅人力资源部员工与具备管理层角色的授权人员可查阅。严禁以转发、截图、复制等方式对外披露，违反者按公司信息安全制度追责。</w:t>
      </w:r>
    </w:p>
    <w:p>
      <w:pPr>
        <w:pStyle w:val="Heading1"/>
      </w:pPr>
      <w:r>
        <w:t>二、薪酬结构</w:t>
      </w:r>
    </w:p>
    <w:p>
      <w:r>
        <w:t>高管年度现金收入由基本工资与年度绩效奖金构成，长期激励单独授予：</w:t>
      </w:r>
    </w:p>
    <w:p>
      <w:r>
        <w:t>1. 基本工资：占年度现金收入的 60%，按月平均发放。</w:t>
      </w:r>
    </w:p>
    <w:p>
      <w:r>
        <w:t>2. 年度绩效奖金：占年度现金收入的 40%，与年度绩效系数挂钩。</w:t>
      </w:r>
    </w:p>
    <w:p>
      <w:r>
        <w:t>3. 长期激励：股票期权或限制性股票，按董事会决议分批次授予。</w:t>
      </w:r>
    </w:p>
    <w:p>
      <w:pPr>
        <w:pStyle w:val="Heading1"/>
      </w:pPr>
      <w:r>
        <w:t>三、年度绩效奖金</w:t>
      </w:r>
    </w:p>
    <w:p>
      <w:r>
        <w:t>绩效系数区间为 0.6 至 1.5，由年度经营目标达成率、分管业务指标与价值观评估三部分加权计算，权重分别为 50%、35%、15%。</w:t>
      </w:r>
    </w:p>
    <w:p>
      <w:r>
        <w:t>绩效系数低于 0.8 的，当年度不参与长期激励授予。</w:t>
      </w:r>
    </w:p>
    <w:p>
      <w:r>
        <w:t>年度绩效奖金于次年 3 月随工资发放，奖金发放前离职的员工不参与当年度奖金分配，已按公司规定完成完整考核周期的除外。</w:t>
      </w:r>
    </w:p>
    <w:p>
      <w:pPr>
        <w:pStyle w:val="Heading1"/>
      </w:pPr>
      <w:r>
        <w:t>四、股权激励授予条件</w:t>
      </w:r>
    </w:p>
    <w:p>
      <w:r>
        <w:t>同时满足以下条件方可进入授予名单：</w:t>
      </w:r>
    </w:p>
    <w:p>
      <w:r>
        <w:t>1. 在本公司连续任职满 12 个月。</w:t>
      </w:r>
    </w:p>
    <w:p>
      <w:r>
        <w:t>2. 最近两个年度绩效考核结果均为 B+ 及以上。</w:t>
      </w:r>
    </w:p>
    <w:p>
      <w:r>
        <w:t>3. 任职期间未发生重大合规事件、信息安全事件或重大经营失误。</w:t>
      </w:r>
    </w:p>
    <w:p>
      <w:r>
        <w:t>4. 未处于离职流程或竞业限制期内。</w:t>
      </w:r>
    </w:p>
    <w:p>
      <w:r>
        <w:t>首次授予数量不超过其年度基本工资对应市值的 50%，后续授予按贡献与岗位调整确定。</w:t>
      </w:r>
    </w:p>
    <w:p>
      <w:pPr>
        <w:pStyle w:val="Heading1"/>
      </w:pPr>
      <w:r>
        <w:t>五、归属与行权安排</w:t>
      </w:r>
    </w:p>
    <w:p>
      <w:r>
        <w:t>1. 授予后分 4 年等额归属，每年归属 25%，归属起点为授予协议签署日。</w:t>
      </w:r>
    </w:p>
    <w:p>
      <w:r>
        <w:t>2. 行权价格按授予日董事会决议确定，不低于授予日公允价格。</w:t>
      </w:r>
    </w:p>
    <w:p>
      <w:r>
        <w:t>3. 已归属部分可在窗口期内行权，窗口期为每年年报披露后 30 个交易日内。</w:t>
      </w:r>
    </w:p>
    <w:p>
      <w:r>
        <w:t>4. 主动离职的，已归属未行权部分需在离职后 90 天内行权，逾期失效。</w:t>
      </w:r>
    </w:p>
    <w:p>
      <w:r>
        <w:t>5. 因过失被解除劳动合同的，未归属部分自动失效，已归属部分由公司按原价回购。</w:t>
      </w:r>
    </w:p>
    <w:p>
      <w:r>
        <w:t>6. 退休、丧失劳动能力的，未归属部分可按比例加速归属，具体比例由薪酬委员会核定。</w:t>
      </w:r>
    </w:p>
    <w:p>
      <w:pPr>
        <w:pStyle w:val="Heading1"/>
      </w:pPr>
      <w:r>
        <w:t>六、保密与竞业限制</w:t>
      </w:r>
    </w:p>
    <w:p>
      <w:r>
        <w:t>激励对象需签署《保密及竞业限制协议》，竞业限制期限为离职后 24 个月，公司按月支付补偿金，标准为离职前 12 个月平均月收入的 30%。</w:t>
      </w:r>
    </w:p>
    <w:p>
      <w:r>
        <w:t>违反竞业限制约定的，需返还全部已获激励收益并支付违约金，违约金为已获收益的 3 倍。</w:t>
      </w:r>
    </w:p>
    <w:p>
      <w:pPr>
        <w:pStyle w:val="Heading1"/>
      </w:pPr>
      <w:r>
        <w:t>七、办理流程</w:t>
      </w:r>
    </w:p>
    <w:p>
      <w:r>
        <w:t>1. 人力资源部发起，汇总候选人名单与考核结果。</w:t>
      </w:r>
    </w:p>
    <w:p>
      <w:r>
        <w:t>2. 薪酬与考核委员会审议，确定授予数量与行权价格。</w:t>
      </w:r>
    </w:p>
    <w:p>
      <w:r>
        <w:t>3. 董事会审批通过后形成决议。</w:t>
      </w:r>
    </w:p>
    <w:p>
      <w:r>
        <w:t>4. 人力资源部组织签署授予协议，法务部见证并存档。</w:t>
      </w:r>
    </w:p>
    <w:p>
      <w:r>
        <w:t>5. 股权激励台账由人力资源部与财务部共同维护，每季度核对一次。</w:t>
      </w:r>
    </w:p>
    <w:p>
      <w:pPr>
        <w:pStyle w:val="Heading1"/>
      </w:pPr>
      <w:r>
        <w:t>八、常见问题</w:t>
      </w:r>
    </w:p>
    <w:p>
      <w:r>
        <w:t>问：绩效考核为 B 能否获得股权激励？</w:t>
      </w:r>
    </w:p>
    <w:p>
      <w:r>
        <w:t>答：不能。最近两个年度绩效考核结果均需为 B+ 及以上，B 级不满足授予条件。</w:t>
      </w:r>
    </w:p>
    <w:p/>
    <w:p>
      <w:r>
        <w:t>问：离职后还能行权吗？</w:t>
      </w:r>
    </w:p>
    <w:p>
      <w:r>
        <w:t>答：已归属部分可在离职后 90 天内行权；未归属部分自动失效。因过失被解除劳动合同的，已归属部分由公司按原价回购。</w:t>
      </w:r>
    </w:p>
    <w:p/>
    <w:p>
      <w:r>
        <w:t>问：竞业限制期间有补偿吗？</w:t>
      </w:r>
    </w:p>
    <w:p>
      <w:r>
        <w:t>答：有，按离职前 12 个月平均月收入的 30% 按月发放，期限 24 个月。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