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03E7" w14:textId="55841D1A" w:rsidR="00A57A30" w:rsidRPr="00DD11ED" w:rsidRDefault="00A57A30" w:rsidP="00A57A30">
      <w:pPr>
        <w:jc w:val="center"/>
        <w:rPr>
          <w:b/>
          <w:bCs/>
          <w:sz w:val="24"/>
          <w:szCs w:val="24"/>
        </w:rPr>
      </w:pPr>
      <w:r w:rsidRPr="00DD11ED">
        <w:rPr>
          <w:b/>
          <w:bCs/>
          <w:sz w:val="24"/>
          <w:szCs w:val="24"/>
        </w:rPr>
        <w:t xml:space="preserve">A DATA-DRIVEN </w:t>
      </w:r>
      <w:r w:rsidRPr="00DD11ED">
        <w:rPr>
          <w:b/>
          <w:bCs/>
          <w:caps/>
          <w:sz w:val="24"/>
          <w:szCs w:val="24"/>
        </w:rPr>
        <w:t xml:space="preserve">modeling framework for estimating </w:t>
      </w:r>
      <w:r>
        <w:rPr>
          <w:b/>
          <w:bCs/>
          <w:caps/>
          <w:sz w:val="24"/>
          <w:szCs w:val="24"/>
        </w:rPr>
        <w:t xml:space="preserve">BEACH </w:t>
      </w:r>
      <w:r w:rsidRPr="00DD11ED">
        <w:rPr>
          <w:b/>
          <w:bCs/>
          <w:caps/>
          <w:sz w:val="24"/>
          <w:szCs w:val="24"/>
        </w:rPr>
        <w:t>sand</w:t>
      </w:r>
      <w:r>
        <w:rPr>
          <w:b/>
          <w:bCs/>
          <w:caps/>
          <w:sz w:val="24"/>
          <w:szCs w:val="24"/>
        </w:rPr>
        <w:t xml:space="preserve"> </w:t>
      </w:r>
      <w:r w:rsidRPr="00DD11ED">
        <w:rPr>
          <w:b/>
          <w:bCs/>
          <w:caps/>
          <w:sz w:val="24"/>
          <w:szCs w:val="24"/>
        </w:rPr>
        <w:t>grain</w:t>
      </w:r>
      <w:r w:rsidR="00F703B2">
        <w:rPr>
          <w:b/>
          <w:bCs/>
          <w:caps/>
          <w:sz w:val="24"/>
          <w:szCs w:val="24"/>
        </w:rPr>
        <w:t xml:space="preserve"> </w:t>
      </w:r>
      <w:r w:rsidRPr="00DD11ED">
        <w:rPr>
          <w:b/>
          <w:bCs/>
          <w:caps/>
          <w:sz w:val="24"/>
          <w:szCs w:val="24"/>
        </w:rPr>
        <w:t>size</w:t>
      </w:r>
      <w:r w:rsidR="00FB4CB7">
        <w:rPr>
          <w:b/>
          <w:bCs/>
          <w:caps/>
          <w:sz w:val="24"/>
          <w:szCs w:val="24"/>
        </w:rPr>
        <w:t xml:space="preserve"> OVER </w:t>
      </w:r>
      <w:r w:rsidR="00FB4CB7" w:rsidRPr="00DD11ED">
        <w:rPr>
          <w:b/>
          <w:bCs/>
          <w:caps/>
          <w:sz w:val="24"/>
          <w:szCs w:val="24"/>
        </w:rPr>
        <w:t>regional</w:t>
      </w:r>
      <w:r w:rsidR="00FB4CB7">
        <w:rPr>
          <w:b/>
          <w:bCs/>
          <w:caps/>
          <w:sz w:val="24"/>
          <w:szCs w:val="24"/>
        </w:rPr>
        <w:t xml:space="preserve"> </w:t>
      </w:r>
      <w:r w:rsidR="00FB4CB7" w:rsidRPr="00DD11ED">
        <w:rPr>
          <w:b/>
          <w:bCs/>
          <w:caps/>
          <w:sz w:val="24"/>
          <w:szCs w:val="24"/>
        </w:rPr>
        <w:t>scale</w:t>
      </w:r>
      <w:r w:rsidR="00FB4CB7">
        <w:rPr>
          <w:b/>
          <w:bCs/>
          <w:caps/>
          <w:sz w:val="24"/>
          <w:szCs w:val="24"/>
        </w:rPr>
        <w:t>S</w:t>
      </w:r>
    </w:p>
    <w:p w14:paraId="5E0EA4A2" w14:textId="77777777" w:rsidR="00A57A30" w:rsidRDefault="00A57A30" w:rsidP="00A57A30">
      <w:pPr>
        <w:jc w:val="center"/>
        <w:rPr>
          <w:sz w:val="24"/>
          <w:szCs w:val="24"/>
        </w:rPr>
      </w:pPr>
    </w:p>
    <w:p w14:paraId="72CED462" w14:textId="38EA5CBB" w:rsidR="00A57A30" w:rsidRDefault="00A57A30" w:rsidP="00A57A30">
      <w:pPr>
        <w:jc w:val="center"/>
        <w:rPr>
          <w:sz w:val="24"/>
          <w:szCs w:val="24"/>
        </w:rPr>
      </w:pPr>
      <w:r>
        <w:rPr>
          <w:sz w:val="24"/>
          <w:szCs w:val="24"/>
        </w:rPr>
        <w:t>D. Buscombe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, E. Goldstein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, K. Vos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, W. Speiser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>, and S. Vitousek</w:t>
      </w:r>
      <w:r w:rsidR="00DF339E">
        <w:rPr>
          <w:sz w:val="24"/>
          <w:szCs w:val="24"/>
          <w:vertAlign w:val="superscript"/>
        </w:rPr>
        <w:t>5</w:t>
      </w:r>
    </w:p>
    <w:p w14:paraId="03B6A546" w14:textId="2CDB0380" w:rsidR="00A57A30" w:rsidRDefault="00A57A30" w:rsidP="00A57A30">
      <w:pPr>
        <w:jc w:val="center"/>
        <w:rPr>
          <w:sz w:val="24"/>
          <w:szCs w:val="24"/>
        </w:rPr>
      </w:pPr>
      <w:r>
        <w:rPr>
          <w:sz w:val="24"/>
          <w:szCs w:val="24"/>
          <w:vertAlign w:val="superscript"/>
        </w:rPr>
        <w:t>1</w:t>
      </w:r>
      <w:r w:rsidR="00DF339E">
        <w:rPr>
          <w:sz w:val="24"/>
          <w:szCs w:val="24"/>
        </w:rPr>
        <w:t>Marda Science, contracted to U</w:t>
      </w:r>
      <w:r>
        <w:rPr>
          <w:sz w:val="24"/>
          <w:szCs w:val="24"/>
        </w:rPr>
        <w:t>.S. Geological Survey, Pacific Coastal and Marine Science Center, Santa Cruz, C</w:t>
      </w:r>
      <w:r w:rsidR="005465EE">
        <w:rPr>
          <w:sz w:val="24"/>
          <w:szCs w:val="24"/>
        </w:rPr>
        <w:t>A</w:t>
      </w:r>
      <w:r>
        <w:rPr>
          <w:sz w:val="24"/>
          <w:szCs w:val="24"/>
        </w:rPr>
        <w:t xml:space="preserve">, USA. </w:t>
      </w:r>
      <w:r w:rsidR="00B72211">
        <w:rPr>
          <w:sz w:val="24"/>
          <w:szCs w:val="24"/>
        </w:rPr>
        <w:t xml:space="preserve">Corresponding author email: </w:t>
      </w:r>
      <w:hyperlink r:id="rId8" w:history="1">
        <w:r w:rsidR="00B72211" w:rsidRPr="007143CF">
          <w:rPr>
            <w:rStyle w:val="Hyperlink"/>
            <w:sz w:val="24"/>
            <w:szCs w:val="24"/>
          </w:rPr>
          <w:t>dbuscombe@contractor.usgs.gov</w:t>
        </w:r>
      </w:hyperlink>
    </w:p>
    <w:p w14:paraId="10EF10AD" w14:textId="2430D522" w:rsidR="00A57A30" w:rsidRDefault="00A57A30" w:rsidP="00A57A30">
      <w:pPr>
        <w:jc w:val="center"/>
        <w:rPr>
          <w:sz w:val="24"/>
          <w:szCs w:val="24"/>
        </w:rPr>
      </w:pP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University of North Carolina at Greensboro, Greensboro, N</w:t>
      </w:r>
      <w:r w:rsidR="005465EE">
        <w:rPr>
          <w:sz w:val="24"/>
          <w:szCs w:val="24"/>
        </w:rPr>
        <w:t>C</w:t>
      </w:r>
      <w:r w:rsidR="00F703B2">
        <w:rPr>
          <w:sz w:val="24"/>
          <w:szCs w:val="24"/>
        </w:rPr>
        <w:t>, USA.</w:t>
      </w:r>
      <w:r>
        <w:rPr>
          <w:sz w:val="24"/>
          <w:szCs w:val="24"/>
        </w:rPr>
        <w:t xml:space="preserve"> </w:t>
      </w:r>
    </w:p>
    <w:p w14:paraId="3E5F70B3" w14:textId="24FC0836" w:rsidR="00A57A30" w:rsidRDefault="00A57A30" w:rsidP="00A57A30">
      <w:pPr>
        <w:jc w:val="center"/>
        <w:rPr>
          <w:sz w:val="24"/>
          <w:szCs w:val="24"/>
        </w:rPr>
      </w:pP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UNSW Water Research Laboratory, University of New South Wales, Sydney, Australia.</w:t>
      </w:r>
    </w:p>
    <w:p w14:paraId="700A3CFB" w14:textId="3FA98EE9" w:rsidR="00DD4C7C" w:rsidRDefault="00A57A30" w:rsidP="00A57A30">
      <w:pPr>
        <w:jc w:val="center"/>
        <w:rPr>
          <w:sz w:val="24"/>
          <w:szCs w:val="24"/>
        </w:rPr>
      </w:pP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University of California Davis Bodega Marine Laboratory, Bodega Bay, CA, USA. </w:t>
      </w:r>
    </w:p>
    <w:p w14:paraId="66DC523D" w14:textId="789569B7" w:rsidR="00DF339E" w:rsidRPr="00570A65" w:rsidRDefault="00DF339E" w:rsidP="00A57A30">
      <w:pPr>
        <w:jc w:val="center"/>
        <w:rPr>
          <w:sz w:val="24"/>
          <w:szCs w:val="24"/>
        </w:rPr>
      </w:pP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U.S. Geological Survey, Pacific Coastal and Marine Science Center, Santa Cruz, CA, USA.</w:t>
      </w:r>
    </w:p>
    <w:p w14:paraId="53D25EBF" w14:textId="77777777" w:rsidR="00091633" w:rsidRPr="00570A65" w:rsidRDefault="00091633" w:rsidP="003774BB">
      <w:pPr>
        <w:wordWrap/>
        <w:spacing w:line="240" w:lineRule="exact"/>
        <w:jc w:val="center"/>
        <w:rPr>
          <w:sz w:val="24"/>
          <w:szCs w:val="24"/>
        </w:rPr>
      </w:pPr>
    </w:p>
    <w:p w14:paraId="48899F13" w14:textId="77777777" w:rsidR="00091633" w:rsidRPr="00570A65" w:rsidRDefault="00091633">
      <w:pPr>
        <w:pStyle w:val="BodyText2"/>
        <w:numPr>
          <w:ilvl w:val="0"/>
          <w:numId w:val="1"/>
        </w:numPr>
        <w:wordWrap/>
        <w:spacing w:line="240" w:lineRule="exact"/>
        <w:rPr>
          <w:b/>
          <w:sz w:val="24"/>
          <w:szCs w:val="24"/>
        </w:rPr>
      </w:pPr>
      <w:r w:rsidRPr="00570A65">
        <w:rPr>
          <w:rFonts w:eastAsia="MS Mincho"/>
          <w:b/>
          <w:sz w:val="24"/>
          <w:szCs w:val="24"/>
          <w:lang w:eastAsia="ja-JP"/>
        </w:rPr>
        <w:t>Introduction</w:t>
      </w:r>
    </w:p>
    <w:p w14:paraId="000093F7" w14:textId="2F3113BB" w:rsidR="00A8562F" w:rsidRPr="00570A65" w:rsidRDefault="00E66F8D" w:rsidP="00BF3117">
      <w:pPr>
        <w:pStyle w:val="BodyText2"/>
        <w:wordWrap/>
        <w:spacing w:line="240" w:lineRule="exact"/>
        <w:ind w:firstLine="360"/>
        <w:rPr>
          <w:sz w:val="24"/>
          <w:szCs w:val="24"/>
        </w:rPr>
      </w:pPr>
      <w:r>
        <w:rPr>
          <w:sz w:val="24"/>
          <w:szCs w:val="24"/>
        </w:rPr>
        <w:t>G</w:t>
      </w:r>
      <w:r w:rsidRPr="00E66F8D">
        <w:rPr>
          <w:sz w:val="24"/>
          <w:szCs w:val="24"/>
        </w:rPr>
        <w:t>rain size is a fundamental property of sand beaches, governing, for example</w:t>
      </w:r>
      <w:r w:rsidR="00CD6C67">
        <w:rPr>
          <w:sz w:val="24"/>
          <w:szCs w:val="24"/>
        </w:rPr>
        <w:t>,</w:t>
      </w:r>
      <w:r w:rsidR="004B4424">
        <w:rPr>
          <w:sz w:val="24"/>
          <w:szCs w:val="24"/>
        </w:rPr>
        <w:t xml:space="preserve"> </w:t>
      </w:r>
      <w:r w:rsidRPr="00E66F8D">
        <w:rPr>
          <w:sz w:val="24"/>
          <w:szCs w:val="24"/>
        </w:rPr>
        <w:t>habitats</w:t>
      </w:r>
      <w:r w:rsidR="005465EE">
        <w:rPr>
          <w:sz w:val="24"/>
          <w:szCs w:val="24"/>
        </w:rPr>
        <w:t xml:space="preserve">, </w:t>
      </w:r>
      <w:r w:rsidR="004B4424" w:rsidRPr="00E66F8D">
        <w:rPr>
          <w:sz w:val="24"/>
          <w:szCs w:val="24"/>
        </w:rPr>
        <w:t>storm response and recovery</w:t>
      </w:r>
      <w:r w:rsidR="004B4424">
        <w:rPr>
          <w:sz w:val="24"/>
          <w:szCs w:val="24"/>
        </w:rPr>
        <w:t>,</w:t>
      </w:r>
      <w:r w:rsidR="004B4424" w:rsidRPr="00E66F8D">
        <w:rPr>
          <w:sz w:val="24"/>
          <w:szCs w:val="24"/>
        </w:rPr>
        <w:t xml:space="preserve"> </w:t>
      </w:r>
      <w:r w:rsidRPr="00E66F8D">
        <w:rPr>
          <w:sz w:val="24"/>
          <w:szCs w:val="24"/>
        </w:rPr>
        <w:t xml:space="preserve">and </w:t>
      </w:r>
      <w:proofErr w:type="spellStart"/>
      <w:r w:rsidRPr="00E66F8D">
        <w:rPr>
          <w:sz w:val="24"/>
          <w:szCs w:val="24"/>
        </w:rPr>
        <w:t>morphodynamic</w:t>
      </w:r>
      <w:proofErr w:type="spellEnd"/>
      <w:r w:rsidRPr="00E66F8D">
        <w:rPr>
          <w:sz w:val="24"/>
          <w:szCs w:val="24"/>
        </w:rPr>
        <w:t xml:space="preserve"> state</w:t>
      </w:r>
      <w:r>
        <w:rPr>
          <w:sz w:val="24"/>
          <w:szCs w:val="24"/>
        </w:rPr>
        <w:t xml:space="preserve">. </w:t>
      </w:r>
      <w:r w:rsidRPr="00E66F8D">
        <w:rPr>
          <w:sz w:val="24"/>
          <w:szCs w:val="24"/>
        </w:rPr>
        <w:t>There is a well-known</w:t>
      </w:r>
      <w:r w:rsidR="00301E2B">
        <w:rPr>
          <w:sz w:val="24"/>
          <w:szCs w:val="24"/>
        </w:rPr>
        <w:t xml:space="preserve"> </w:t>
      </w:r>
      <w:r w:rsidR="00301E2B" w:rsidRPr="00E66F8D">
        <w:rPr>
          <w:sz w:val="24"/>
          <w:szCs w:val="24"/>
        </w:rPr>
        <w:t>relation between beach slope and grain size</w:t>
      </w:r>
      <w:r w:rsidR="00296B4C">
        <w:rPr>
          <w:sz w:val="24"/>
          <w:szCs w:val="24"/>
        </w:rPr>
        <w:t>.</w:t>
      </w:r>
      <w:r w:rsidR="00301E2B">
        <w:rPr>
          <w:sz w:val="24"/>
          <w:szCs w:val="24"/>
        </w:rPr>
        <w:t xml:space="preserve"> E</w:t>
      </w:r>
      <w:r w:rsidR="00E54472" w:rsidRPr="00E54472">
        <w:rPr>
          <w:sz w:val="24"/>
          <w:szCs w:val="24"/>
        </w:rPr>
        <w:t xml:space="preserve">mpirical models for beach grain size tend to either use beach slope as the </w:t>
      </w:r>
      <w:r w:rsidR="00296B4C">
        <w:rPr>
          <w:sz w:val="24"/>
          <w:szCs w:val="24"/>
        </w:rPr>
        <w:t xml:space="preserve">only </w:t>
      </w:r>
      <w:r w:rsidR="00E54472" w:rsidRPr="00E54472">
        <w:rPr>
          <w:sz w:val="24"/>
          <w:szCs w:val="24"/>
        </w:rPr>
        <w:t>independent variable (</w:t>
      </w:r>
      <w:r w:rsidR="00296B4C">
        <w:rPr>
          <w:sz w:val="24"/>
          <w:szCs w:val="24"/>
        </w:rPr>
        <w:t xml:space="preserve">e.g., </w:t>
      </w:r>
      <w:proofErr w:type="spellStart"/>
      <w:r w:rsidR="00E54472" w:rsidRPr="00E54472">
        <w:rPr>
          <w:sz w:val="24"/>
          <w:szCs w:val="24"/>
        </w:rPr>
        <w:t>Bujan</w:t>
      </w:r>
      <w:proofErr w:type="spellEnd"/>
      <w:r w:rsidR="00E54472">
        <w:rPr>
          <w:sz w:val="24"/>
          <w:szCs w:val="24"/>
        </w:rPr>
        <w:t xml:space="preserve"> </w:t>
      </w:r>
      <w:r w:rsidR="00E54472" w:rsidRPr="00E54472">
        <w:rPr>
          <w:sz w:val="24"/>
          <w:szCs w:val="24"/>
        </w:rPr>
        <w:t>et al., 2019), or both beach slope and wave climate statistics (</w:t>
      </w:r>
      <w:r w:rsidR="00296B4C">
        <w:rPr>
          <w:sz w:val="24"/>
          <w:szCs w:val="24"/>
        </w:rPr>
        <w:t xml:space="preserve">e.g., </w:t>
      </w:r>
      <w:r w:rsidR="00E54472" w:rsidRPr="00E54472">
        <w:rPr>
          <w:sz w:val="24"/>
          <w:szCs w:val="24"/>
        </w:rPr>
        <w:t>McFall, 2019). These studies</w:t>
      </w:r>
      <w:r w:rsidR="00E54472">
        <w:rPr>
          <w:sz w:val="24"/>
          <w:szCs w:val="24"/>
        </w:rPr>
        <w:t xml:space="preserve"> </w:t>
      </w:r>
      <w:r w:rsidR="00E54472" w:rsidRPr="00E54472">
        <w:rPr>
          <w:sz w:val="24"/>
          <w:szCs w:val="24"/>
        </w:rPr>
        <w:t xml:space="preserve">use </w:t>
      </w:r>
      <w:r w:rsidR="00BF3117">
        <w:rPr>
          <w:sz w:val="24"/>
          <w:szCs w:val="24"/>
        </w:rPr>
        <w:t>linear regression</w:t>
      </w:r>
      <w:r w:rsidR="00E54472" w:rsidRPr="00E54472">
        <w:rPr>
          <w:sz w:val="24"/>
          <w:szCs w:val="24"/>
        </w:rPr>
        <w:t xml:space="preserve"> on sparse datasets consisting of tens to hundreds of data points to represent all</w:t>
      </w:r>
      <w:r w:rsidR="00E54472">
        <w:rPr>
          <w:sz w:val="24"/>
          <w:szCs w:val="24"/>
        </w:rPr>
        <w:t xml:space="preserve"> </w:t>
      </w:r>
      <w:r w:rsidR="00E54472" w:rsidRPr="00E54472">
        <w:rPr>
          <w:sz w:val="24"/>
          <w:szCs w:val="24"/>
        </w:rPr>
        <w:t>sand beaches globally.</w:t>
      </w:r>
      <w:r w:rsidR="001655B3">
        <w:rPr>
          <w:sz w:val="24"/>
          <w:szCs w:val="24"/>
        </w:rPr>
        <w:t xml:space="preserve"> </w:t>
      </w:r>
      <w:r w:rsidR="0056119A">
        <w:rPr>
          <w:sz w:val="24"/>
          <w:szCs w:val="24"/>
        </w:rPr>
        <w:t>Here w</w:t>
      </w:r>
      <w:r w:rsidR="00A8562F" w:rsidRPr="00A8562F">
        <w:rPr>
          <w:sz w:val="24"/>
          <w:szCs w:val="24"/>
        </w:rPr>
        <w:t>e describe a</w:t>
      </w:r>
      <w:r w:rsidR="00EB0E2E">
        <w:rPr>
          <w:sz w:val="24"/>
          <w:szCs w:val="24"/>
        </w:rPr>
        <w:t xml:space="preserve">n </w:t>
      </w:r>
      <w:r w:rsidR="00A8562F">
        <w:rPr>
          <w:sz w:val="24"/>
          <w:szCs w:val="24"/>
        </w:rPr>
        <w:t xml:space="preserve">alternative </w:t>
      </w:r>
      <w:r w:rsidR="00A8562F" w:rsidRPr="00A8562F">
        <w:rPr>
          <w:sz w:val="24"/>
          <w:szCs w:val="24"/>
        </w:rPr>
        <w:t xml:space="preserve">approach to </w:t>
      </w:r>
      <w:r w:rsidR="00A8562F">
        <w:rPr>
          <w:sz w:val="24"/>
          <w:szCs w:val="24"/>
        </w:rPr>
        <w:t xml:space="preserve">estimating </w:t>
      </w:r>
      <w:r w:rsidR="00A8562F" w:rsidRPr="00A8562F">
        <w:rPr>
          <w:sz w:val="24"/>
          <w:szCs w:val="24"/>
        </w:rPr>
        <w:t>regional trends</w:t>
      </w:r>
      <w:r w:rsidR="00A8562F">
        <w:rPr>
          <w:sz w:val="24"/>
          <w:szCs w:val="24"/>
        </w:rPr>
        <w:t xml:space="preserve"> in sand-beach </w:t>
      </w:r>
      <w:r w:rsidR="00A8562F" w:rsidRPr="00A8562F">
        <w:rPr>
          <w:sz w:val="24"/>
          <w:szCs w:val="24"/>
        </w:rPr>
        <w:t>grain</w:t>
      </w:r>
      <w:r w:rsidR="00A8562F">
        <w:rPr>
          <w:sz w:val="24"/>
          <w:szCs w:val="24"/>
        </w:rPr>
        <w:t>-</w:t>
      </w:r>
      <w:r w:rsidR="00A8562F" w:rsidRPr="00A8562F">
        <w:rPr>
          <w:sz w:val="24"/>
          <w:szCs w:val="24"/>
        </w:rPr>
        <w:t>size</w:t>
      </w:r>
      <w:r w:rsidR="00A8562F">
        <w:rPr>
          <w:sz w:val="24"/>
          <w:szCs w:val="24"/>
        </w:rPr>
        <w:t xml:space="preserve"> using </w:t>
      </w:r>
      <w:r w:rsidR="004E10F1">
        <w:rPr>
          <w:sz w:val="24"/>
          <w:szCs w:val="24"/>
        </w:rPr>
        <w:t xml:space="preserve">a </w:t>
      </w:r>
      <w:r w:rsidR="00A8562F">
        <w:rPr>
          <w:sz w:val="24"/>
          <w:szCs w:val="24"/>
        </w:rPr>
        <w:t>Machine Learning</w:t>
      </w:r>
      <w:r w:rsidR="004E10F1">
        <w:rPr>
          <w:sz w:val="24"/>
          <w:szCs w:val="24"/>
        </w:rPr>
        <w:t xml:space="preserve"> regression technique and partial correlation analysis</w:t>
      </w:r>
      <w:r w:rsidR="00A8562F" w:rsidRPr="00A8562F">
        <w:rPr>
          <w:sz w:val="24"/>
          <w:szCs w:val="24"/>
        </w:rPr>
        <w:t xml:space="preserve">. </w:t>
      </w:r>
      <w:r w:rsidR="000C03CB">
        <w:rPr>
          <w:sz w:val="24"/>
          <w:szCs w:val="24"/>
        </w:rPr>
        <w:t xml:space="preserve">As primary inputs, </w:t>
      </w:r>
      <w:r w:rsidR="004819DA">
        <w:rPr>
          <w:sz w:val="24"/>
          <w:szCs w:val="24"/>
        </w:rPr>
        <w:t xml:space="preserve">we use </w:t>
      </w:r>
      <w:r w:rsidR="004E10F1">
        <w:rPr>
          <w:sz w:val="24"/>
          <w:szCs w:val="24"/>
        </w:rPr>
        <w:t xml:space="preserve">beach slope </w:t>
      </w:r>
      <w:r w:rsidR="004E10F1" w:rsidRPr="00A8562F">
        <w:rPr>
          <w:sz w:val="24"/>
          <w:szCs w:val="24"/>
        </w:rPr>
        <w:t>derived from satellite</w:t>
      </w:r>
      <w:r w:rsidR="004E10F1">
        <w:rPr>
          <w:sz w:val="24"/>
          <w:szCs w:val="24"/>
        </w:rPr>
        <w:t>-derived</w:t>
      </w:r>
      <w:r w:rsidR="000C03CB">
        <w:rPr>
          <w:sz w:val="24"/>
          <w:szCs w:val="24"/>
        </w:rPr>
        <w:t>-</w:t>
      </w:r>
      <w:r w:rsidR="004E10F1" w:rsidRPr="00A8562F">
        <w:rPr>
          <w:sz w:val="24"/>
          <w:szCs w:val="24"/>
        </w:rPr>
        <w:t>shoreline analys</w:t>
      </w:r>
      <w:r w:rsidR="000C03CB">
        <w:rPr>
          <w:sz w:val="24"/>
          <w:szCs w:val="24"/>
        </w:rPr>
        <w:t>es</w:t>
      </w:r>
      <w:r w:rsidR="004E10F1">
        <w:rPr>
          <w:sz w:val="24"/>
          <w:szCs w:val="24"/>
        </w:rPr>
        <w:t>, and</w:t>
      </w:r>
      <w:r w:rsidR="004E10F1" w:rsidRPr="00A8562F">
        <w:rPr>
          <w:sz w:val="24"/>
          <w:szCs w:val="24"/>
        </w:rPr>
        <w:t xml:space="preserve"> </w:t>
      </w:r>
      <w:r w:rsidR="00BC7F04">
        <w:rPr>
          <w:sz w:val="24"/>
          <w:szCs w:val="24"/>
        </w:rPr>
        <w:t xml:space="preserve">wave statistics from </w:t>
      </w:r>
      <w:r w:rsidR="000C03CB">
        <w:rPr>
          <w:sz w:val="24"/>
          <w:szCs w:val="24"/>
        </w:rPr>
        <w:t>30km grid ERA5</w:t>
      </w:r>
      <w:r w:rsidR="004E10F1" w:rsidRPr="00A8562F">
        <w:rPr>
          <w:sz w:val="24"/>
          <w:szCs w:val="24"/>
        </w:rPr>
        <w:t xml:space="preserve"> </w:t>
      </w:r>
      <w:r w:rsidR="000C03CB">
        <w:rPr>
          <w:sz w:val="24"/>
          <w:szCs w:val="24"/>
        </w:rPr>
        <w:t xml:space="preserve">wave </w:t>
      </w:r>
      <w:r w:rsidR="00BC7F04">
        <w:rPr>
          <w:sz w:val="24"/>
          <w:szCs w:val="24"/>
        </w:rPr>
        <w:t xml:space="preserve">monitoring </w:t>
      </w:r>
      <w:r w:rsidR="000C03CB">
        <w:rPr>
          <w:sz w:val="24"/>
          <w:szCs w:val="24"/>
        </w:rPr>
        <w:t>(</w:t>
      </w:r>
      <w:proofErr w:type="spellStart"/>
      <w:r w:rsidR="000C03CB" w:rsidRPr="000C03CB">
        <w:rPr>
          <w:sz w:val="24"/>
          <w:szCs w:val="24"/>
        </w:rPr>
        <w:t>Hersbach</w:t>
      </w:r>
      <w:proofErr w:type="spellEnd"/>
      <w:r w:rsidR="000C03CB">
        <w:rPr>
          <w:sz w:val="24"/>
          <w:szCs w:val="24"/>
        </w:rPr>
        <w:t xml:space="preserve"> et al., 2020)</w:t>
      </w:r>
      <w:r w:rsidR="004E10F1">
        <w:rPr>
          <w:sz w:val="24"/>
          <w:szCs w:val="24"/>
        </w:rPr>
        <w:t>,</w:t>
      </w:r>
      <w:r w:rsidR="000C03CB">
        <w:rPr>
          <w:sz w:val="24"/>
          <w:szCs w:val="24"/>
        </w:rPr>
        <w:t xml:space="preserve"> both of which may be obtained for any </w:t>
      </w:r>
      <w:r w:rsidR="00A900FD">
        <w:rPr>
          <w:sz w:val="24"/>
          <w:szCs w:val="24"/>
        </w:rPr>
        <w:t xml:space="preserve">global </w:t>
      </w:r>
      <w:r w:rsidR="000C03CB">
        <w:rPr>
          <w:sz w:val="24"/>
          <w:szCs w:val="24"/>
        </w:rPr>
        <w:t>location</w:t>
      </w:r>
      <w:r w:rsidR="004E10F1">
        <w:rPr>
          <w:sz w:val="24"/>
          <w:szCs w:val="24"/>
        </w:rPr>
        <w:t xml:space="preserve">. Optionally, other regionally important covariates such as tide range and mineralogy may also be </w:t>
      </w:r>
      <w:r w:rsidR="006651E5">
        <w:rPr>
          <w:sz w:val="24"/>
          <w:szCs w:val="24"/>
        </w:rPr>
        <w:t>used</w:t>
      </w:r>
      <w:r w:rsidR="004E10F1">
        <w:rPr>
          <w:sz w:val="24"/>
          <w:szCs w:val="24"/>
        </w:rPr>
        <w:t>.</w:t>
      </w:r>
      <w:r w:rsidR="000C03CB">
        <w:rPr>
          <w:sz w:val="24"/>
          <w:szCs w:val="24"/>
        </w:rPr>
        <w:t xml:space="preserve"> </w:t>
      </w:r>
      <w:r w:rsidR="004819DA">
        <w:rPr>
          <w:sz w:val="24"/>
          <w:szCs w:val="24"/>
        </w:rPr>
        <w:t>The</w:t>
      </w:r>
      <w:r w:rsidR="00A8562F" w:rsidRPr="00A8562F">
        <w:rPr>
          <w:sz w:val="24"/>
          <w:szCs w:val="24"/>
        </w:rPr>
        <w:t xml:space="preserve"> </w:t>
      </w:r>
      <w:r w:rsidR="004E10F1">
        <w:rPr>
          <w:sz w:val="24"/>
          <w:szCs w:val="24"/>
        </w:rPr>
        <w:t>approach</w:t>
      </w:r>
      <w:r w:rsidR="000C28A2">
        <w:rPr>
          <w:sz w:val="24"/>
          <w:szCs w:val="24"/>
        </w:rPr>
        <w:t xml:space="preserve"> also</w:t>
      </w:r>
      <w:r w:rsidR="000C03CB">
        <w:rPr>
          <w:sz w:val="24"/>
          <w:szCs w:val="24"/>
        </w:rPr>
        <w:t xml:space="preserve"> allow</w:t>
      </w:r>
      <w:r w:rsidR="004819DA">
        <w:rPr>
          <w:sz w:val="24"/>
          <w:szCs w:val="24"/>
        </w:rPr>
        <w:t>s</w:t>
      </w:r>
      <w:r w:rsidR="000C03CB">
        <w:rPr>
          <w:sz w:val="24"/>
          <w:szCs w:val="24"/>
        </w:rPr>
        <w:t xml:space="preserve"> for quantitative</w:t>
      </w:r>
      <w:r w:rsidR="00A8562F" w:rsidRPr="00A8562F">
        <w:rPr>
          <w:sz w:val="24"/>
          <w:szCs w:val="24"/>
        </w:rPr>
        <w:t xml:space="preserve"> </w:t>
      </w:r>
      <w:r w:rsidR="004E10F1">
        <w:rPr>
          <w:sz w:val="24"/>
          <w:szCs w:val="24"/>
        </w:rPr>
        <w:t>rank</w:t>
      </w:r>
      <w:r w:rsidR="000C03CB">
        <w:rPr>
          <w:sz w:val="24"/>
          <w:szCs w:val="24"/>
        </w:rPr>
        <w:t>ing</w:t>
      </w:r>
      <w:r w:rsidR="004E10F1">
        <w:rPr>
          <w:sz w:val="24"/>
          <w:szCs w:val="24"/>
        </w:rPr>
        <w:t xml:space="preserve"> </w:t>
      </w:r>
      <w:r w:rsidR="000C03CB">
        <w:rPr>
          <w:sz w:val="24"/>
          <w:szCs w:val="24"/>
        </w:rPr>
        <w:t xml:space="preserve">of </w:t>
      </w:r>
      <w:r w:rsidR="004E10F1">
        <w:rPr>
          <w:sz w:val="24"/>
          <w:szCs w:val="24"/>
        </w:rPr>
        <w:t xml:space="preserve">grain-size </w:t>
      </w:r>
      <w:r w:rsidR="00A8562F" w:rsidRPr="00A8562F">
        <w:rPr>
          <w:sz w:val="24"/>
          <w:szCs w:val="24"/>
        </w:rPr>
        <w:t>covariates</w:t>
      </w:r>
      <w:r w:rsidR="00EB0E2E">
        <w:rPr>
          <w:sz w:val="24"/>
          <w:szCs w:val="24"/>
        </w:rPr>
        <w:t xml:space="preserve">. </w:t>
      </w:r>
    </w:p>
    <w:p w14:paraId="76298FA1" w14:textId="77777777" w:rsidR="00091633" w:rsidRPr="00570A65" w:rsidRDefault="00091633">
      <w:pPr>
        <w:pStyle w:val="BodyText2"/>
        <w:wordWrap/>
        <w:spacing w:line="240" w:lineRule="exact"/>
        <w:rPr>
          <w:rFonts w:eastAsia="MS Mincho"/>
          <w:sz w:val="24"/>
          <w:szCs w:val="24"/>
          <w:lang w:eastAsia="ja-JP"/>
        </w:rPr>
      </w:pPr>
    </w:p>
    <w:p w14:paraId="33780754" w14:textId="5E342205" w:rsidR="00091633" w:rsidRPr="00570A65" w:rsidRDefault="00A57A30">
      <w:pPr>
        <w:pStyle w:val="BodyText2"/>
        <w:numPr>
          <w:ilvl w:val="0"/>
          <w:numId w:val="1"/>
        </w:numPr>
        <w:wordWrap/>
        <w:spacing w:line="24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Methods</w:t>
      </w:r>
    </w:p>
    <w:p w14:paraId="1B044DA9" w14:textId="02104577" w:rsidR="00F703B2" w:rsidRPr="004B4424" w:rsidRDefault="00F703B2" w:rsidP="003C1F4D">
      <w:pPr>
        <w:pStyle w:val="BodyText2"/>
        <w:wordWrap/>
        <w:spacing w:line="240" w:lineRule="exact"/>
        <w:ind w:firstLine="360"/>
        <w:rPr>
          <w:sz w:val="24"/>
          <w:szCs w:val="24"/>
        </w:rPr>
      </w:pPr>
      <w:r w:rsidRPr="00F703B2">
        <w:rPr>
          <w:sz w:val="24"/>
          <w:szCs w:val="24"/>
        </w:rPr>
        <w:t xml:space="preserve">Empirical approaches to estimating the median </w:t>
      </w:r>
      <w:r w:rsidR="00312480">
        <w:rPr>
          <w:sz w:val="24"/>
          <w:szCs w:val="24"/>
        </w:rPr>
        <w:t xml:space="preserve">sand </w:t>
      </w:r>
      <w:r w:rsidRPr="00F703B2">
        <w:rPr>
          <w:sz w:val="24"/>
          <w:szCs w:val="24"/>
        </w:rPr>
        <w:t xml:space="preserve">grain size </w:t>
      </w:r>
      <w:r w:rsidRPr="00F703B2">
        <w:rPr>
          <w:i/>
          <w:iCs/>
          <w:sz w:val="24"/>
          <w:szCs w:val="24"/>
        </w:rPr>
        <w:t>D</w:t>
      </w:r>
      <w:r w:rsidRPr="00F703B2">
        <w:rPr>
          <w:i/>
          <w:iCs/>
          <w:sz w:val="24"/>
          <w:szCs w:val="24"/>
          <w:vertAlign w:val="subscript"/>
        </w:rPr>
        <w:t>50</w:t>
      </w:r>
      <w:r w:rsidRPr="00F703B2">
        <w:rPr>
          <w:sz w:val="24"/>
          <w:szCs w:val="24"/>
        </w:rPr>
        <w:t xml:space="preserve"> (mm)</w:t>
      </w:r>
      <w:r w:rsidR="00304CB0">
        <w:rPr>
          <w:sz w:val="24"/>
          <w:szCs w:val="24"/>
        </w:rPr>
        <w:t>,</w:t>
      </w:r>
      <w:r w:rsidRPr="00F703B2">
        <w:rPr>
          <w:sz w:val="24"/>
          <w:szCs w:val="24"/>
        </w:rPr>
        <w:t xml:space="preserve"> </w:t>
      </w:r>
      <w:proofErr w:type="gramStart"/>
      <w:r w:rsidRPr="00F703B2">
        <w:rPr>
          <w:sz w:val="24"/>
          <w:szCs w:val="24"/>
        </w:rPr>
        <w:t xml:space="preserve">in </w:t>
      </w:r>
      <w:r w:rsidR="00B71FD8">
        <w:rPr>
          <w:sz w:val="24"/>
          <w:szCs w:val="24"/>
        </w:rPr>
        <w:t>a given</w:t>
      </w:r>
      <w:proofErr w:type="gramEnd"/>
      <w:r w:rsidRPr="00F703B2">
        <w:rPr>
          <w:sz w:val="24"/>
          <w:szCs w:val="24"/>
        </w:rPr>
        <w:t xml:space="preserve"> location</w:t>
      </w:r>
      <w:r w:rsidR="00304CB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6651E5">
        <w:rPr>
          <w:sz w:val="24"/>
          <w:szCs w:val="24"/>
        </w:rPr>
        <w:t>traditionally</w:t>
      </w:r>
      <w:r w:rsidRPr="00F703B2">
        <w:rPr>
          <w:sz w:val="24"/>
          <w:szCs w:val="24"/>
        </w:rPr>
        <w:t xml:space="preserve"> derive from a linear least-squares model </w:t>
      </w:r>
      <w:r w:rsidR="00A900FD">
        <w:rPr>
          <w:sz w:val="24"/>
          <w:szCs w:val="24"/>
        </w:rPr>
        <w:t xml:space="preserve">that is </w:t>
      </w:r>
      <w:r w:rsidR="009112A8">
        <w:rPr>
          <w:sz w:val="24"/>
          <w:szCs w:val="24"/>
        </w:rPr>
        <w:t>solved using a</w:t>
      </w:r>
      <w:r w:rsidR="007A7070" w:rsidRPr="007A7070">
        <w:rPr>
          <w:sz w:val="24"/>
          <w:szCs w:val="24"/>
        </w:rPr>
        <w:t xml:space="preserve"> set of </w:t>
      </w:r>
      <w:r w:rsidR="009112A8">
        <w:rPr>
          <w:sz w:val="24"/>
          <w:szCs w:val="24"/>
        </w:rPr>
        <w:t>covariates</w:t>
      </w:r>
      <w:r w:rsidR="007A7070" w:rsidRPr="007A7070">
        <w:rPr>
          <w:sz w:val="24"/>
          <w:szCs w:val="24"/>
        </w:rPr>
        <w:t xml:space="preserve"> </w:t>
      </w:r>
      <w:r w:rsidR="007A7070" w:rsidRPr="009112A8">
        <w:rPr>
          <w:i/>
          <w:iCs/>
          <w:sz w:val="24"/>
          <w:szCs w:val="24"/>
        </w:rPr>
        <w:t>X</w:t>
      </w:r>
      <w:r w:rsidR="009112A8" w:rsidRPr="009112A8">
        <w:rPr>
          <w:i/>
          <w:iCs/>
          <w:sz w:val="24"/>
          <w:szCs w:val="24"/>
          <w:vertAlign w:val="subscript"/>
        </w:rPr>
        <w:t>i</w:t>
      </w:r>
      <w:r w:rsidR="007A7070" w:rsidRPr="007A7070">
        <w:rPr>
          <w:sz w:val="24"/>
          <w:szCs w:val="24"/>
        </w:rPr>
        <w:t>, such as slope (</w:t>
      </w:r>
      <w:proofErr w:type="spellStart"/>
      <w:r w:rsidR="007A7070" w:rsidRPr="007A7070">
        <w:rPr>
          <w:sz w:val="24"/>
          <w:szCs w:val="24"/>
        </w:rPr>
        <w:t>Bujan</w:t>
      </w:r>
      <w:proofErr w:type="spellEnd"/>
      <w:r w:rsidR="007A7070">
        <w:rPr>
          <w:sz w:val="24"/>
          <w:szCs w:val="24"/>
        </w:rPr>
        <w:t xml:space="preserve"> </w:t>
      </w:r>
      <w:r w:rsidR="007A7070" w:rsidRPr="007A7070">
        <w:rPr>
          <w:sz w:val="24"/>
          <w:szCs w:val="24"/>
        </w:rPr>
        <w:t>et al., 2019), slope and wave variables (McFall, 2019), or shoreline variability (Cabezas-</w:t>
      </w:r>
      <w:proofErr w:type="spellStart"/>
      <w:r w:rsidR="007A7070" w:rsidRPr="007A7070">
        <w:rPr>
          <w:sz w:val="24"/>
          <w:szCs w:val="24"/>
        </w:rPr>
        <w:t>Rabadán</w:t>
      </w:r>
      <w:proofErr w:type="spellEnd"/>
      <w:r w:rsidR="007A7070" w:rsidRPr="007A7070">
        <w:rPr>
          <w:sz w:val="24"/>
          <w:szCs w:val="24"/>
        </w:rPr>
        <w:t xml:space="preserve"> et al.,</w:t>
      </w:r>
      <w:r w:rsidR="007A7070">
        <w:rPr>
          <w:sz w:val="24"/>
          <w:szCs w:val="24"/>
        </w:rPr>
        <w:t xml:space="preserve"> </w:t>
      </w:r>
      <w:r w:rsidR="007A7070" w:rsidRPr="007A7070">
        <w:rPr>
          <w:sz w:val="24"/>
          <w:szCs w:val="24"/>
        </w:rPr>
        <w:t>2021).</w:t>
      </w:r>
      <w:r w:rsidR="0013602A">
        <w:rPr>
          <w:sz w:val="24"/>
          <w:szCs w:val="24"/>
        </w:rPr>
        <w:t xml:space="preserve"> </w:t>
      </w:r>
      <w:r w:rsidR="006651E5">
        <w:rPr>
          <w:sz w:val="24"/>
          <w:szCs w:val="24"/>
        </w:rPr>
        <w:t xml:space="preserve">Here we use a </w:t>
      </w:r>
      <w:r w:rsidR="0013602A" w:rsidRPr="0013602A">
        <w:rPr>
          <w:sz w:val="24"/>
          <w:szCs w:val="24"/>
        </w:rPr>
        <w:t xml:space="preserve">Gradient Boosted </w:t>
      </w:r>
      <w:r w:rsidR="004F25F0">
        <w:rPr>
          <w:sz w:val="24"/>
          <w:szCs w:val="24"/>
        </w:rPr>
        <w:t>Regression</w:t>
      </w:r>
      <w:r w:rsidR="0013602A" w:rsidRPr="0013602A">
        <w:rPr>
          <w:sz w:val="24"/>
          <w:szCs w:val="24"/>
        </w:rPr>
        <w:t xml:space="preserve"> Tree (GB</w:t>
      </w:r>
      <w:r w:rsidR="004F25F0">
        <w:rPr>
          <w:sz w:val="24"/>
          <w:szCs w:val="24"/>
        </w:rPr>
        <w:t>R</w:t>
      </w:r>
      <w:r w:rsidR="0013602A" w:rsidRPr="0013602A">
        <w:rPr>
          <w:sz w:val="24"/>
          <w:szCs w:val="24"/>
        </w:rPr>
        <w:t>T)</w:t>
      </w:r>
      <w:r w:rsidR="006651E5">
        <w:rPr>
          <w:sz w:val="24"/>
          <w:szCs w:val="24"/>
        </w:rPr>
        <w:t xml:space="preserve"> </w:t>
      </w:r>
      <w:r w:rsidR="0013602A" w:rsidRPr="0013602A">
        <w:rPr>
          <w:sz w:val="24"/>
          <w:szCs w:val="24"/>
        </w:rPr>
        <w:t>for the regression task</w:t>
      </w:r>
      <w:r w:rsidR="0013602A">
        <w:rPr>
          <w:sz w:val="24"/>
          <w:szCs w:val="24"/>
        </w:rPr>
        <w:t xml:space="preserve"> </w:t>
      </w:r>
      <w:r w:rsidR="0013602A" w:rsidRPr="0013602A">
        <w:rPr>
          <w:sz w:val="24"/>
          <w:szCs w:val="24"/>
        </w:rPr>
        <w:t xml:space="preserve">of estimating </w:t>
      </w:r>
      <w:r w:rsidR="006651E5" w:rsidRPr="00F703B2">
        <w:rPr>
          <w:i/>
          <w:iCs/>
          <w:sz w:val="24"/>
          <w:szCs w:val="24"/>
        </w:rPr>
        <w:t>D</w:t>
      </w:r>
      <w:r w:rsidR="006651E5" w:rsidRPr="00F703B2">
        <w:rPr>
          <w:i/>
          <w:iCs/>
          <w:sz w:val="24"/>
          <w:szCs w:val="24"/>
          <w:vertAlign w:val="subscript"/>
        </w:rPr>
        <w:t>50</w:t>
      </w:r>
      <w:r w:rsidR="006651E5">
        <w:rPr>
          <w:i/>
          <w:iCs/>
          <w:sz w:val="24"/>
          <w:szCs w:val="24"/>
          <w:vertAlign w:val="subscript"/>
        </w:rPr>
        <w:t xml:space="preserve"> </w:t>
      </w:r>
      <w:r w:rsidR="0013602A" w:rsidRPr="0013602A">
        <w:rPr>
          <w:sz w:val="24"/>
          <w:szCs w:val="24"/>
        </w:rPr>
        <w:t xml:space="preserve">from a suite of </w:t>
      </w:r>
      <w:r w:rsidR="004B4424" w:rsidRPr="00E54472">
        <w:rPr>
          <w:sz w:val="24"/>
          <w:szCs w:val="24"/>
        </w:rPr>
        <w:t xml:space="preserve">wave climate statistics </w:t>
      </w:r>
      <w:r w:rsidR="0013602A" w:rsidRPr="0013602A">
        <w:rPr>
          <w:sz w:val="24"/>
          <w:szCs w:val="24"/>
        </w:rPr>
        <w:t xml:space="preserve">obtainable from </w:t>
      </w:r>
      <w:r w:rsidR="00F56B02">
        <w:rPr>
          <w:sz w:val="24"/>
          <w:szCs w:val="24"/>
        </w:rPr>
        <w:t xml:space="preserve">the </w:t>
      </w:r>
      <w:r w:rsidR="004B4424">
        <w:rPr>
          <w:sz w:val="24"/>
          <w:szCs w:val="24"/>
        </w:rPr>
        <w:t xml:space="preserve">ERA5 </w:t>
      </w:r>
      <w:r w:rsidR="0056119A">
        <w:rPr>
          <w:sz w:val="24"/>
          <w:szCs w:val="24"/>
        </w:rPr>
        <w:t>reanalys</w:t>
      </w:r>
      <w:r w:rsidR="00F56B02">
        <w:rPr>
          <w:sz w:val="24"/>
          <w:szCs w:val="24"/>
        </w:rPr>
        <w:t>i</w:t>
      </w:r>
      <w:r w:rsidR="0056119A">
        <w:rPr>
          <w:sz w:val="24"/>
          <w:szCs w:val="24"/>
        </w:rPr>
        <w:t>s</w:t>
      </w:r>
      <w:r w:rsidR="003C1F4D">
        <w:rPr>
          <w:sz w:val="24"/>
          <w:szCs w:val="24"/>
        </w:rPr>
        <w:t xml:space="preserve"> </w:t>
      </w:r>
      <w:r w:rsidR="004D2F30">
        <w:rPr>
          <w:sz w:val="24"/>
          <w:szCs w:val="24"/>
        </w:rPr>
        <w:t xml:space="preserve">such as </w:t>
      </w:r>
      <w:r w:rsidR="00F56B02">
        <w:rPr>
          <w:sz w:val="24"/>
          <w:szCs w:val="24"/>
        </w:rPr>
        <w:t xml:space="preserve">peak </w:t>
      </w:r>
      <w:r w:rsidR="004B4424">
        <w:rPr>
          <w:sz w:val="24"/>
          <w:szCs w:val="24"/>
        </w:rPr>
        <w:t>wave period,</w:t>
      </w:r>
      <w:r w:rsidR="004D2F30">
        <w:rPr>
          <w:sz w:val="24"/>
          <w:szCs w:val="24"/>
        </w:rPr>
        <w:t xml:space="preserve"> </w:t>
      </w:r>
      <w:proofErr w:type="spellStart"/>
      <w:r w:rsidR="004D2F30">
        <w:rPr>
          <w:i/>
          <w:iCs/>
          <w:sz w:val="24"/>
          <w:szCs w:val="24"/>
        </w:rPr>
        <w:t>T</w:t>
      </w:r>
      <w:r w:rsidR="004D2F30" w:rsidRPr="004D2F30">
        <w:rPr>
          <w:i/>
          <w:iCs/>
          <w:sz w:val="24"/>
          <w:szCs w:val="24"/>
          <w:vertAlign w:val="subscript"/>
        </w:rPr>
        <w:t>p</w:t>
      </w:r>
      <w:proofErr w:type="spellEnd"/>
      <w:r w:rsidR="004D2F30">
        <w:rPr>
          <w:sz w:val="24"/>
          <w:szCs w:val="24"/>
        </w:rPr>
        <w:t>,</w:t>
      </w:r>
      <w:r w:rsidR="004B4424">
        <w:rPr>
          <w:sz w:val="24"/>
          <w:szCs w:val="24"/>
        </w:rPr>
        <w:t xml:space="preserve"> </w:t>
      </w:r>
      <w:r w:rsidR="00F56B02">
        <w:rPr>
          <w:sz w:val="24"/>
          <w:szCs w:val="24"/>
        </w:rPr>
        <w:t xml:space="preserve">mean </w:t>
      </w:r>
      <w:r w:rsidR="000F5283">
        <w:rPr>
          <w:sz w:val="24"/>
          <w:szCs w:val="24"/>
        </w:rPr>
        <w:t xml:space="preserve">wave </w:t>
      </w:r>
      <w:r w:rsidR="004B4424">
        <w:rPr>
          <w:sz w:val="24"/>
          <w:szCs w:val="24"/>
        </w:rPr>
        <w:t>direction</w:t>
      </w:r>
      <w:r w:rsidR="004D2F30">
        <w:rPr>
          <w:sz w:val="24"/>
          <w:szCs w:val="24"/>
        </w:rPr>
        <w:t xml:space="preserve">, </w:t>
      </w:r>
      <w:r w:rsidR="004D2F30">
        <w:rPr>
          <w:i/>
          <w:iCs/>
          <w:sz w:val="24"/>
          <w:szCs w:val="24"/>
        </w:rPr>
        <w:t>θ</w:t>
      </w:r>
      <w:r w:rsidR="004B4424">
        <w:rPr>
          <w:sz w:val="24"/>
          <w:szCs w:val="24"/>
        </w:rPr>
        <w:t xml:space="preserve">, </w:t>
      </w:r>
      <w:r w:rsidR="004D2F30">
        <w:rPr>
          <w:sz w:val="24"/>
          <w:szCs w:val="24"/>
        </w:rPr>
        <w:t xml:space="preserve">and </w:t>
      </w:r>
      <w:r w:rsidR="004B4424">
        <w:rPr>
          <w:sz w:val="24"/>
          <w:szCs w:val="24"/>
        </w:rPr>
        <w:t>significant wave height</w:t>
      </w:r>
      <w:r w:rsidR="004D2F30">
        <w:rPr>
          <w:sz w:val="24"/>
          <w:szCs w:val="24"/>
        </w:rPr>
        <w:t xml:space="preserve">, </w:t>
      </w:r>
      <w:r w:rsidR="004D2F30">
        <w:rPr>
          <w:i/>
          <w:iCs/>
          <w:sz w:val="24"/>
          <w:szCs w:val="24"/>
        </w:rPr>
        <w:t>H</w:t>
      </w:r>
      <w:r w:rsidR="000F5283">
        <w:rPr>
          <w:i/>
          <w:iCs/>
          <w:sz w:val="24"/>
          <w:szCs w:val="24"/>
        </w:rPr>
        <w:t xml:space="preserve"> </w:t>
      </w:r>
      <w:r w:rsidR="000F5283">
        <w:rPr>
          <w:sz w:val="24"/>
          <w:szCs w:val="24"/>
        </w:rPr>
        <w:t>(</w:t>
      </w:r>
      <w:proofErr w:type="spellStart"/>
      <w:r w:rsidR="000F5283" w:rsidRPr="000C03CB">
        <w:rPr>
          <w:sz w:val="24"/>
          <w:szCs w:val="24"/>
        </w:rPr>
        <w:t>Hersbach</w:t>
      </w:r>
      <w:proofErr w:type="spellEnd"/>
      <w:r w:rsidR="000F5283">
        <w:rPr>
          <w:sz w:val="24"/>
          <w:szCs w:val="24"/>
        </w:rPr>
        <w:t xml:space="preserve"> et al., 2020</w:t>
      </w:r>
      <w:r w:rsidR="004D2F30" w:rsidRPr="004D2F30">
        <w:rPr>
          <w:i/>
          <w:iCs/>
          <w:sz w:val="24"/>
          <w:szCs w:val="24"/>
          <w:vertAlign w:val="subscript"/>
        </w:rPr>
        <w:t>s</w:t>
      </w:r>
      <w:r w:rsidR="004B4424">
        <w:rPr>
          <w:sz w:val="24"/>
          <w:szCs w:val="24"/>
        </w:rPr>
        <w:t>)</w:t>
      </w:r>
      <w:r w:rsidR="003C1F4D">
        <w:rPr>
          <w:sz w:val="24"/>
          <w:szCs w:val="24"/>
        </w:rPr>
        <w:t>, mean spring tide range</w:t>
      </w:r>
      <w:r w:rsidR="004D2F30">
        <w:rPr>
          <w:sz w:val="24"/>
          <w:szCs w:val="24"/>
        </w:rPr>
        <w:t xml:space="preserve">, </w:t>
      </w:r>
      <w:r w:rsidR="004D2F30" w:rsidRPr="004D2F30">
        <w:rPr>
          <w:i/>
          <w:iCs/>
          <w:sz w:val="24"/>
          <w:szCs w:val="24"/>
        </w:rPr>
        <w:t>MSTR</w:t>
      </w:r>
      <w:r w:rsidR="003C1F4D">
        <w:rPr>
          <w:sz w:val="24"/>
          <w:szCs w:val="24"/>
        </w:rPr>
        <w:t>,</w:t>
      </w:r>
      <w:r w:rsidR="004B4424">
        <w:rPr>
          <w:sz w:val="24"/>
          <w:szCs w:val="24"/>
        </w:rPr>
        <w:t xml:space="preserve"> </w:t>
      </w:r>
      <w:r w:rsidR="0056119A">
        <w:rPr>
          <w:sz w:val="24"/>
          <w:szCs w:val="24"/>
        </w:rPr>
        <w:t xml:space="preserve">and </w:t>
      </w:r>
      <w:r w:rsidR="0013602A" w:rsidRPr="0013602A">
        <w:rPr>
          <w:sz w:val="24"/>
          <w:szCs w:val="24"/>
        </w:rPr>
        <w:t xml:space="preserve">satellite-derived </w:t>
      </w:r>
      <w:r w:rsidR="004B4424">
        <w:rPr>
          <w:sz w:val="24"/>
          <w:szCs w:val="24"/>
        </w:rPr>
        <w:t>shoreline trend</w:t>
      </w:r>
      <w:r w:rsidR="004D2F30">
        <w:rPr>
          <w:sz w:val="24"/>
          <w:szCs w:val="24"/>
        </w:rPr>
        <w:t xml:space="preserve">, </w:t>
      </w:r>
      <w:r w:rsidR="004D2F30" w:rsidRPr="004D2F30">
        <w:rPr>
          <w:i/>
          <w:iCs/>
          <w:sz w:val="24"/>
          <w:szCs w:val="24"/>
        </w:rPr>
        <w:t>S</w:t>
      </w:r>
      <w:r w:rsidR="004D2F30">
        <w:rPr>
          <w:sz w:val="24"/>
          <w:szCs w:val="24"/>
        </w:rPr>
        <w:t>,</w:t>
      </w:r>
      <w:r w:rsidR="004B4424">
        <w:rPr>
          <w:sz w:val="24"/>
          <w:szCs w:val="24"/>
        </w:rPr>
        <w:t xml:space="preserve"> (Vos et al., 2019) and </w:t>
      </w:r>
      <w:r w:rsidR="00DC4447">
        <w:rPr>
          <w:sz w:val="24"/>
          <w:szCs w:val="24"/>
        </w:rPr>
        <w:t xml:space="preserve">intertidal </w:t>
      </w:r>
      <w:r w:rsidR="004B4424">
        <w:rPr>
          <w:sz w:val="24"/>
          <w:szCs w:val="24"/>
        </w:rPr>
        <w:t>slope</w:t>
      </w:r>
      <w:r w:rsidR="004D2F30">
        <w:rPr>
          <w:sz w:val="24"/>
          <w:szCs w:val="24"/>
        </w:rPr>
        <w:t xml:space="preserve">, </w:t>
      </w:r>
      <w:r w:rsidR="004D2F30" w:rsidRPr="004D2F30">
        <w:rPr>
          <w:i/>
          <w:iCs/>
          <w:sz w:val="24"/>
          <w:szCs w:val="24"/>
        </w:rPr>
        <w:t>β</w:t>
      </w:r>
      <w:r w:rsidR="004D2F30">
        <w:rPr>
          <w:sz w:val="24"/>
          <w:szCs w:val="24"/>
        </w:rPr>
        <w:t>,</w:t>
      </w:r>
      <w:r w:rsidR="004B4424">
        <w:rPr>
          <w:sz w:val="24"/>
          <w:szCs w:val="24"/>
        </w:rPr>
        <w:t xml:space="preserve"> (Vos et al., 2020)</w:t>
      </w:r>
      <w:r w:rsidR="0013602A" w:rsidRPr="0013602A">
        <w:rPr>
          <w:sz w:val="24"/>
          <w:szCs w:val="24"/>
        </w:rPr>
        <w:t>.</w:t>
      </w:r>
      <w:r w:rsidR="006651E5">
        <w:rPr>
          <w:sz w:val="24"/>
          <w:szCs w:val="24"/>
        </w:rPr>
        <w:t xml:space="preserve"> Our </w:t>
      </w:r>
      <w:r w:rsidR="006651E5" w:rsidRPr="006651E5">
        <w:rPr>
          <w:sz w:val="24"/>
          <w:szCs w:val="24"/>
        </w:rPr>
        <w:t>GBRT regressors are additive models</w:t>
      </w:r>
      <w:r w:rsidR="003C1F4D">
        <w:rPr>
          <w:sz w:val="24"/>
          <w:szCs w:val="24"/>
        </w:rPr>
        <w:t xml:space="preserve">. </w:t>
      </w:r>
      <w:r w:rsidR="006651E5" w:rsidRPr="006651E5">
        <w:rPr>
          <w:sz w:val="24"/>
          <w:szCs w:val="24"/>
        </w:rPr>
        <w:t xml:space="preserve">At each stage of gradient boosting, </w:t>
      </w:r>
      <w:r w:rsidR="003C1F4D">
        <w:rPr>
          <w:sz w:val="24"/>
          <w:szCs w:val="24"/>
        </w:rPr>
        <w:t>a decision tree (a so-called</w:t>
      </w:r>
      <w:r w:rsidR="006651E5" w:rsidRPr="006651E5">
        <w:rPr>
          <w:sz w:val="24"/>
          <w:szCs w:val="24"/>
        </w:rPr>
        <w:t xml:space="preserve"> </w:t>
      </w:r>
      <w:r w:rsidR="003C1F4D">
        <w:rPr>
          <w:sz w:val="24"/>
          <w:szCs w:val="24"/>
        </w:rPr>
        <w:t>“</w:t>
      </w:r>
      <w:r w:rsidR="006651E5" w:rsidRPr="006651E5">
        <w:rPr>
          <w:sz w:val="24"/>
          <w:szCs w:val="24"/>
        </w:rPr>
        <w:t>imperfect estimator</w:t>
      </w:r>
      <w:r w:rsidR="003C1F4D">
        <w:rPr>
          <w:sz w:val="24"/>
          <w:szCs w:val="24"/>
        </w:rPr>
        <w:t>”)</w:t>
      </w:r>
      <w:r w:rsidR="006651E5" w:rsidRPr="006651E5">
        <w:rPr>
          <w:sz w:val="24"/>
          <w:szCs w:val="24"/>
        </w:rPr>
        <w:t xml:space="preserve">, </w:t>
      </w:r>
      <w:r w:rsidR="006651E5" w:rsidRPr="006651E5">
        <w:rPr>
          <w:i/>
          <w:iCs/>
          <w:sz w:val="24"/>
          <w:szCs w:val="24"/>
        </w:rPr>
        <w:t>h</w:t>
      </w:r>
      <w:r w:rsidR="006651E5" w:rsidRPr="006651E5">
        <w:rPr>
          <w:i/>
          <w:iCs/>
          <w:sz w:val="24"/>
          <w:szCs w:val="24"/>
          <w:vertAlign w:val="subscript"/>
        </w:rPr>
        <w:t>m</w:t>
      </w:r>
      <w:r w:rsidR="006651E5" w:rsidRPr="006651E5">
        <w:rPr>
          <w:sz w:val="24"/>
          <w:szCs w:val="24"/>
        </w:rPr>
        <w:t>, is fit to the data. The model improves progressively by adding a new</w:t>
      </w:r>
      <w:r w:rsidR="006651E5">
        <w:rPr>
          <w:sz w:val="24"/>
          <w:szCs w:val="24"/>
        </w:rPr>
        <w:t xml:space="preserve"> </w:t>
      </w:r>
      <w:r w:rsidR="006651E5" w:rsidRPr="006651E5">
        <w:rPr>
          <w:sz w:val="24"/>
          <w:szCs w:val="24"/>
        </w:rPr>
        <w:t>estimator</w:t>
      </w:r>
      <w:r w:rsidR="006651E5">
        <w:rPr>
          <w:sz w:val="24"/>
          <w:szCs w:val="24"/>
        </w:rPr>
        <w:t xml:space="preserve">, </w:t>
      </w:r>
      <w:r w:rsidR="006651E5" w:rsidRPr="006651E5">
        <w:rPr>
          <w:sz w:val="24"/>
          <w:szCs w:val="24"/>
        </w:rPr>
        <w:t>fitted to minimize a sum of losses</w:t>
      </w:r>
      <w:r w:rsidR="006651E5">
        <w:rPr>
          <w:sz w:val="24"/>
          <w:szCs w:val="24"/>
        </w:rPr>
        <w:t xml:space="preserve"> (we use mean-square error)</w:t>
      </w:r>
      <w:r w:rsidR="006651E5" w:rsidRPr="006651E5">
        <w:rPr>
          <w:sz w:val="24"/>
          <w:szCs w:val="24"/>
        </w:rPr>
        <w:t>, given the previous ensemble</w:t>
      </w:r>
      <w:r w:rsidR="006651E5">
        <w:rPr>
          <w:sz w:val="24"/>
          <w:szCs w:val="24"/>
        </w:rPr>
        <w:t xml:space="preserve">. </w:t>
      </w:r>
      <w:r w:rsidR="009112A8" w:rsidRPr="009112A8">
        <w:rPr>
          <w:sz w:val="24"/>
          <w:szCs w:val="24"/>
        </w:rPr>
        <w:t xml:space="preserve">We use </w:t>
      </w:r>
      <w:r w:rsidR="006651E5">
        <w:rPr>
          <w:sz w:val="24"/>
          <w:szCs w:val="24"/>
        </w:rPr>
        <w:t xml:space="preserve">a combination of </w:t>
      </w:r>
      <w:r w:rsidR="009112A8" w:rsidRPr="009112A8">
        <w:rPr>
          <w:sz w:val="24"/>
          <w:szCs w:val="24"/>
        </w:rPr>
        <w:t>feature engineering</w:t>
      </w:r>
      <w:r w:rsidR="006651E5">
        <w:rPr>
          <w:sz w:val="24"/>
          <w:szCs w:val="24"/>
        </w:rPr>
        <w:t xml:space="preserve"> and partial correlation analysis</w:t>
      </w:r>
      <w:r w:rsidR="009112A8" w:rsidRPr="009112A8">
        <w:rPr>
          <w:sz w:val="24"/>
          <w:szCs w:val="24"/>
        </w:rPr>
        <w:t xml:space="preserve"> to determine an optimal set of covariates</w:t>
      </w:r>
      <w:r w:rsidR="009112A8">
        <w:rPr>
          <w:sz w:val="24"/>
          <w:szCs w:val="24"/>
        </w:rPr>
        <w:t xml:space="preserve">, </w:t>
      </w:r>
      <w:r w:rsidR="009112A8" w:rsidRPr="009112A8">
        <w:rPr>
          <w:sz w:val="24"/>
          <w:szCs w:val="24"/>
        </w:rPr>
        <w:t>involv</w:t>
      </w:r>
      <w:r w:rsidR="009112A8">
        <w:rPr>
          <w:sz w:val="24"/>
          <w:szCs w:val="24"/>
        </w:rPr>
        <w:t>ing</w:t>
      </w:r>
      <w:r w:rsidR="009112A8" w:rsidRPr="009112A8">
        <w:rPr>
          <w:sz w:val="24"/>
          <w:szCs w:val="24"/>
        </w:rPr>
        <w:t xml:space="preserve"> trials</w:t>
      </w:r>
      <w:r w:rsidR="009112A8">
        <w:rPr>
          <w:sz w:val="24"/>
          <w:szCs w:val="24"/>
        </w:rPr>
        <w:t xml:space="preserve"> </w:t>
      </w:r>
      <w:r w:rsidR="009112A8" w:rsidRPr="009112A8">
        <w:rPr>
          <w:sz w:val="24"/>
          <w:szCs w:val="24"/>
        </w:rPr>
        <w:t xml:space="preserve">of select combinations of variables among </w:t>
      </w:r>
      <w:r w:rsidR="009112A8">
        <w:rPr>
          <w:sz w:val="24"/>
          <w:szCs w:val="24"/>
        </w:rPr>
        <w:t>candidate covariates.</w:t>
      </w:r>
      <w:r w:rsidR="004B4424">
        <w:rPr>
          <w:sz w:val="24"/>
          <w:szCs w:val="24"/>
        </w:rPr>
        <w:t xml:space="preserve"> Covariates </w:t>
      </w:r>
      <w:r w:rsidR="004B4424" w:rsidRPr="009112A8">
        <w:rPr>
          <w:i/>
          <w:iCs/>
          <w:sz w:val="24"/>
          <w:szCs w:val="24"/>
        </w:rPr>
        <w:t>X</w:t>
      </w:r>
      <w:r w:rsidR="004B4424" w:rsidRPr="009112A8">
        <w:rPr>
          <w:i/>
          <w:iCs/>
          <w:sz w:val="24"/>
          <w:szCs w:val="24"/>
          <w:vertAlign w:val="subscript"/>
        </w:rPr>
        <w:t>i</w:t>
      </w:r>
      <w:r w:rsidR="004B4424">
        <w:rPr>
          <w:sz w:val="24"/>
          <w:szCs w:val="24"/>
        </w:rPr>
        <w:t xml:space="preserve"> are </w:t>
      </w:r>
      <w:r w:rsidR="003C1F4D">
        <w:rPr>
          <w:sz w:val="24"/>
          <w:szCs w:val="24"/>
        </w:rPr>
        <w:t xml:space="preserve">a) </w:t>
      </w:r>
      <w:r w:rsidR="00F56B02">
        <w:rPr>
          <w:sz w:val="24"/>
          <w:szCs w:val="24"/>
        </w:rPr>
        <w:t xml:space="preserve">sampled using </w:t>
      </w:r>
      <w:r w:rsidR="003C1F4D">
        <w:rPr>
          <w:sz w:val="24"/>
          <w:szCs w:val="24"/>
        </w:rPr>
        <w:t>stratifi</w:t>
      </w:r>
      <w:r w:rsidR="00F56B02">
        <w:rPr>
          <w:sz w:val="24"/>
          <w:szCs w:val="24"/>
        </w:rPr>
        <w:t>cation</w:t>
      </w:r>
      <w:r w:rsidR="003C1F4D">
        <w:rPr>
          <w:sz w:val="24"/>
          <w:szCs w:val="24"/>
        </w:rPr>
        <w:t xml:space="preserve"> </w:t>
      </w:r>
      <w:r w:rsidR="00575C6C">
        <w:rPr>
          <w:sz w:val="24"/>
          <w:szCs w:val="24"/>
        </w:rPr>
        <w:t>(</w:t>
      </w:r>
      <w:r w:rsidR="004905AF">
        <w:rPr>
          <w:sz w:val="24"/>
          <w:szCs w:val="24"/>
        </w:rPr>
        <w:t xml:space="preserve">in the case study </w:t>
      </w:r>
      <w:r w:rsidR="00575C6C">
        <w:rPr>
          <w:sz w:val="24"/>
          <w:szCs w:val="24"/>
        </w:rPr>
        <w:t xml:space="preserve">below, </w:t>
      </w:r>
      <w:r w:rsidR="003C1F4D">
        <w:rPr>
          <w:sz w:val="24"/>
          <w:szCs w:val="24"/>
        </w:rPr>
        <w:t xml:space="preserve">by </w:t>
      </w:r>
      <w:r w:rsidR="00AC24A0" w:rsidRPr="00AC24A0">
        <w:rPr>
          <w:sz w:val="24"/>
          <w:szCs w:val="24"/>
        </w:rPr>
        <w:t>latitude</w:t>
      </w:r>
      <w:r w:rsidR="00575C6C">
        <w:rPr>
          <w:sz w:val="24"/>
          <w:szCs w:val="24"/>
        </w:rPr>
        <w:t>)</w:t>
      </w:r>
      <w:r w:rsidR="003C1F4D">
        <w:rPr>
          <w:sz w:val="24"/>
          <w:szCs w:val="24"/>
        </w:rPr>
        <w:t xml:space="preserve">, b) </w:t>
      </w:r>
      <w:r w:rsidR="004B4424">
        <w:rPr>
          <w:sz w:val="24"/>
          <w:szCs w:val="24"/>
        </w:rPr>
        <w:t>standardized</w:t>
      </w:r>
      <w:r w:rsidR="003C1F4D">
        <w:rPr>
          <w:sz w:val="24"/>
          <w:szCs w:val="24"/>
        </w:rPr>
        <w:t>,</w:t>
      </w:r>
      <w:r w:rsidR="004B4424">
        <w:rPr>
          <w:sz w:val="24"/>
          <w:szCs w:val="24"/>
        </w:rPr>
        <w:t xml:space="preserve"> and </w:t>
      </w:r>
      <w:r w:rsidR="003C1F4D">
        <w:rPr>
          <w:sz w:val="24"/>
          <w:szCs w:val="24"/>
        </w:rPr>
        <w:t xml:space="preserve">c) </w:t>
      </w:r>
      <w:r w:rsidR="004B4424">
        <w:rPr>
          <w:sz w:val="24"/>
          <w:szCs w:val="24"/>
        </w:rPr>
        <w:t xml:space="preserve">include a random number vector to assess the importance of variables relative to random. </w:t>
      </w:r>
    </w:p>
    <w:p w14:paraId="6E615A3F" w14:textId="27D0245D" w:rsidR="006651E5" w:rsidRDefault="006651E5" w:rsidP="009112A8">
      <w:pPr>
        <w:pStyle w:val="BodyText2"/>
        <w:wordWrap/>
        <w:spacing w:line="240" w:lineRule="exact"/>
        <w:ind w:firstLine="360"/>
        <w:rPr>
          <w:sz w:val="24"/>
          <w:szCs w:val="24"/>
        </w:rPr>
      </w:pPr>
    </w:p>
    <w:p w14:paraId="35FE1D13" w14:textId="19E76362" w:rsidR="006651E5" w:rsidRPr="00570A65" w:rsidRDefault="006651E5" w:rsidP="006651E5">
      <w:pPr>
        <w:pStyle w:val="BodyText2"/>
        <w:numPr>
          <w:ilvl w:val="0"/>
          <w:numId w:val="1"/>
        </w:numPr>
        <w:wordWrap/>
        <w:spacing w:line="24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Case study: </w:t>
      </w:r>
      <w:r w:rsidR="008A0171">
        <w:rPr>
          <w:b/>
          <w:sz w:val="24"/>
          <w:szCs w:val="24"/>
        </w:rPr>
        <w:t xml:space="preserve">Southeast </w:t>
      </w:r>
      <w:r>
        <w:rPr>
          <w:b/>
          <w:sz w:val="24"/>
          <w:szCs w:val="24"/>
        </w:rPr>
        <w:t>U.S.</w:t>
      </w:r>
      <w:r w:rsidR="008A0171">
        <w:rPr>
          <w:b/>
          <w:sz w:val="24"/>
          <w:szCs w:val="24"/>
        </w:rPr>
        <w:t>A.</w:t>
      </w:r>
      <w:r>
        <w:rPr>
          <w:b/>
          <w:sz w:val="24"/>
          <w:szCs w:val="24"/>
        </w:rPr>
        <w:t xml:space="preserve"> beaches</w:t>
      </w:r>
    </w:p>
    <w:p w14:paraId="4768A29E" w14:textId="58BE2F5C" w:rsidR="00091633" w:rsidRPr="001B69CB" w:rsidRDefault="00312480" w:rsidP="008C6390">
      <w:pPr>
        <w:pStyle w:val="BodyText2"/>
        <w:wordWrap/>
        <w:spacing w:line="240" w:lineRule="exact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To illustrate the modeling framework, </w:t>
      </w:r>
      <w:r w:rsidR="00F56B02">
        <w:rPr>
          <w:sz w:val="24"/>
          <w:szCs w:val="24"/>
        </w:rPr>
        <w:t>existing</w:t>
      </w:r>
      <w:r w:rsidR="009D604A">
        <w:rPr>
          <w:sz w:val="24"/>
          <w:szCs w:val="24"/>
        </w:rPr>
        <w:t xml:space="preserve"> grain-size </w:t>
      </w:r>
      <w:r>
        <w:rPr>
          <w:sz w:val="24"/>
          <w:szCs w:val="24"/>
        </w:rPr>
        <w:t xml:space="preserve">data </w:t>
      </w:r>
      <w:r w:rsidR="00F56B02">
        <w:rPr>
          <w:sz w:val="24"/>
          <w:szCs w:val="24"/>
        </w:rPr>
        <w:t xml:space="preserve">in the literature </w:t>
      </w:r>
      <w:r>
        <w:rPr>
          <w:sz w:val="24"/>
          <w:szCs w:val="24"/>
        </w:rPr>
        <w:t xml:space="preserve">were compiled </w:t>
      </w:r>
      <w:r w:rsidR="009D604A" w:rsidRPr="009274FE">
        <w:rPr>
          <w:sz w:val="24"/>
          <w:szCs w:val="24"/>
        </w:rPr>
        <w:t xml:space="preserve">from </w:t>
      </w:r>
      <w:r w:rsidR="009D604A">
        <w:rPr>
          <w:sz w:val="24"/>
          <w:szCs w:val="24"/>
        </w:rPr>
        <w:t>270</w:t>
      </w:r>
      <w:r w:rsidR="009D604A" w:rsidRPr="009274FE">
        <w:rPr>
          <w:sz w:val="24"/>
          <w:szCs w:val="24"/>
        </w:rPr>
        <w:t xml:space="preserve"> sand beaches</w:t>
      </w:r>
      <w:r w:rsidR="009D604A">
        <w:rPr>
          <w:sz w:val="24"/>
          <w:szCs w:val="24"/>
        </w:rPr>
        <w:t xml:space="preserve"> sampled within the last 10 years</w:t>
      </w:r>
      <w:r w:rsidR="004972F9">
        <w:rPr>
          <w:sz w:val="24"/>
          <w:szCs w:val="24"/>
        </w:rPr>
        <w:t>,</w:t>
      </w:r>
      <w:r w:rsidR="009D604A">
        <w:rPr>
          <w:sz w:val="24"/>
          <w:szCs w:val="24"/>
        </w:rPr>
        <w:t xml:space="preserve"> covering</w:t>
      </w:r>
      <w:r w:rsidR="009D604A" w:rsidRPr="00312480">
        <w:rPr>
          <w:sz w:val="24"/>
          <w:szCs w:val="24"/>
        </w:rPr>
        <w:t xml:space="preserve"> </w:t>
      </w:r>
      <w:r w:rsidRPr="00312480">
        <w:rPr>
          <w:sz w:val="24"/>
          <w:szCs w:val="24"/>
        </w:rPr>
        <w:t xml:space="preserve">approximately 1800 km of shoreline </w:t>
      </w:r>
      <w:r w:rsidR="00A06647">
        <w:rPr>
          <w:sz w:val="24"/>
          <w:szCs w:val="24"/>
        </w:rPr>
        <w:t>along</w:t>
      </w:r>
      <w:r w:rsidRPr="00312480">
        <w:rPr>
          <w:sz w:val="24"/>
          <w:szCs w:val="24"/>
        </w:rPr>
        <w:t xml:space="preserve"> Florida, Georgia, South Carolina, North Carolina, and Virginia</w:t>
      </w:r>
      <w:r w:rsidR="009D604A" w:rsidRPr="009D604A">
        <w:rPr>
          <w:sz w:val="24"/>
          <w:szCs w:val="24"/>
        </w:rPr>
        <w:t xml:space="preserve"> </w:t>
      </w:r>
      <w:r w:rsidR="009D604A">
        <w:rPr>
          <w:sz w:val="24"/>
          <w:szCs w:val="24"/>
        </w:rPr>
        <w:t xml:space="preserve">in southeast </w:t>
      </w:r>
      <w:r w:rsidR="009D604A" w:rsidRPr="00312480">
        <w:rPr>
          <w:sz w:val="24"/>
          <w:szCs w:val="24"/>
        </w:rPr>
        <w:t>U.S.</w:t>
      </w:r>
      <w:r w:rsidR="009D604A">
        <w:rPr>
          <w:sz w:val="24"/>
          <w:szCs w:val="24"/>
        </w:rPr>
        <w:t>A</w:t>
      </w:r>
      <w:r w:rsidRPr="00312480">
        <w:rPr>
          <w:sz w:val="24"/>
          <w:szCs w:val="24"/>
        </w:rPr>
        <w:t xml:space="preserve">. </w:t>
      </w:r>
      <w:r w:rsidR="00DA7D76">
        <w:rPr>
          <w:sz w:val="24"/>
          <w:szCs w:val="24"/>
        </w:rPr>
        <w:t xml:space="preserve">Figure 1a-f shows the results from </w:t>
      </w:r>
      <w:r w:rsidR="00C96056">
        <w:rPr>
          <w:sz w:val="24"/>
          <w:szCs w:val="24"/>
        </w:rPr>
        <w:t xml:space="preserve">6 </w:t>
      </w:r>
      <w:r w:rsidR="00DA7D76">
        <w:rPr>
          <w:sz w:val="24"/>
          <w:szCs w:val="24"/>
        </w:rPr>
        <w:t xml:space="preserve">models trained on a reproducibly random draw of 25% of those data, in the form of observed versus estimated </w:t>
      </w:r>
      <w:r w:rsidR="00DA7D76" w:rsidRPr="00F703B2">
        <w:rPr>
          <w:i/>
          <w:iCs/>
          <w:sz w:val="24"/>
          <w:szCs w:val="24"/>
        </w:rPr>
        <w:t>D</w:t>
      </w:r>
      <w:r w:rsidR="00DA7D76" w:rsidRPr="00F703B2">
        <w:rPr>
          <w:i/>
          <w:iCs/>
          <w:sz w:val="24"/>
          <w:szCs w:val="24"/>
          <w:vertAlign w:val="subscript"/>
        </w:rPr>
        <w:t>50</w:t>
      </w:r>
      <w:r w:rsidR="00DA7D76">
        <w:rPr>
          <w:i/>
          <w:iCs/>
          <w:sz w:val="24"/>
          <w:szCs w:val="24"/>
          <w:vertAlign w:val="subscript"/>
        </w:rPr>
        <w:t xml:space="preserve"> </w:t>
      </w:r>
      <w:r w:rsidR="00DA7D76">
        <w:rPr>
          <w:sz w:val="24"/>
          <w:szCs w:val="24"/>
        </w:rPr>
        <w:t xml:space="preserve">for the remaining 75% of data. </w:t>
      </w:r>
      <w:r w:rsidR="004D2F30">
        <w:rPr>
          <w:sz w:val="24"/>
          <w:szCs w:val="24"/>
        </w:rPr>
        <w:t>T</w:t>
      </w:r>
      <w:r w:rsidR="00DA7D76">
        <w:rPr>
          <w:sz w:val="24"/>
          <w:szCs w:val="24"/>
        </w:rPr>
        <w:t xml:space="preserve">he baseline models of </w:t>
      </w:r>
      <w:proofErr w:type="spellStart"/>
      <w:r w:rsidR="00DA7D76" w:rsidRPr="007A7070">
        <w:rPr>
          <w:sz w:val="24"/>
          <w:szCs w:val="24"/>
        </w:rPr>
        <w:t>Bujan</w:t>
      </w:r>
      <w:proofErr w:type="spellEnd"/>
      <w:r w:rsidR="00DA7D76">
        <w:rPr>
          <w:sz w:val="24"/>
          <w:szCs w:val="24"/>
        </w:rPr>
        <w:t xml:space="preserve"> </w:t>
      </w:r>
      <w:r w:rsidR="00DA7D76" w:rsidRPr="007A7070">
        <w:rPr>
          <w:sz w:val="24"/>
          <w:szCs w:val="24"/>
        </w:rPr>
        <w:t xml:space="preserve">et al., </w:t>
      </w:r>
      <w:r w:rsidR="00DA7D76">
        <w:rPr>
          <w:sz w:val="24"/>
          <w:szCs w:val="24"/>
        </w:rPr>
        <w:t>(</w:t>
      </w:r>
      <w:r w:rsidR="00DA7D76" w:rsidRPr="007A7070">
        <w:rPr>
          <w:sz w:val="24"/>
          <w:szCs w:val="24"/>
        </w:rPr>
        <w:t>2019</w:t>
      </w:r>
      <w:r w:rsidR="00DA7D76">
        <w:rPr>
          <w:sz w:val="24"/>
          <w:szCs w:val="24"/>
        </w:rPr>
        <w:t>) and McFall, (2019)</w:t>
      </w:r>
      <w:r w:rsidR="004D2F30">
        <w:rPr>
          <w:sz w:val="24"/>
          <w:szCs w:val="24"/>
        </w:rPr>
        <w:t xml:space="preserve"> perform less well (Figure 1g)</w:t>
      </w:r>
      <w:r w:rsidR="00DA7D76">
        <w:rPr>
          <w:sz w:val="24"/>
          <w:szCs w:val="24"/>
        </w:rPr>
        <w:t xml:space="preserve">. The </w:t>
      </w:r>
      <w:r w:rsidR="00DC3E52" w:rsidRPr="004D2F30">
        <w:rPr>
          <w:i/>
          <w:iCs/>
          <w:sz w:val="24"/>
          <w:szCs w:val="24"/>
        </w:rPr>
        <w:t>β</w:t>
      </w:r>
      <w:r w:rsidR="00317E90">
        <w:rPr>
          <w:sz w:val="24"/>
          <w:szCs w:val="24"/>
        </w:rPr>
        <w:t xml:space="preserve"> </w:t>
      </w:r>
      <w:r w:rsidR="00DC3E52">
        <w:rPr>
          <w:sz w:val="24"/>
          <w:szCs w:val="24"/>
        </w:rPr>
        <w:t xml:space="preserve">and </w:t>
      </w:r>
      <w:r w:rsidR="00DC3E52" w:rsidRPr="004D2F30">
        <w:rPr>
          <w:i/>
          <w:iCs/>
          <w:sz w:val="24"/>
          <w:szCs w:val="24"/>
        </w:rPr>
        <w:t>MSTR</w:t>
      </w:r>
      <w:r w:rsidR="00DC3E52">
        <w:rPr>
          <w:sz w:val="24"/>
          <w:szCs w:val="24"/>
        </w:rPr>
        <w:t xml:space="preserve"> </w:t>
      </w:r>
      <w:r w:rsidR="00DA7D76">
        <w:rPr>
          <w:sz w:val="24"/>
          <w:szCs w:val="24"/>
        </w:rPr>
        <w:t>model</w:t>
      </w:r>
      <w:r w:rsidR="00DC3E52">
        <w:rPr>
          <w:sz w:val="24"/>
          <w:szCs w:val="24"/>
        </w:rPr>
        <w:t xml:space="preserve"> </w:t>
      </w:r>
      <w:r w:rsidR="001B69CB">
        <w:rPr>
          <w:sz w:val="24"/>
          <w:szCs w:val="24"/>
        </w:rPr>
        <w:t xml:space="preserve">(Figure 1c) </w:t>
      </w:r>
      <w:r w:rsidR="00DC3E52">
        <w:rPr>
          <w:sz w:val="24"/>
          <w:szCs w:val="24"/>
        </w:rPr>
        <w:t xml:space="preserve">has </w:t>
      </w:r>
      <w:r w:rsidR="004D2F30">
        <w:rPr>
          <w:sz w:val="24"/>
          <w:szCs w:val="24"/>
        </w:rPr>
        <w:t>a R</w:t>
      </w:r>
      <w:r w:rsidR="004D2F30" w:rsidRPr="004D2F30">
        <w:rPr>
          <w:sz w:val="24"/>
          <w:szCs w:val="24"/>
          <w:vertAlign w:val="superscript"/>
        </w:rPr>
        <w:t>2</w:t>
      </w:r>
      <w:r w:rsidR="004D2F30">
        <w:rPr>
          <w:sz w:val="24"/>
          <w:szCs w:val="24"/>
        </w:rPr>
        <w:t xml:space="preserve"> of </w:t>
      </w:r>
      <w:r w:rsidR="005465EE">
        <w:rPr>
          <w:sz w:val="24"/>
          <w:szCs w:val="24"/>
        </w:rPr>
        <w:t>~</w:t>
      </w:r>
      <w:r w:rsidR="004D2F30">
        <w:rPr>
          <w:sz w:val="24"/>
          <w:szCs w:val="24"/>
        </w:rPr>
        <w:t>0.</w:t>
      </w:r>
      <w:r w:rsidR="00317E90">
        <w:rPr>
          <w:sz w:val="24"/>
          <w:szCs w:val="24"/>
        </w:rPr>
        <w:t>8</w:t>
      </w:r>
      <w:r w:rsidR="004D2F30">
        <w:rPr>
          <w:sz w:val="24"/>
          <w:szCs w:val="24"/>
        </w:rPr>
        <w:t xml:space="preserve"> and</w:t>
      </w:r>
      <w:r w:rsidR="00DA7D76">
        <w:rPr>
          <w:sz w:val="24"/>
          <w:szCs w:val="24"/>
        </w:rPr>
        <w:t xml:space="preserve"> a mean error of </w:t>
      </w:r>
      <w:r w:rsidR="005465EE">
        <w:rPr>
          <w:sz w:val="24"/>
          <w:szCs w:val="24"/>
        </w:rPr>
        <w:t>~</w:t>
      </w:r>
      <w:r w:rsidR="001B69CB">
        <w:rPr>
          <w:sz w:val="24"/>
          <w:szCs w:val="24"/>
        </w:rPr>
        <w:t>1</w:t>
      </w:r>
      <w:r w:rsidR="00DA7D76">
        <w:rPr>
          <w:sz w:val="24"/>
          <w:szCs w:val="24"/>
        </w:rPr>
        <w:t>2%</w:t>
      </w:r>
      <w:r w:rsidR="004D2F30">
        <w:rPr>
          <w:sz w:val="24"/>
          <w:szCs w:val="24"/>
        </w:rPr>
        <w:t xml:space="preserve">. </w:t>
      </w:r>
      <w:r w:rsidR="00DC3E52">
        <w:rPr>
          <w:sz w:val="24"/>
          <w:szCs w:val="24"/>
        </w:rPr>
        <w:t xml:space="preserve">A repeated </w:t>
      </w:r>
      <w:r w:rsidR="00DC3E52" w:rsidRPr="004905AF">
        <w:rPr>
          <w:i/>
          <w:iCs/>
          <w:sz w:val="24"/>
          <w:szCs w:val="24"/>
        </w:rPr>
        <w:t>K</w:t>
      </w:r>
      <w:r w:rsidR="00DC3E52">
        <w:rPr>
          <w:sz w:val="24"/>
          <w:szCs w:val="24"/>
        </w:rPr>
        <w:t>-fold cross-validation (</w:t>
      </w:r>
      <w:r w:rsidR="00DC3E52" w:rsidRPr="004905AF">
        <w:rPr>
          <w:i/>
          <w:iCs/>
          <w:sz w:val="24"/>
          <w:szCs w:val="24"/>
        </w:rPr>
        <w:t>K</w:t>
      </w:r>
      <w:r w:rsidR="00DC3E52">
        <w:rPr>
          <w:sz w:val="24"/>
          <w:szCs w:val="24"/>
        </w:rPr>
        <w:t xml:space="preserve"> = 10, number of repeats = 5) of </w:t>
      </w:r>
      <w:r w:rsidR="001B69CB">
        <w:rPr>
          <w:sz w:val="24"/>
          <w:szCs w:val="24"/>
        </w:rPr>
        <w:t>that</w:t>
      </w:r>
      <w:r w:rsidR="00DC3E52">
        <w:rPr>
          <w:sz w:val="24"/>
          <w:szCs w:val="24"/>
        </w:rPr>
        <w:t xml:space="preserve"> model yields a mean squared error of 0.</w:t>
      </w:r>
      <w:r w:rsidR="001B69CB">
        <w:rPr>
          <w:sz w:val="24"/>
          <w:szCs w:val="24"/>
        </w:rPr>
        <w:t>04</w:t>
      </w:r>
      <w:r w:rsidR="00DC3E52">
        <w:rPr>
          <w:sz w:val="24"/>
          <w:szCs w:val="24"/>
        </w:rPr>
        <w:t xml:space="preserve"> mm. A less-parsimonious </w:t>
      </w:r>
      <w:r w:rsidR="004D2F30">
        <w:rPr>
          <w:sz w:val="24"/>
          <w:szCs w:val="24"/>
        </w:rPr>
        <w:t xml:space="preserve">model constructed using </w:t>
      </w:r>
      <w:r w:rsidR="00DC3E52" w:rsidRPr="004D2F30">
        <w:rPr>
          <w:i/>
          <w:iCs/>
          <w:sz w:val="24"/>
          <w:szCs w:val="24"/>
        </w:rPr>
        <w:t>β</w:t>
      </w:r>
      <w:r w:rsidR="00DC3E52">
        <w:rPr>
          <w:i/>
          <w:iCs/>
          <w:sz w:val="24"/>
          <w:szCs w:val="24"/>
        </w:rPr>
        <w:t>,</w:t>
      </w:r>
      <w:r w:rsidR="00DC3E52" w:rsidRPr="004D2F30">
        <w:rPr>
          <w:i/>
          <w:iCs/>
          <w:sz w:val="24"/>
          <w:szCs w:val="24"/>
        </w:rPr>
        <w:t xml:space="preserve"> </w:t>
      </w:r>
      <w:r w:rsidR="004D2F30" w:rsidRPr="004D2F30">
        <w:rPr>
          <w:i/>
          <w:iCs/>
          <w:sz w:val="24"/>
          <w:szCs w:val="24"/>
        </w:rPr>
        <w:t>MSTR</w:t>
      </w:r>
      <w:r w:rsidR="004D2F30">
        <w:rPr>
          <w:i/>
          <w:iCs/>
          <w:sz w:val="24"/>
          <w:szCs w:val="24"/>
        </w:rPr>
        <w:t>, H</w:t>
      </w:r>
      <w:r w:rsidR="004D2F30" w:rsidRPr="004D2F30">
        <w:rPr>
          <w:i/>
          <w:iCs/>
          <w:sz w:val="24"/>
          <w:szCs w:val="24"/>
          <w:vertAlign w:val="subscript"/>
        </w:rPr>
        <w:t>s</w:t>
      </w:r>
      <w:r w:rsidR="004D2F30">
        <w:rPr>
          <w:i/>
          <w:iCs/>
          <w:sz w:val="24"/>
          <w:szCs w:val="24"/>
        </w:rPr>
        <w:t xml:space="preserve">, </w:t>
      </w:r>
      <w:proofErr w:type="spellStart"/>
      <w:r w:rsidR="004D2F30">
        <w:rPr>
          <w:i/>
          <w:iCs/>
          <w:sz w:val="24"/>
          <w:szCs w:val="24"/>
        </w:rPr>
        <w:t>T</w:t>
      </w:r>
      <w:r w:rsidR="004D2F30" w:rsidRPr="004D2F30">
        <w:rPr>
          <w:i/>
          <w:iCs/>
          <w:sz w:val="24"/>
          <w:szCs w:val="24"/>
          <w:vertAlign w:val="subscript"/>
        </w:rPr>
        <w:t>p</w:t>
      </w:r>
      <w:proofErr w:type="spellEnd"/>
      <w:r w:rsidR="004D2F30">
        <w:rPr>
          <w:i/>
          <w:iCs/>
          <w:sz w:val="24"/>
          <w:szCs w:val="24"/>
        </w:rPr>
        <w:t xml:space="preserve">, </w:t>
      </w:r>
      <w:r w:rsidR="004D2F30" w:rsidRPr="004D2F30">
        <w:rPr>
          <w:sz w:val="24"/>
          <w:szCs w:val="24"/>
        </w:rPr>
        <w:t>and</w:t>
      </w:r>
      <w:r w:rsidR="004D2F30">
        <w:rPr>
          <w:i/>
          <w:iCs/>
          <w:sz w:val="24"/>
          <w:szCs w:val="24"/>
        </w:rPr>
        <w:t xml:space="preserve"> θ</w:t>
      </w:r>
      <w:r w:rsidR="004D2F30">
        <w:rPr>
          <w:sz w:val="24"/>
          <w:szCs w:val="24"/>
        </w:rPr>
        <w:t xml:space="preserve"> </w:t>
      </w:r>
      <w:r w:rsidR="001B69CB">
        <w:rPr>
          <w:sz w:val="24"/>
          <w:szCs w:val="24"/>
        </w:rPr>
        <w:t xml:space="preserve">(Figure 1f) </w:t>
      </w:r>
      <w:r w:rsidR="001655B3">
        <w:rPr>
          <w:sz w:val="24"/>
          <w:szCs w:val="24"/>
        </w:rPr>
        <w:t xml:space="preserve">has a </w:t>
      </w:r>
      <w:r w:rsidR="001B69CB">
        <w:rPr>
          <w:sz w:val="24"/>
          <w:szCs w:val="24"/>
        </w:rPr>
        <w:t>higher</w:t>
      </w:r>
      <w:r w:rsidR="001655B3">
        <w:rPr>
          <w:sz w:val="24"/>
          <w:szCs w:val="24"/>
        </w:rPr>
        <w:t xml:space="preserve"> error</w:t>
      </w:r>
      <w:r w:rsidR="001B69CB">
        <w:rPr>
          <w:sz w:val="24"/>
          <w:szCs w:val="24"/>
        </w:rPr>
        <w:t xml:space="preserve"> </w:t>
      </w:r>
      <w:r w:rsidR="001655B3">
        <w:rPr>
          <w:sz w:val="24"/>
          <w:szCs w:val="24"/>
        </w:rPr>
        <w:lastRenderedPageBreak/>
        <w:t>based on the test data</w:t>
      </w:r>
      <w:r w:rsidR="004D2F30">
        <w:rPr>
          <w:sz w:val="24"/>
          <w:szCs w:val="24"/>
        </w:rPr>
        <w:t>.</w:t>
      </w:r>
      <w:r w:rsidR="001B69CB">
        <w:rPr>
          <w:sz w:val="24"/>
          <w:szCs w:val="24"/>
        </w:rPr>
        <w:t xml:space="preserve"> In this region,</w:t>
      </w:r>
      <w:r w:rsidR="004905AF">
        <w:rPr>
          <w:sz w:val="24"/>
          <w:szCs w:val="24"/>
        </w:rPr>
        <w:t xml:space="preserve"> </w:t>
      </w:r>
      <w:r w:rsidR="001B69CB" w:rsidRPr="004D2F30">
        <w:rPr>
          <w:i/>
          <w:iCs/>
          <w:sz w:val="24"/>
          <w:szCs w:val="24"/>
        </w:rPr>
        <w:t>MSTR</w:t>
      </w:r>
      <w:r w:rsidR="001B69CB">
        <w:rPr>
          <w:sz w:val="24"/>
          <w:szCs w:val="24"/>
        </w:rPr>
        <w:t xml:space="preserve"> is the most important variable for prediction.</w:t>
      </w:r>
    </w:p>
    <w:p w14:paraId="14336A3B" w14:textId="77777777" w:rsidR="00E35473" w:rsidRPr="00570A65" w:rsidRDefault="00E35473">
      <w:pPr>
        <w:pStyle w:val="BodyText2"/>
        <w:wordWrap/>
        <w:spacing w:line="240" w:lineRule="exact"/>
        <w:ind w:firstLine="284"/>
        <w:rPr>
          <w:rFonts w:eastAsia="MS Mincho"/>
          <w:sz w:val="24"/>
          <w:szCs w:val="24"/>
          <w:lang w:eastAsia="ja-JP"/>
        </w:rPr>
      </w:pPr>
    </w:p>
    <w:p w14:paraId="0F7A91A7" w14:textId="03DCB357" w:rsidR="008226BB" w:rsidRDefault="004B4424" w:rsidP="00DF339E">
      <w:pPr>
        <w:jc w:val="center"/>
        <w:rPr>
          <w:rFonts w:eastAsia="MS Mincho"/>
          <w:sz w:val="24"/>
          <w:szCs w:val="24"/>
          <w:lang w:eastAsia="ja-JP"/>
        </w:rPr>
      </w:pPr>
      <w:r>
        <w:rPr>
          <w:rFonts w:eastAsia="MS Mincho"/>
          <w:noProof/>
          <w:sz w:val="24"/>
          <w:szCs w:val="24"/>
          <w:lang w:eastAsia="ja-JP"/>
        </w:rPr>
        <w:drawing>
          <wp:inline distT="0" distB="0" distL="0" distR="0" wp14:anchorId="11748183" wp14:editId="4D249092">
            <wp:extent cx="5449801" cy="28201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801" cy="282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621F" w14:textId="0502A7EE" w:rsidR="00E35473" w:rsidRPr="00312480" w:rsidRDefault="00E35473" w:rsidP="00E35473">
      <w:pPr>
        <w:wordWrap/>
        <w:spacing w:line="220" w:lineRule="exact"/>
        <w:jc w:val="center"/>
        <w:rPr>
          <w:rFonts w:eastAsia="MS Mincho"/>
          <w:sz w:val="24"/>
          <w:szCs w:val="24"/>
          <w:lang w:eastAsia="ja-JP"/>
        </w:rPr>
      </w:pPr>
      <w:r w:rsidRPr="00570A65">
        <w:rPr>
          <w:rFonts w:eastAsia="MS Mincho"/>
          <w:sz w:val="24"/>
          <w:szCs w:val="24"/>
          <w:lang w:eastAsia="ja-JP"/>
        </w:rPr>
        <w:t xml:space="preserve">Figure 1. </w:t>
      </w:r>
      <w:r w:rsidR="00312480">
        <w:rPr>
          <w:rFonts w:eastAsia="MS Mincho"/>
          <w:sz w:val="24"/>
          <w:szCs w:val="24"/>
          <w:lang w:eastAsia="ja-JP"/>
        </w:rPr>
        <w:t xml:space="preserve">Observed versus estimated </w:t>
      </w:r>
      <w:r w:rsidR="00312480" w:rsidRPr="00F703B2">
        <w:rPr>
          <w:i/>
          <w:iCs/>
          <w:sz w:val="24"/>
          <w:szCs w:val="24"/>
        </w:rPr>
        <w:t>D</w:t>
      </w:r>
      <w:r w:rsidR="00312480" w:rsidRPr="00F703B2">
        <w:rPr>
          <w:i/>
          <w:iCs/>
          <w:sz w:val="24"/>
          <w:szCs w:val="24"/>
          <w:vertAlign w:val="subscript"/>
        </w:rPr>
        <w:t>50</w:t>
      </w:r>
      <w:r w:rsidR="00312480">
        <w:rPr>
          <w:i/>
          <w:iCs/>
          <w:sz w:val="24"/>
          <w:szCs w:val="24"/>
          <w:vertAlign w:val="subscript"/>
        </w:rPr>
        <w:t xml:space="preserve"> </w:t>
      </w:r>
      <w:r w:rsidR="00312480">
        <w:rPr>
          <w:sz w:val="24"/>
          <w:szCs w:val="24"/>
        </w:rPr>
        <w:t>in the Southeast USA, using a variety of models (</w:t>
      </w:r>
      <w:r w:rsidR="00F66287">
        <w:rPr>
          <w:sz w:val="24"/>
          <w:szCs w:val="24"/>
        </w:rPr>
        <w:t xml:space="preserve">panels </w:t>
      </w:r>
      <w:r w:rsidR="00312480">
        <w:rPr>
          <w:sz w:val="24"/>
          <w:szCs w:val="24"/>
        </w:rPr>
        <w:t xml:space="preserve">a through </w:t>
      </w:r>
      <w:r w:rsidR="00DF339E">
        <w:rPr>
          <w:sz w:val="24"/>
          <w:szCs w:val="24"/>
        </w:rPr>
        <w:t>h</w:t>
      </w:r>
      <w:r w:rsidR="00312480">
        <w:rPr>
          <w:sz w:val="24"/>
          <w:szCs w:val="24"/>
        </w:rPr>
        <w:t xml:space="preserve">) that differ in terms of model inputs </w:t>
      </w:r>
      <w:r w:rsidR="00312480" w:rsidRPr="009112A8">
        <w:rPr>
          <w:i/>
          <w:iCs/>
          <w:sz w:val="24"/>
          <w:szCs w:val="24"/>
        </w:rPr>
        <w:t>X</w:t>
      </w:r>
      <w:r w:rsidR="00312480" w:rsidRPr="009112A8">
        <w:rPr>
          <w:i/>
          <w:iCs/>
          <w:sz w:val="24"/>
          <w:szCs w:val="24"/>
          <w:vertAlign w:val="subscript"/>
        </w:rPr>
        <w:t>i</w:t>
      </w:r>
    </w:p>
    <w:p w14:paraId="559FC7B0" w14:textId="10A57C48" w:rsidR="00A57A30" w:rsidRDefault="00A57A30">
      <w:pPr>
        <w:pStyle w:val="BodyText"/>
        <w:wordWrap/>
        <w:spacing w:line="240" w:lineRule="exact"/>
        <w:rPr>
          <w:rFonts w:eastAsia="MS Mincho"/>
          <w:b w:val="0"/>
          <w:sz w:val="24"/>
          <w:szCs w:val="24"/>
          <w:lang w:eastAsia="ja-JP"/>
        </w:rPr>
      </w:pPr>
    </w:p>
    <w:p w14:paraId="379D9F23" w14:textId="56C785E2" w:rsidR="005465EE" w:rsidRPr="005465EE" w:rsidRDefault="005465EE" w:rsidP="005465EE">
      <w:pPr>
        <w:pStyle w:val="BodyText2"/>
        <w:numPr>
          <w:ilvl w:val="0"/>
          <w:numId w:val="1"/>
        </w:numPr>
        <w:wordWrap/>
        <w:spacing w:line="24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</w:p>
    <w:p w14:paraId="32E998EC" w14:textId="78E6B37C" w:rsidR="00312480" w:rsidRDefault="005465EE" w:rsidP="001655B3">
      <w:pPr>
        <w:pStyle w:val="BodyText2"/>
        <w:wordWrap/>
        <w:spacing w:line="240" w:lineRule="exact"/>
        <w:ind w:firstLine="360"/>
        <w:rPr>
          <w:sz w:val="24"/>
          <w:szCs w:val="24"/>
        </w:rPr>
      </w:pPr>
      <w:r w:rsidRPr="00EB0E2E">
        <w:rPr>
          <w:sz w:val="24"/>
          <w:szCs w:val="24"/>
        </w:rPr>
        <w:t>Grain size on sand beaches is well</w:t>
      </w:r>
      <w:r w:rsidR="00227D70">
        <w:rPr>
          <w:sz w:val="24"/>
          <w:szCs w:val="24"/>
        </w:rPr>
        <w:t>-</w:t>
      </w:r>
      <w:r w:rsidRPr="00EB0E2E">
        <w:rPr>
          <w:sz w:val="24"/>
          <w:szCs w:val="24"/>
        </w:rPr>
        <w:t>known to vary at event scales</w:t>
      </w:r>
      <w:r w:rsidR="00227D70">
        <w:rPr>
          <w:sz w:val="24"/>
          <w:szCs w:val="24"/>
        </w:rPr>
        <w:t xml:space="preserve"> (</w:t>
      </w:r>
      <w:proofErr w:type="gramStart"/>
      <w:r w:rsidR="00227D70">
        <w:rPr>
          <w:sz w:val="24"/>
          <w:szCs w:val="24"/>
        </w:rPr>
        <w:t>e.g.</w:t>
      </w:r>
      <w:proofErr w:type="gramEnd"/>
      <w:r w:rsidR="00227D70">
        <w:rPr>
          <w:sz w:val="24"/>
          <w:szCs w:val="24"/>
        </w:rPr>
        <w:t xml:space="preserve"> Masselink et al., 200</w:t>
      </w:r>
      <w:r w:rsidR="00D219EF">
        <w:rPr>
          <w:sz w:val="24"/>
          <w:szCs w:val="24"/>
        </w:rPr>
        <w:t>8</w:t>
      </w:r>
      <w:r w:rsidR="00227D70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EB0E2E">
        <w:rPr>
          <w:sz w:val="24"/>
          <w:szCs w:val="24"/>
        </w:rPr>
        <w:t xml:space="preserve">therefore observational data are always </w:t>
      </w:r>
      <w:r w:rsidR="006874F7" w:rsidRPr="00EB0E2E">
        <w:rPr>
          <w:sz w:val="24"/>
          <w:szCs w:val="24"/>
        </w:rPr>
        <w:t>preferabl</w:t>
      </w:r>
      <w:r w:rsidR="006874F7">
        <w:rPr>
          <w:sz w:val="24"/>
          <w:szCs w:val="24"/>
        </w:rPr>
        <w:t>e</w:t>
      </w:r>
      <w:r w:rsidR="006874F7" w:rsidRPr="00EB0E2E">
        <w:rPr>
          <w:sz w:val="24"/>
          <w:szCs w:val="24"/>
        </w:rPr>
        <w:t xml:space="preserve"> </w:t>
      </w:r>
      <w:r w:rsidRPr="00EB0E2E">
        <w:rPr>
          <w:sz w:val="24"/>
          <w:szCs w:val="24"/>
        </w:rPr>
        <w:t xml:space="preserve">for management and scientific objectives. The model </w:t>
      </w:r>
      <w:r>
        <w:rPr>
          <w:sz w:val="24"/>
          <w:szCs w:val="24"/>
        </w:rPr>
        <w:t xml:space="preserve">framework </w:t>
      </w:r>
      <w:r w:rsidR="004B308A">
        <w:rPr>
          <w:sz w:val="24"/>
          <w:szCs w:val="24"/>
        </w:rPr>
        <w:t xml:space="preserve">described here </w:t>
      </w:r>
      <w:r w:rsidRPr="00EB0E2E">
        <w:rPr>
          <w:sz w:val="24"/>
          <w:szCs w:val="24"/>
        </w:rPr>
        <w:t xml:space="preserve">might find useful applications in lieu of </w:t>
      </w:r>
      <w:r w:rsidR="00F56B02">
        <w:rPr>
          <w:sz w:val="24"/>
          <w:szCs w:val="24"/>
        </w:rPr>
        <w:t xml:space="preserve">or as a supplement to </w:t>
      </w:r>
      <w:r w:rsidRPr="00EB0E2E">
        <w:rPr>
          <w:sz w:val="24"/>
          <w:szCs w:val="24"/>
        </w:rPr>
        <w:t xml:space="preserve">such field data, </w:t>
      </w:r>
      <w:r>
        <w:rPr>
          <w:sz w:val="24"/>
          <w:szCs w:val="24"/>
        </w:rPr>
        <w:t xml:space="preserve">and </w:t>
      </w:r>
      <w:r w:rsidRPr="00EB0E2E">
        <w:rPr>
          <w:sz w:val="24"/>
          <w:szCs w:val="24"/>
        </w:rPr>
        <w:t>to inform</w:t>
      </w:r>
      <w:r>
        <w:rPr>
          <w:sz w:val="24"/>
          <w:szCs w:val="24"/>
        </w:rPr>
        <w:t xml:space="preserve"> and stimulate</w:t>
      </w:r>
      <w:r w:rsidRPr="00EB0E2E">
        <w:rPr>
          <w:sz w:val="24"/>
          <w:szCs w:val="24"/>
        </w:rPr>
        <w:t xml:space="preserve"> the design of further grain size sampling.</w:t>
      </w:r>
      <w:r w:rsidR="001655B3">
        <w:rPr>
          <w:sz w:val="24"/>
          <w:szCs w:val="24"/>
        </w:rPr>
        <w:t xml:space="preserve"> </w:t>
      </w:r>
      <w:r w:rsidR="00312480">
        <w:rPr>
          <w:sz w:val="24"/>
          <w:szCs w:val="24"/>
        </w:rPr>
        <w:t>We are currently collating data to apply the modeling framework to other regions</w:t>
      </w:r>
      <w:r w:rsidR="00DA7D76">
        <w:rPr>
          <w:sz w:val="24"/>
          <w:szCs w:val="24"/>
        </w:rPr>
        <w:t xml:space="preserve"> to test its general utility</w:t>
      </w:r>
      <w:r w:rsidR="00312480">
        <w:rPr>
          <w:sz w:val="24"/>
          <w:szCs w:val="24"/>
        </w:rPr>
        <w:t xml:space="preserve">. We expect </w:t>
      </w:r>
      <w:r w:rsidR="00E76EF9">
        <w:rPr>
          <w:sz w:val="24"/>
          <w:szCs w:val="24"/>
        </w:rPr>
        <w:t xml:space="preserve">that </w:t>
      </w:r>
      <w:r w:rsidR="00312480">
        <w:rPr>
          <w:sz w:val="24"/>
          <w:szCs w:val="24"/>
        </w:rPr>
        <w:t xml:space="preserve">each model will be unique to each region, owing to differences in </w:t>
      </w:r>
      <w:r w:rsidR="004D2F30">
        <w:rPr>
          <w:sz w:val="24"/>
          <w:szCs w:val="24"/>
        </w:rPr>
        <w:t xml:space="preserve">relative </w:t>
      </w:r>
      <w:r w:rsidR="00312480">
        <w:rPr>
          <w:sz w:val="24"/>
          <w:szCs w:val="24"/>
        </w:rPr>
        <w:t>wave and tidal regimes, sediment supply, sediment mineralogy</w:t>
      </w:r>
      <w:r w:rsidR="00E76EF9">
        <w:rPr>
          <w:sz w:val="24"/>
          <w:szCs w:val="24"/>
        </w:rPr>
        <w:t>,</w:t>
      </w:r>
      <w:r w:rsidR="00312480">
        <w:rPr>
          <w:sz w:val="24"/>
          <w:szCs w:val="24"/>
        </w:rPr>
        <w:t xml:space="preserve"> and </w:t>
      </w:r>
      <w:r w:rsidR="004D2F30">
        <w:rPr>
          <w:sz w:val="24"/>
          <w:szCs w:val="24"/>
        </w:rPr>
        <w:t>carbonate</w:t>
      </w:r>
      <w:r w:rsidR="00312480">
        <w:rPr>
          <w:sz w:val="24"/>
          <w:szCs w:val="24"/>
        </w:rPr>
        <w:t xml:space="preserve"> content. While potentially </w:t>
      </w:r>
      <w:r w:rsidR="00A06DDE">
        <w:rPr>
          <w:sz w:val="24"/>
          <w:szCs w:val="24"/>
        </w:rPr>
        <w:t>valuable</w:t>
      </w:r>
      <w:r w:rsidR="004D2F30">
        <w:rPr>
          <w:sz w:val="24"/>
          <w:szCs w:val="24"/>
        </w:rPr>
        <w:t xml:space="preserve"> </w:t>
      </w:r>
      <w:r w:rsidR="00312480">
        <w:rPr>
          <w:sz w:val="24"/>
          <w:szCs w:val="24"/>
        </w:rPr>
        <w:t xml:space="preserve">in regions in which such models may be applied, this work may also benefit the community </w:t>
      </w:r>
      <w:r w:rsidR="004D2F30">
        <w:rPr>
          <w:sz w:val="24"/>
          <w:szCs w:val="24"/>
        </w:rPr>
        <w:t>if it</w:t>
      </w:r>
      <w:r w:rsidR="00312480">
        <w:rPr>
          <w:sz w:val="24"/>
          <w:szCs w:val="24"/>
        </w:rPr>
        <w:t xml:space="preserve"> lead</w:t>
      </w:r>
      <w:r w:rsidR="004D2F30">
        <w:rPr>
          <w:sz w:val="24"/>
          <w:szCs w:val="24"/>
        </w:rPr>
        <w:t>s</w:t>
      </w:r>
      <w:r w:rsidR="00312480">
        <w:rPr>
          <w:sz w:val="24"/>
          <w:szCs w:val="24"/>
        </w:rPr>
        <w:t xml:space="preserve"> to a greater fundamental understanding of what controls beach grain size</w:t>
      </w:r>
      <w:r w:rsidR="004D2F30">
        <w:rPr>
          <w:sz w:val="24"/>
          <w:szCs w:val="24"/>
        </w:rPr>
        <w:t>, and if</w:t>
      </w:r>
      <w:r w:rsidR="00312480">
        <w:rPr>
          <w:sz w:val="24"/>
          <w:szCs w:val="24"/>
        </w:rPr>
        <w:t xml:space="preserve"> it </w:t>
      </w:r>
      <w:r w:rsidR="004D2F30">
        <w:rPr>
          <w:sz w:val="24"/>
          <w:szCs w:val="24"/>
        </w:rPr>
        <w:t>can</w:t>
      </w:r>
      <w:r w:rsidR="00312480">
        <w:rPr>
          <w:sz w:val="24"/>
          <w:szCs w:val="24"/>
        </w:rPr>
        <w:t xml:space="preserve"> stimulate the community to sample</w:t>
      </w:r>
      <w:r w:rsidR="00A06DDE">
        <w:rPr>
          <w:sz w:val="24"/>
          <w:szCs w:val="24"/>
        </w:rPr>
        <w:t xml:space="preserve"> more</w:t>
      </w:r>
      <w:r w:rsidR="00312480">
        <w:rPr>
          <w:sz w:val="24"/>
          <w:szCs w:val="24"/>
        </w:rPr>
        <w:t>, especially where model predictions are inaccurate. Models should only improve with more, and better, grain size data.</w:t>
      </w:r>
    </w:p>
    <w:p w14:paraId="2D18FE89" w14:textId="77777777" w:rsidR="00312480" w:rsidRPr="00570A65" w:rsidRDefault="00312480">
      <w:pPr>
        <w:pStyle w:val="BodyText"/>
        <w:wordWrap/>
        <w:spacing w:line="240" w:lineRule="exact"/>
        <w:rPr>
          <w:rFonts w:eastAsia="MS Mincho"/>
          <w:b w:val="0"/>
          <w:sz w:val="24"/>
          <w:szCs w:val="24"/>
          <w:lang w:eastAsia="ja-JP"/>
        </w:rPr>
      </w:pPr>
    </w:p>
    <w:p w14:paraId="4A877B5F" w14:textId="77777777" w:rsidR="00091633" w:rsidRPr="00570A65" w:rsidRDefault="00091633">
      <w:pPr>
        <w:pStyle w:val="BodyText2"/>
        <w:wordWrap/>
        <w:spacing w:line="240" w:lineRule="exact"/>
        <w:rPr>
          <w:b/>
          <w:sz w:val="24"/>
          <w:szCs w:val="24"/>
        </w:rPr>
      </w:pPr>
      <w:r w:rsidRPr="00570A65">
        <w:rPr>
          <w:b/>
          <w:sz w:val="24"/>
          <w:szCs w:val="24"/>
        </w:rPr>
        <w:t>References</w:t>
      </w:r>
    </w:p>
    <w:p w14:paraId="57D4D2AD" w14:textId="07DCB26E" w:rsidR="00D318D9" w:rsidRPr="004D2F30" w:rsidRDefault="00D318D9" w:rsidP="00D318D9">
      <w:pPr>
        <w:pStyle w:val="BodyText2"/>
        <w:wordWrap/>
        <w:spacing w:line="220" w:lineRule="exact"/>
        <w:ind w:left="360" w:hanging="360"/>
        <w:rPr>
          <w:sz w:val="24"/>
          <w:szCs w:val="24"/>
        </w:rPr>
      </w:pPr>
      <w:proofErr w:type="spellStart"/>
      <w:r w:rsidRPr="004D2F30">
        <w:rPr>
          <w:sz w:val="24"/>
          <w:szCs w:val="24"/>
        </w:rPr>
        <w:t>Bujan</w:t>
      </w:r>
      <w:proofErr w:type="spellEnd"/>
      <w:r w:rsidRPr="004D2F30">
        <w:rPr>
          <w:sz w:val="24"/>
          <w:szCs w:val="24"/>
        </w:rPr>
        <w:t>, N., Cox, R., and Masselink, G., 20</w:t>
      </w:r>
      <w:r w:rsidR="007A7070" w:rsidRPr="004D2F30">
        <w:rPr>
          <w:sz w:val="24"/>
          <w:szCs w:val="24"/>
        </w:rPr>
        <w:t>19</w:t>
      </w:r>
      <w:r w:rsidRPr="004D2F30">
        <w:rPr>
          <w:sz w:val="24"/>
          <w:szCs w:val="24"/>
        </w:rPr>
        <w:t xml:space="preserve">. From fine sand to boulders: Examining the relationship between beach-face slope and sediment size, </w:t>
      </w:r>
      <w:r w:rsidRPr="004D2F30">
        <w:rPr>
          <w:i/>
          <w:iCs/>
          <w:sz w:val="24"/>
          <w:szCs w:val="24"/>
        </w:rPr>
        <w:t>Marine</w:t>
      </w:r>
      <w:r w:rsidRPr="004D2F30">
        <w:rPr>
          <w:sz w:val="24"/>
          <w:szCs w:val="24"/>
        </w:rPr>
        <w:t xml:space="preserve"> </w:t>
      </w:r>
      <w:r w:rsidRPr="004D2F30">
        <w:rPr>
          <w:i/>
          <w:iCs/>
          <w:sz w:val="24"/>
          <w:szCs w:val="24"/>
        </w:rPr>
        <w:t>Geology</w:t>
      </w:r>
      <w:r w:rsidRPr="004D2F30">
        <w:rPr>
          <w:sz w:val="24"/>
          <w:szCs w:val="24"/>
        </w:rPr>
        <w:t>, 417, 106 012</w:t>
      </w:r>
    </w:p>
    <w:p w14:paraId="2F1A2B57" w14:textId="6746C675" w:rsidR="007A7070" w:rsidRPr="004D2F30" w:rsidRDefault="007A7070" w:rsidP="007A7070">
      <w:pPr>
        <w:pStyle w:val="BodyText2"/>
        <w:wordWrap/>
        <w:spacing w:line="220" w:lineRule="exact"/>
        <w:ind w:left="360" w:hanging="360"/>
        <w:rPr>
          <w:sz w:val="24"/>
          <w:szCs w:val="24"/>
        </w:rPr>
      </w:pPr>
      <w:r w:rsidRPr="004D2F30">
        <w:rPr>
          <w:sz w:val="24"/>
          <w:szCs w:val="24"/>
        </w:rPr>
        <w:t>Cabezas-</w:t>
      </w:r>
      <w:proofErr w:type="spellStart"/>
      <w:r w:rsidRPr="004D2F30">
        <w:rPr>
          <w:sz w:val="24"/>
          <w:szCs w:val="24"/>
        </w:rPr>
        <w:t>Rabadán</w:t>
      </w:r>
      <w:proofErr w:type="spellEnd"/>
      <w:r w:rsidRPr="004D2F30">
        <w:rPr>
          <w:sz w:val="24"/>
          <w:szCs w:val="24"/>
        </w:rPr>
        <w:t xml:space="preserve">, C., Pardo-Pascual, J. E., and Palomar-Vázquez, J., 2021. Characterizing the Relationship between the Sediment Grain Size and the Shoreline Variability Defined from Sentinel-2 Derived Shorelines, </w:t>
      </w:r>
      <w:r w:rsidRPr="004D2F30">
        <w:rPr>
          <w:i/>
          <w:iCs/>
          <w:sz w:val="24"/>
          <w:szCs w:val="24"/>
        </w:rPr>
        <w:t>Remote Sensing</w:t>
      </w:r>
      <w:r w:rsidRPr="004D2F30">
        <w:rPr>
          <w:sz w:val="24"/>
          <w:szCs w:val="24"/>
        </w:rPr>
        <w:t>, 13, 2829.</w:t>
      </w:r>
    </w:p>
    <w:p w14:paraId="214198E4" w14:textId="51684F63" w:rsidR="000C03CB" w:rsidRDefault="000C03CB" w:rsidP="005F3815">
      <w:pPr>
        <w:pStyle w:val="BodyText2"/>
        <w:wordWrap/>
        <w:spacing w:line="220" w:lineRule="exact"/>
        <w:ind w:left="360" w:hanging="360"/>
        <w:rPr>
          <w:sz w:val="24"/>
          <w:szCs w:val="24"/>
        </w:rPr>
      </w:pPr>
      <w:proofErr w:type="spellStart"/>
      <w:r w:rsidRPr="004D2F30">
        <w:rPr>
          <w:sz w:val="24"/>
          <w:szCs w:val="24"/>
        </w:rPr>
        <w:t>Hersbach</w:t>
      </w:r>
      <w:proofErr w:type="spellEnd"/>
      <w:r w:rsidRPr="004D2F30">
        <w:rPr>
          <w:sz w:val="24"/>
          <w:szCs w:val="24"/>
        </w:rPr>
        <w:t xml:space="preserve">, H., Bell, B., </w:t>
      </w:r>
      <w:proofErr w:type="spellStart"/>
      <w:r w:rsidRPr="004D2F30">
        <w:rPr>
          <w:sz w:val="24"/>
          <w:szCs w:val="24"/>
        </w:rPr>
        <w:t>Berrisford</w:t>
      </w:r>
      <w:proofErr w:type="spellEnd"/>
      <w:r w:rsidRPr="004D2F30">
        <w:rPr>
          <w:sz w:val="24"/>
          <w:szCs w:val="24"/>
        </w:rPr>
        <w:t xml:space="preserve">, P., Hirahara, S., </w:t>
      </w:r>
      <w:proofErr w:type="spellStart"/>
      <w:r w:rsidRPr="004D2F30">
        <w:rPr>
          <w:sz w:val="24"/>
          <w:szCs w:val="24"/>
        </w:rPr>
        <w:t>Horányi</w:t>
      </w:r>
      <w:proofErr w:type="spellEnd"/>
      <w:r w:rsidRPr="004D2F30">
        <w:rPr>
          <w:sz w:val="24"/>
          <w:szCs w:val="24"/>
        </w:rPr>
        <w:t>, A., Muñoz‐</w:t>
      </w:r>
      <w:proofErr w:type="spellStart"/>
      <w:r w:rsidRPr="004D2F30">
        <w:rPr>
          <w:sz w:val="24"/>
          <w:szCs w:val="24"/>
        </w:rPr>
        <w:t>Sabater</w:t>
      </w:r>
      <w:proofErr w:type="spellEnd"/>
      <w:r w:rsidRPr="004D2F30">
        <w:rPr>
          <w:sz w:val="24"/>
          <w:szCs w:val="24"/>
        </w:rPr>
        <w:t xml:space="preserve">, J., Nicolas, J., </w:t>
      </w:r>
      <w:proofErr w:type="spellStart"/>
      <w:r w:rsidRPr="004D2F30">
        <w:rPr>
          <w:sz w:val="24"/>
          <w:szCs w:val="24"/>
        </w:rPr>
        <w:t>Peubey</w:t>
      </w:r>
      <w:proofErr w:type="spellEnd"/>
      <w:r w:rsidRPr="004D2F30">
        <w:rPr>
          <w:sz w:val="24"/>
          <w:szCs w:val="24"/>
        </w:rPr>
        <w:t xml:space="preserve">, C., Radu, R., </w:t>
      </w:r>
      <w:proofErr w:type="spellStart"/>
      <w:r w:rsidRPr="004D2F30">
        <w:rPr>
          <w:sz w:val="24"/>
          <w:szCs w:val="24"/>
        </w:rPr>
        <w:t>Schepers</w:t>
      </w:r>
      <w:proofErr w:type="spellEnd"/>
      <w:r w:rsidRPr="004D2F30">
        <w:rPr>
          <w:sz w:val="24"/>
          <w:szCs w:val="24"/>
        </w:rPr>
        <w:t xml:space="preserve">, D. and Simmons, A., 2020. The ERA5 global reanalysis. </w:t>
      </w:r>
      <w:r w:rsidRPr="004D2F30">
        <w:rPr>
          <w:i/>
          <w:iCs/>
          <w:sz w:val="24"/>
          <w:szCs w:val="24"/>
        </w:rPr>
        <w:t>Quarterly Journal of the Royal Meteorological Society</w:t>
      </w:r>
      <w:r w:rsidRPr="004D2F30">
        <w:rPr>
          <w:sz w:val="24"/>
          <w:szCs w:val="24"/>
        </w:rPr>
        <w:t>, 146(730), pp.1999-2049.</w:t>
      </w:r>
    </w:p>
    <w:p w14:paraId="29BA6222" w14:textId="0C89CB2C" w:rsidR="00227D70" w:rsidRPr="004D2F30" w:rsidRDefault="00227D70" w:rsidP="005F3815">
      <w:pPr>
        <w:pStyle w:val="BodyText2"/>
        <w:wordWrap/>
        <w:spacing w:line="220" w:lineRule="exact"/>
        <w:ind w:left="360" w:hanging="360"/>
        <w:rPr>
          <w:sz w:val="24"/>
          <w:szCs w:val="24"/>
        </w:rPr>
      </w:pPr>
      <w:r w:rsidRPr="00227D70">
        <w:rPr>
          <w:sz w:val="24"/>
          <w:szCs w:val="24"/>
        </w:rPr>
        <w:t>Masselink, G., Buscombe, D., Austin, M., O'H</w:t>
      </w:r>
      <w:r>
        <w:rPr>
          <w:sz w:val="24"/>
          <w:szCs w:val="24"/>
        </w:rPr>
        <w:t>are</w:t>
      </w:r>
      <w:r w:rsidRPr="00227D70">
        <w:rPr>
          <w:sz w:val="24"/>
          <w:szCs w:val="24"/>
        </w:rPr>
        <w:t xml:space="preserve">, T. and Russell, P., 2008. Sediment trend models fail to reproduce small‐scale sediment transport patterns on an intertidal beach. </w:t>
      </w:r>
      <w:r w:rsidRPr="00227D70">
        <w:rPr>
          <w:i/>
          <w:iCs/>
          <w:sz w:val="24"/>
          <w:szCs w:val="24"/>
        </w:rPr>
        <w:t>Sedimentology</w:t>
      </w:r>
      <w:r w:rsidRPr="00227D70">
        <w:rPr>
          <w:sz w:val="24"/>
          <w:szCs w:val="24"/>
        </w:rPr>
        <w:t>, 55(3), pp.667-687.</w:t>
      </w:r>
    </w:p>
    <w:p w14:paraId="2690351B" w14:textId="47E61C9D" w:rsidR="00E95F0C" w:rsidRPr="004D2F30" w:rsidRDefault="00E95F0C" w:rsidP="005F3815">
      <w:pPr>
        <w:pStyle w:val="BodyText2"/>
        <w:wordWrap/>
        <w:spacing w:line="220" w:lineRule="exact"/>
        <w:ind w:left="360" w:hanging="360"/>
        <w:rPr>
          <w:sz w:val="24"/>
          <w:szCs w:val="24"/>
        </w:rPr>
      </w:pPr>
      <w:r w:rsidRPr="004D2F30">
        <w:rPr>
          <w:sz w:val="24"/>
          <w:szCs w:val="24"/>
        </w:rPr>
        <w:t xml:space="preserve">McFall, B. C., 2019. The relationship between beach grain size and intertidal beach face slope, </w:t>
      </w:r>
      <w:r w:rsidRPr="004D2F30">
        <w:rPr>
          <w:i/>
          <w:iCs/>
          <w:sz w:val="24"/>
          <w:szCs w:val="24"/>
        </w:rPr>
        <w:t>Journal of Coastal Research</w:t>
      </w:r>
      <w:r w:rsidRPr="004D2F30">
        <w:rPr>
          <w:sz w:val="24"/>
          <w:szCs w:val="24"/>
        </w:rPr>
        <w:t>, 35, 1080–1086.</w:t>
      </w:r>
    </w:p>
    <w:p w14:paraId="406EB47D" w14:textId="17D72096" w:rsidR="007A7070" w:rsidRPr="004D2F30" w:rsidRDefault="007A7070" w:rsidP="007A7070">
      <w:pPr>
        <w:pStyle w:val="BodyText2"/>
        <w:wordWrap/>
        <w:spacing w:line="220" w:lineRule="exact"/>
        <w:ind w:left="360" w:hanging="360"/>
        <w:rPr>
          <w:rFonts w:eastAsia="MS Mincho"/>
          <w:sz w:val="24"/>
          <w:szCs w:val="24"/>
          <w:lang w:eastAsia="ja-JP"/>
        </w:rPr>
      </w:pPr>
      <w:r w:rsidRPr="004D2F30">
        <w:rPr>
          <w:rFonts w:eastAsia="MS Mincho"/>
          <w:sz w:val="24"/>
          <w:szCs w:val="24"/>
          <w:lang w:eastAsia="ja-JP"/>
        </w:rPr>
        <w:t xml:space="preserve">Vos, K., Splinter, K. D., Harley, M. D., Simmons, J. A., and Turner, I. L., 2019. </w:t>
      </w:r>
      <w:proofErr w:type="spellStart"/>
      <w:r w:rsidRPr="004D2F30">
        <w:rPr>
          <w:rFonts w:eastAsia="MS Mincho"/>
          <w:sz w:val="24"/>
          <w:szCs w:val="24"/>
          <w:lang w:eastAsia="ja-JP"/>
        </w:rPr>
        <w:t>CoastSat</w:t>
      </w:r>
      <w:proofErr w:type="spellEnd"/>
      <w:r w:rsidRPr="004D2F30">
        <w:rPr>
          <w:rFonts w:eastAsia="MS Mincho"/>
          <w:sz w:val="24"/>
          <w:szCs w:val="24"/>
          <w:lang w:eastAsia="ja-JP"/>
        </w:rPr>
        <w:t xml:space="preserve">: A Google Earth Engine-enabled Python toolkit to extract shorelines from publicly available satellite imagery, </w:t>
      </w:r>
      <w:r w:rsidRPr="004D2F30">
        <w:rPr>
          <w:rFonts w:eastAsia="MS Mincho"/>
          <w:i/>
          <w:iCs/>
          <w:sz w:val="24"/>
          <w:szCs w:val="24"/>
          <w:lang w:eastAsia="ja-JP"/>
        </w:rPr>
        <w:t>Environmental Modelling &amp; Software</w:t>
      </w:r>
      <w:r w:rsidRPr="004D2F30">
        <w:rPr>
          <w:rFonts w:eastAsia="MS Mincho"/>
          <w:sz w:val="24"/>
          <w:szCs w:val="24"/>
          <w:lang w:eastAsia="ja-JP"/>
        </w:rPr>
        <w:t>, 122, 104 528,</w:t>
      </w:r>
    </w:p>
    <w:p w14:paraId="3FB942EF" w14:textId="266A5A0C" w:rsidR="00305749" w:rsidRPr="004D2F30" w:rsidRDefault="002A03B6" w:rsidP="004B4424">
      <w:pPr>
        <w:pStyle w:val="BodyText2"/>
        <w:wordWrap/>
        <w:spacing w:line="220" w:lineRule="exact"/>
        <w:ind w:left="360" w:hanging="360"/>
        <w:rPr>
          <w:rFonts w:eastAsia="MS Mincho"/>
          <w:sz w:val="24"/>
          <w:szCs w:val="24"/>
          <w:lang w:eastAsia="ja-JP"/>
        </w:rPr>
      </w:pPr>
      <w:r w:rsidRPr="004D2F30">
        <w:rPr>
          <w:rFonts w:eastAsia="MS Mincho"/>
          <w:sz w:val="24"/>
          <w:szCs w:val="24"/>
          <w:lang w:eastAsia="ja-JP"/>
        </w:rPr>
        <w:t xml:space="preserve">Vos, K., Harley, M. D., Splinter, K. D., Walker, A., and Turner, I. L., 2020. Beach Slopes </w:t>
      </w:r>
      <w:proofErr w:type="gramStart"/>
      <w:r w:rsidRPr="004D2F30">
        <w:rPr>
          <w:rFonts w:eastAsia="MS Mincho"/>
          <w:sz w:val="24"/>
          <w:szCs w:val="24"/>
          <w:lang w:eastAsia="ja-JP"/>
        </w:rPr>
        <w:t>From</w:t>
      </w:r>
      <w:proofErr w:type="gramEnd"/>
      <w:r w:rsidRPr="004D2F30">
        <w:rPr>
          <w:rFonts w:eastAsia="MS Mincho"/>
          <w:sz w:val="24"/>
          <w:szCs w:val="24"/>
          <w:lang w:eastAsia="ja-JP"/>
        </w:rPr>
        <w:t xml:space="preserve"> Satellite-Derived Shorelines, </w:t>
      </w:r>
      <w:r w:rsidRPr="004D2F30">
        <w:rPr>
          <w:rFonts w:eastAsia="MS Mincho"/>
          <w:i/>
          <w:iCs/>
          <w:sz w:val="24"/>
          <w:szCs w:val="24"/>
          <w:lang w:eastAsia="ja-JP"/>
        </w:rPr>
        <w:t>Geophysical Research Letters</w:t>
      </w:r>
      <w:r w:rsidRPr="004D2F30">
        <w:rPr>
          <w:rFonts w:eastAsia="MS Mincho"/>
          <w:sz w:val="24"/>
          <w:szCs w:val="24"/>
          <w:lang w:eastAsia="ja-JP"/>
        </w:rPr>
        <w:t>, 47, e2020GL088 365</w:t>
      </w:r>
    </w:p>
    <w:sectPr w:rsidR="00305749" w:rsidRPr="004D2F30" w:rsidSect="008226BB">
      <w:headerReference w:type="default" r:id="rId10"/>
      <w:pgSz w:w="12242" w:h="15842" w:code="1"/>
      <w:pgMar w:top="1440" w:right="1440" w:bottom="1440" w:left="1440" w:header="28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EBB98" w14:textId="77777777" w:rsidR="002D49DA" w:rsidRDefault="002D49DA">
      <w:r>
        <w:separator/>
      </w:r>
    </w:p>
  </w:endnote>
  <w:endnote w:type="continuationSeparator" w:id="0">
    <w:p w14:paraId="120F9812" w14:textId="77777777" w:rsidR="002D49DA" w:rsidRDefault="002D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373C4" w14:textId="77777777" w:rsidR="002D49DA" w:rsidRDefault="002D49DA">
      <w:r>
        <w:separator/>
      </w:r>
    </w:p>
  </w:footnote>
  <w:footnote w:type="continuationSeparator" w:id="0">
    <w:p w14:paraId="628109E3" w14:textId="77777777" w:rsidR="002D49DA" w:rsidRDefault="002D4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625BD" w14:textId="1CF80970" w:rsidR="008226BB" w:rsidRDefault="008226BB" w:rsidP="008226BB">
    <w:pPr>
      <w:pStyle w:val="Header"/>
      <w:jc w:val="right"/>
    </w:pPr>
    <w:r>
      <w:t xml:space="preserve">Primary Topic: </w:t>
    </w:r>
    <w:r w:rsidR="001D4E55">
      <w:t>Large-Scale Coastal Behavior</w:t>
    </w:r>
  </w:p>
  <w:p w14:paraId="04A1F161" w14:textId="6B36072D" w:rsidR="008226BB" w:rsidRDefault="008226BB" w:rsidP="001D4E55">
    <w:pPr>
      <w:pStyle w:val="Header"/>
      <w:jc w:val="right"/>
    </w:pPr>
    <w:r>
      <w:t>Secondary Topic: Beaches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2DB"/>
    <w:multiLevelType w:val="multilevel"/>
    <w:tmpl w:val="8DDE0838"/>
    <w:lvl w:ilvl="0">
      <w:start w:val="1"/>
      <w:numFmt w:val="decimal"/>
      <w:lvlText w:val="%1."/>
      <w:lvlJc w:val="left"/>
      <w:pPr>
        <w:tabs>
          <w:tab w:val="num" w:pos="225"/>
        </w:tabs>
        <w:ind w:left="225" w:hanging="2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30"/>
        </w:tabs>
        <w:ind w:left="330" w:hanging="33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330"/>
        </w:tabs>
        <w:ind w:left="330" w:hanging="33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330"/>
        </w:tabs>
        <w:ind w:left="330" w:hanging="33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330"/>
        </w:tabs>
        <w:ind w:left="330" w:hanging="33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330"/>
        </w:tabs>
        <w:ind w:left="330" w:hanging="33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30"/>
        </w:tabs>
        <w:ind w:left="330" w:hanging="33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30"/>
        </w:tabs>
        <w:ind w:left="330" w:hanging="33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30"/>
        </w:tabs>
        <w:ind w:left="330" w:hanging="330"/>
      </w:pPr>
      <w:rPr>
        <w:rFonts w:hint="eastAsia"/>
      </w:rPr>
    </w:lvl>
  </w:abstractNum>
  <w:abstractNum w:abstractNumId="1" w15:restartNumberingAfterBreak="0">
    <w:nsid w:val="2E1A664A"/>
    <w:multiLevelType w:val="hybridMultilevel"/>
    <w:tmpl w:val="18AA9A76"/>
    <w:lvl w:ilvl="0" w:tplc="52F63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B2"/>
    <w:rsid w:val="00026EA5"/>
    <w:rsid w:val="00091633"/>
    <w:rsid w:val="000C03CB"/>
    <w:rsid w:val="000C28A2"/>
    <w:rsid w:val="000C5823"/>
    <w:rsid w:val="000C6042"/>
    <w:rsid w:val="000F5283"/>
    <w:rsid w:val="00112BD4"/>
    <w:rsid w:val="001152E9"/>
    <w:rsid w:val="00134967"/>
    <w:rsid w:val="0013602A"/>
    <w:rsid w:val="001655B3"/>
    <w:rsid w:val="00182996"/>
    <w:rsid w:val="001A1261"/>
    <w:rsid w:val="001B69CB"/>
    <w:rsid w:val="001D4E55"/>
    <w:rsid w:val="001E7AE0"/>
    <w:rsid w:val="00226B06"/>
    <w:rsid w:val="00227D70"/>
    <w:rsid w:val="0023504D"/>
    <w:rsid w:val="00296407"/>
    <w:rsid w:val="00296B4C"/>
    <w:rsid w:val="002A03B6"/>
    <w:rsid w:val="002C2953"/>
    <w:rsid w:val="002C3B1A"/>
    <w:rsid w:val="002C592D"/>
    <w:rsid w:val="002D49DA"/>
    <w:rsid w:val="002E65E4"/>
    <w:rsid w:val="00301E2B"/>
    <w:rsid w:val="00304CB0"/>
    <w:rsid w:val="00305749"/>
    <w:rsid w:val="00312480"/>
    <w:rsid w:val="00317E90"/>
    <w:rsid w:val="003213FC"/>
    <w:rsid w:val="00345064"/>
    <w:rsid w:val="003774BB"/>
    <w:rsid w:val="003C1F4D"/>
    <w:rsid w:val="003D1EDA"/>
    <w:rsid w:val="003D58B7"/>
    <w:rsid w:val="003E53EE"/>
    <w:rsid w:val="003F1EAD"/>
    <w:rsid w:val="003F6101"/>
    <w:rsid w:val="004519A2"/>
    <w:rsid w:val="004756DA"/>
    <w:rsid w:val="0048143D"/>
    <w:rsid w:val="004819DA"/>
    <w:rsid w:val="00484ACB"/>
    <w:rsid w:val="004905AF"/>
    <w:rsid w:val="004972F9"/>
    <w:rsid w:val="004A6401"/>
    <w:rsid w:val="004B308A"/>
    <w:rsid w:val="004B4424"/>
    <w:rsid w:val="004C4442"/>
    <w:rsid w:val="004D09DD"/>
    <w:rsid w:val="004D2F30"/>
    <w:rsid w:val="004E10F1"/>
    <w:rsid w:val="004E3CC1"/>
    <w:rsid w:val="004F25F0"/>
    <w:rsid w:val="005028B2"/>
    <w:rsid w:val="00507173"/>
    <w:rsid w:val="005218E3"/>
    <w:rsid w:val="005465EE"/>
    <w:rsid w:val="0056119A"/>
    <w:rsid w:val="00570A65"/>
    <w:rsid w:val="00575C6C"/>
    <w:rsid w:val="00590069"/>
    <w:rsid w:val="005C315D"/>
    <w:rsid w:val="005D7AE2"/>
    <w:rsid w:val="005F3815"/>
    <w:rsid w:val="00600C4D"/>
    <w:rsid w:val="0060587B"/>
    <w:rsid w:val="00630E54"/>
    <w:rsid w:val="00641A82"/>
    <w:rsid w:val="006651E5"/>
    <w:rsid w:val="0068401E"/>
    <w:rsid w:val="006874F7"/>
    <w:rsid w:val="0069217D"/>
    <w:rsid w:val="00727934"/>
    <w:rsid w:val="0075351C"/>
    <w:rsid w:val="00764434"/>
    <w:rsid w:val="007719F8"/>
    <w:rsid w:val="0079464D"/>
    <w:rsid w:val="007A7070"/>
    <w:rsid w:val="007B62E0"/>
    <w:rsid w:val="007E1073"/>
    <w:rsid w:val="007F1064"/>
    <w:rsid w:val="00806C9E"/>
    <w:rsid w:val="008226BB"/>
    <w:rsid w:val="008415F4"/>
    <w:rsid w:val="00867ADA"/>
    <w:rsid w:val="008747DE"/>
    <w:rsid w:val="008A0171"/>
    <w:rsid w:val="008B5D4C"/>
    <w:rsid w:val="008C4654"/>
    <w:rsid w:val="008C6390"/>
    <w:rsid w:val="008E5E3E"/>
    <w:rsid w:val="009112A8"/>
    <w:rsid w:val="009274FE"/>
    <w:rsid w:val="009500F7"/>
    <w:rsid w:val="009813D6"/>
    <w:rsid w:val="009D604A"/>
    <w:rsid w:val="009E0DD9"/>
    <w:rsid w:val="00A06647"/>
    <w:rsid w:val="00A06DDE"/>
    <w:rsid w:val="00A200BD"/>
    <w:rsid w:val="00A276D8"/>
    <w:rsid w:val="00A3465D"/>
    <w:rsid w:val="00A57A30"/>
    <w:rsid w:val="00A8562F"/>
    <w:rsid w:val="00A900FD"/>
    <w:rsid w:val="00A93D6C"/>
    <w:rsid w:val="00AA6B12"/>
    <w:rsid w:val="00AC24A0"/>
    <w:rsid w:val="00AC6421"/>
    <w:rsid w:val="00B07DE1"/>
    <w:rsid w:val="00B71FD8"/>
    <w:rsid w:val="00B72211"/>
    <w:rsid w:val="00B94D11"/>
    <w:rsid w:val="00BA3DC6"/>
    <w:rsid w:val="00BB45DD"/>
    <w:rsid w:val="00BC7F04"/>
    <w:rsid w:val="00BF3117"/>
    <w:rsid w:val="00C065C5"/>
    <w:rsid w:val="00C16427"/>
    <w:rsid w:val="00C41D47"/>
    <w:rsid w:val="00C43EDF"/>
    <w:rsid w:val="00C75591"/>
    <w:rsid w:val="00C96056"/>
    <w:rsid w:val="00CA6BA0"/>
    <w:rsid w:val="00CB04B9"/>
    <w:rsid w:val="00CD6C67"/>
    <w:rsid w:val="00CE310D"/>
    <w:rsid w:val="00CE4A97"/>
    <w:rsid w:val="00CF5D4D"/>
    <w:rsid w:val="00CF6E4D"/>
    <w:rsid w:val="00D219EF"/>
    <w:rsid w:val="00D318D9"/>
    <w:rsid w:val="00D31F92"/>
    <w:rsid w:val="00D55BE9"/>
    <w:rsid w:val="00D6422A"/>
    <w:rsid w:val="00D67902"/>
    <w:rsid w:val="00D67F1E"/>
    <w:rsid w:val="00D97FF8"/>
    <w:rsid w:val="00DA7D76"/>
    <w:rsid w:val="00DC3E52"/>
    <w:rsid w:val="00DC4447"/>
    <w:rsid w:val="00DD090C"/>
    <w:rsid w:val="00DD0ADB"/>
    <w:rsid w:val="00DD4C7C"/>
    <w:rsid w:val="00DD6EB8"/>
    <w:rsid w:val="00DE789A"/>
    <w:rsid w:val="00DF339E"/>
    <w:rsid w:val="00E35473"/>
    <w:rsid w:val="00E41C3D"/>
    <w:rsid w:val="00E54472"/>
    <w:rsid w:val="00E66F8D"/>
    <w:rsid w:val="00E768E9"/>
    <w:rsid w:val="00E76EF9"/>
    <w:rsid w:val="00E93D89"/>
    <w:rsid w:val="00E95F0C"/>
    <w:rsid w:val="00EB0E2E"/>
    <w:rsid w:val="00EC0AE5"/>
    <w:rsid w:val="00EC78E9"/>
    <w:rsid w:val="00F060B0"/>
    <w:rsid w:val="00F53CD2"/>
    <w:rsid w:val="00F56B02"/>
    <w:rsid w:val="00F66287"/>
    <w:rsid w:val="00F703B2"/>
    <w:rsid w:val="00FA17F0"/>
    <w:rsid w:val="00FB4CB7"/>
    <w:rsid w:val="00FD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BA7BB2"/>
  <w15:chartTrackingRefBased/>
  <w15:docId w15:val="{E6C3E17F-B3DF-48C4-BC16-2D4E33A3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wordWrap w:val="0"/>
      <w:jc w:val="both"/>
    </w:pPr>
    <w:rPr>
      <w:rFonts w:ascii="Times New Roman" w:eastAsia="BatangChe" w:hAnsi="Times New Roman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Pr>
      <w:rFonts w:ascii="MS UI Gothic" w:eastAsia="MS UI Gothic"/>
      <w:sz w:val="18"/>
      <w:szCs w:val="18"/>
    </w:rPr>
  </w:style>
  <w:style w:type="character" w:customStyle="1" w:styleId="Char5">
    <w:name w:val="Char5"/>
    <w:semiHidden/>
    <w:rPr>
      <w:rFonts w:ascii="MS UI Gothic" w:eastAsia="MS UI Gothic"/>
      <w:sz w:val="18"/>
      <w:szCs w:val="18"/>
    </w:rPr>
  </w:style>
  <w:style w:type="paragraph" w:styleId="BodyText">
    <w:name w:val="Body Text"/>
    <w:basedOn w:val="Normal"/>
    <w:rPr>
      <w:b/>
      <w:sz w:val="22"/>
    </w:rPr>
  </w:style>
  <w:style w:type="character" w:customStyle="1" w:styleId="Char4">
    <w:name w:val="Char4"/>
    <w:rPr>
      <w:rFonts w:ascii="Times New Roman" w:eastAsia="BatangChe" w:hAnsi="Times New Roman" w:cs="Times New Roman"/>
      <w:b/>
      <w:kern w:val="2"/>
      <w:szCs w:val="20"/>
      <w:lang w:eastAsia="ko-KR"/>
    </w:rPr>
  </w:style>
  <w:style w:type="paragraph" w:styleId="FootnoteText">
    <w:name w:val="footnote text"/>
    <w:basedOn w:val="Normal"/>
    <w:semiHidden/>
    <w:pPr>
      <w:snapToGrid w:val="0"/>
      <w:jc w:val="left"/>
    </w:pPr>
  </w:style>
  <w:style w:type="character" w:customStyle="1" w:styleId="Char3">
    <w:name w:val="Char3"/>
    <w:semiHidden/>
    <w:rPr>
      <w:rFonts w:ascii="Times New Roman" w:eastAsia="BatangChe" w:hAnsi="Times New Roman" w:cs="Times New Roman"/>
      <w:kern w:val="2"/>
      <w:sz w:val="20"/>
      <w:szCs w:val="20"/>
      <w:lang w:eastAsia="ko-KR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rPr>
      <w:sz w:val="22"/>
    </w:rPr>
  </w:style>
  <w:style w:type="character" w:customStyle="1" w:styleId="Char2">
    <w:name w:val="Char2"/>
    <w:rPr>
      <w:rFonts w:ascii="Times New Roman" w:eastAsia="BatangChe" w:hAnsi="Times New Roman" w:cs="Times New Roman"/>
      <w:kern w:val="2"/>
      <w:szCs w:val="20"/>
      <w:lang w:eastAsia="ko-KR"/>
    </w:rPr>
  </w:style>
  <w:style w:type="paragraph" w:styleId="Header">
    <w:name w:val="header"/>
    <w:basedOn w:val="Normal"/>
    <w:unhideWhenUsed/>
    <w:pPr>
      <w:tabs>
        <w:tab w:val="center" w:pos="4419"/>
        <w:tab w:val="right" w:pos="8838"/>
      </w:tabs>
    </w:pPr>
  </w:style>
  <w:style w:type="character" w:customStyle="1" w:styleId="Char1">
    <w:name w:val="Char1"/>
    <w:rPr>
      <w:rFonts w:ascii="Times New Roman" w:eastAsia="BatangChe" w:hAnsi="Times New Roman" w:cs="Times New Roman"/>
      <w:kern w:val="2"/>
      <w:sz w:val="20"/>
      <w:szCs w:val="20"/>
      <w:lang w:eastAsia="ko-KR"/>
    </w:rPr>
  </w:style>
  <w:style w:type="paragraph" w:styleId="Footer">
    <w:name w:val="footer"/>
    <w:basedOn w:val="Normal"/>
    <w:unhideWhenUsed/>
    <w:pPr>
      <w:tabs>
        <w:tab w:val="center" w:pos="4419"/>
        <w:tab w:val="right" w:pos="8838"/>
      </w:tabs>
    </w:pPr>
  </w:style>
  <w:style w:type="character" w:customStyle="1" w:styleId="Char">
    <w:name w:val="Char"/>
    <w:semiHidden/>
    <w:rPr>
      <w:rFonts w:ascii="Times New Roman" w:eastAsia="BatangChe" w:hAnsi="Times New Roman" w:cs="Times New Roman"/>
      <w:kern w:val="2"/>
      <w:sz w:val="20"/>
      <w:szCs w:val="20"/>
      <w:lang w:eastAsia="ko-KR"/>
    </w:rPr>
  </w:style>
  <w:style w:type="character" w:styleId="Hyperlink">
    <w:name w:val="Hyperlink"/>
    <w:rsid w:val="00BB45DD"/>
    <w:rPr>
      <w:color w:val="0000FF"/>
      <w:u w:val="single"/>
    </w:rPr>
  </w:style>
  <w:style w:type="paragraph" w:customStyle="1" w:styleId="References">
    <w:name w:val="References"/>
    <w:basedOn w:val="Normal"/>
    <w:rsid w:val="003774BB"/>
    <w:pPr>
      <w:tabs>
        <w:tab w:val="left" w:pos="360"/>
        <w:tab w:val="left" w:pos="648"/>
      </w:tabs>
      <w:wordWrap/>
      <w:spacing w:line="360" w:lineRule="auto"/>
      <w:ind w:left="360" w:hanging="360"/>
      <w:jc w:val="left"/>
    </w:pPr>
    <w:rPr>
      <w:rFonts w:eastAsia="Times New Roman"/>
      <w:snapToGrid w:val="0"/>
      <w:kern w:val="0"/>
      <w:sz w:val="24"/>
      <w:szCs w:val="24"/>
      <w:lang w:eastAsia="en-US"/>
    </w:rPr>
  </w:style>
  <w:style w:type="character" w:styleId="CommentReference">
    <w:name w:val="annotation reference"/>
    <w:rsid w:val="004C4442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4442"/>
    <w:rPr>
      <w:lang w:val="x-none"/>
    </w:rPr>
  </w:style>
  <w:style w:type="character" w:customStyle="1" w:styleId="CommentTextChar">
    <w:name w:val="Comment Text Char"/>
    <w:link w:val="CommentText"/>
    <w:rsid w:val="004C4442"/>
    <w:rPr>
      <w:rFonts w:ascii="Times New Roman" w:eastAsia="BatangChe" w:hAnsi="Times New Roman"/>
      <w:kern w:val="2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4C4442"/>
    <w:rPr>
      <w:b/>
      <w:bCs/>
    </w:rPr>
  </w:style>
  <w:style w:type="character" w:customStyle="1" w:styleId="CommentSubjectChar">
    <w:name w:val="Comment Subject Char"/>
    <w:link w:val="CommentSubject"/>
    <w:rsid w:val="004C4442"/>
    <w:rPr>
      <w:rFonts w:ascii="Times New Roman" w:eastAsia="BatangChe" w:hAnsi="Times New Roman"/>
      <w:b/>
      <w:bCs/>
      <w:kern w:val="2"/>
      <w:lang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C41D4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C5823"/>
    <w:rPr>
      <w:rFonts w:ascii="Times New Roman" w:eastAsia="BatangChe" w:hAnsi="Times New Roman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buscombe@contractor.usgs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CCDA6-16B3-444F-BFAD-CA37DC44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PREPARATION OF CAMERA-READY ABSTRACT</vt:lpstr>
    </vt:vector>
  </TitlesOfParts>
  <Company>USACE</Company>
  <LinksUpToDate>false</LinksUpToDate>
  <CharactersWithSpaces>6954</CharactersWithSpaces>
  <SharedDoc>false</SharedDoc>
  <HLinks>
    <vt:vector size="24" baseType="variant">
      <vt:variant>
        <vt:i4>6094954</vt:i4>
      </vt:variant>
      <vt:variant>
        <vt:i4>12</vt:i4>
      </vt:variant>
      <vt:variant>
        <vt:i4>0</vt:i4>
      </vt:variant>
      <vt:variant>
        <vt:i4>5</vt:i4>
      </vt:variant>
      <vt:variant>
        <vt:lpwstr>https://webmail.lu.se/owa/redir.aspx?C=d5aaa7aa4c404c6f95b055adce700760&amp;URL=http%3a%2f%2fcoastalsediments.cas.usf.edu%2fabstract_submission.html</vt:lpwstr>
      </vt:variant>
      <vt:variant>
        <vt:lpwstr/>
      </vt:variant>
      <vt:variant>
        <vt:i4>1507370</vt:i4>
      </vt:variant>
      <vt:variant>
        <vt:i4>6</vt:i4>
      </vt:variant>
      <vt:variant>
        <vt:i4>0</vt:i4>
      </vt:variant>
      <vt:variant>
        <vt:i4>5</vt:i4>
      </vt:variant>
      <vt:variant>
        <vt:lpwstr>mailto:pwang@usf.edu</vt:lpwstr>
      </vt:variant>
      <vt:variant>
        <vt:lpwstr/>
      </vt:variant>
      <vt:variant>
        <vt:i4>6553611</vt:i4>
      </vt:variant>
      <vt:variant>
        <vt:i4>3</vt:i4>
      </vt:variant>
      <vt:variant>
        <vt:i4>0</vt:i4>
      </vt:variant>
      <vt:variant>
        <vt:i4>5</vt:i4>
      </vt:variant>
      <vt:variant>
        <vt:lpwstr>mailto:Julie.D.Rosati@usace.army.mil</vt:lpwstr>
      </vt:variant>
      <vt:variant>
        <vt:lpwstr/>
      </vt:variant>
      <vt:variant>
        <vt:i4>2162716</vt:i4>
      </vt:variant>
      <vt:variant>
        <vt:i4>0</vt:i4>
      </vt:variant>
      <vt:variant>
        <vt:i4>0</vt:i4>
      </vt:variant>
      <vt:variant>
        <vt:i4>5</vt:i4>
      </vt:variant>
      <vt:variant>
        <vt:lpwstr>mailto:Hans.Hanson@tvrl.lth.se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PREPARATION OF CAMERA-READY ABSTRACT</dc:title>
  <dc:subject/>
  <dc:creator>s</dc:creator>
  <cp:keywords/>
  <cp:lastModifiedBy>Buscombe, Daniel (Contractor)</cp:lastModifiedBy>
  <cp:revision>7</cp:revision>
  <cp:lastPrinted>2009-12-15T15:31:00Z</cp:lastPrinted>
  <dcterms:created xsi:type="dcterms:W3CDTF">2022-07-08T14:54:00Z</dcterms:created>
  <dcterms:modified xsi:type="dcterms:W3CDTF">2022-07-12T23:35:00Z</dcterms:modified>
</cp:coreProperties>
</file>