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HISTOIRE</w:t>
      </w:r>
      <w:r>
        <w:t xml:space="preserve"> </w:t>
      </w:r>
      <w:r>
        <w:t xml:space="preserve">DE</w:t>
      </w:r>
      <w:r>
        <w:t xml:space="preserve"> </w:t>
      </w:r>
      <w:r>
        <w:t xml:space="preserve">MADAGASCAR</w:t>
      </w:r>
      <w:r>
        <w:t xml:space="preserve"> </w:t>
      </w:r>
      <w:r>
        <w:t xml:space="preserve">—</w:t>
      </w:r>
      <w:r>
        <w:t xml:space="preserve"> </w:t>
      </w:r>
      <w:r>
        <w:t xml:space="preserve">Épisode</w:t>
      </w:r>
      <w:r>
        <w:t xml:space="preserve"> </w:t>
      </w:r>
      <w:r>
        <w:t xml:space="preserve">2</w:t>
      </w:r>
    </w:p>
    <w:p>
      <w:pPr>
        <w:pStyle w:val="Subtitle"/>
      </w:pPr>
      <w:r>
        <w:t xml:space="preserve">«</w:t>
      </w:r>
      <w:r>
        <w:t xml:space="preserve"> </w:t>
      </w:r>
      <w:r>
        <w:t xml:space="preserve">Neuf</w:t>
      </w:r>
      <w:r>
        <w:t xml:space="preserve"> </w:t>
      </w:r>
      <w:r>
        <w:t xml:space="preserve">mille</w:t>
      </w:r>
      <w:r>
        <w:t xml:space="preserve"> </w:t>
      </w:r>
      <w:r>
        <w:t xml:space="preserve">ans</w:t>
      </w:r>
      <w:r>
        <w:t xml:space="preserve"> </w:t>
      </w:r>
      <w:r>
        <w:t xml:space="preserve">d’écart</w:t>
      </w:r>
      <w:r>
        <w:t xml:space="preserve"> </w:t>
      </w:r>
      <w:r>
        <w:t xml:space="preserve">»</w:t>
      </w:r>
      <w:r>
        <w:t xml:space="preserve"> </w:t>
      </w:r>
      <w:r>
        <w:t xml:space="preserve">—</w:t>
      </w:r>
      <w:r>
        <w:t xml:space="preserve"> </w:t>
      </w:r>
      <w:r>
        <w:t xml:space="preserve">Dossier</w:t>
      </w:r>
      <w:r>
        <w:t xml:space="preserve"> </w:t>
      </w:r>
      <w:r>
        <w:t xml:space="preserve">de</w:t>
      </w:r>
      <w:r>
        <w:t xml:space="preserve"> </w:t>
      </w:r>
      <w:r>
        <w:t xml:space="preserve">production</w:t>
      </w:r>
      <w:r>
        <w:t xml:space="preserve"> </w:t>
      </w:r>
      <w:r>
        <w:t xml:space="preserve">complet</w:t>
      </w:r>
      <w:r>
        <w:t xml:space="preserve"> </w:t>
      </w:r>
      <w:r>
        <w:t xml:space="preserve">(version</w:t>
      </w:r>
      <w:r>
        <w:t xml:space="preserve"> </w:t>
      </w:r>
      <w:r>
        <w:t xml:space="preserve">2,</w:t>
      </w:r>
      <w:r>
        <w:t xml:space="preserve"> </w:t>
      </w:r>
      <w:r>
        <w:t xml:space="preserve">corrigée)</w:t>
      </w:r>
    </w:p>
    <w:bookmarkStart w:id="23" w:name="fiche-technique"/>
    <w:p>
      <w:pPr>
        <w:pStyle w:val="Heading1"/>
      </w:pPr>
      <w:r>
        <w:t xml:space="preserve">Fiche technique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Série</w:t>
            </w:r>
          </w:p>
        </w:tc>
        <w:tc>
          <w:tcPr/>
          <w:p>
            <w:pPr>
              <w:pStyle w:val="Compact"/>
              <w:jc w:val="left"/>
            </w:pPr>
            <w:r>
              <w:t xml:space="preserve">Histoire de Madagascar — Saison 1, « Avant les royaumes »</w:t>
            </w:r>
          </w:p>
        </w:tc>
      </w:tr>
      <w:tr>
        <w:tc>
          <w:tcPr/>
          <w:p>
            <w:pPr>
              <w:pStyle w:val="Compact"/>
              <w:jc w:val="left"/>
            </w:pPr>
            <w:r>
              <w:rPr>
                <w:bCs/>
                <w:b/>
              </w:rPr>
              <w:t xml:space="preserve">Épisode</w:t>
            </w:r>
          </w:p>
        </w:tc>
        <w:tc>
          <w:tcPr/>
          <w:p>
            <w:pPr>
              <w:pStyle w:val="Compact"/>
              <w:jc w:val="left"/>
            </w:pPr>
            <w:r>
              <w:t xml:space="preserve">2 —</w:t>
            </w:r>
            <w:r>
              <w:t xml:space="preserve"> </w:t>
            </w:r>
            <w:r>
              <w:rPr>
                <w:bCs/>
                <w:b/>
              </w:rPr>
              <w:t xml:space="preserve">Neuf mille ans d’écart</w:t>
            </w:r>
          </w:p>
        </w:tc>
      </w:tr>
      <w:tr>
        <w:tc>
          <w:tcPr/>
          <w:p>
            <w:pPr>
              <w:pStyle w:val="Compact"/>
              <w:jc w:val="left"/>
            </w:pPr>
            <w:r>
              <w:rPr>
                <w:bCs/>
                <w:b/>
              </w:rPr>
              <w:t xml:space="preserve">Sous-titre plateformes</w:t>
            </w:r>
          </w:p>
        </w:tc>
        <w:tc>
          <w:tcPr/>
          <w:p>
            <w:pPr>
              <w:pStyle w:val="Compact"/>
              <w:jc w:val="left"/>
            </w:pPr>
            <w:r>
              <w:t xml:space="preserve">Quand l’homme est-il arrivé à Madagascar ?</w:t>
            </w:r>
          </w:p>
        </w:tc>
      </w:tr>
      <w:tr>
        <w:tc>
          <w:tcPr/>
          <w:p>
            <w:pPr>
              <w:pStyle w:val="Compact"/>
              <w:jc w:val="left"/>
            </w:pPr>
            <w:r>
              <w:rPr>
                <w:bCs/>
                <w:b/>
              </w:rPr>
              <w:t xml:space="preserve">Durée</w:t>
            </w:r>
          </w:p>
        </w:tc>
        <w:tc>
          <w:tcPr/>
          <w:p>
            <w:pPr>
              <w:pStyle w:val="Compact"/>
              <w:jc w:val="left"/>
            </w:pPr>
            <w:r>
              <w:rPr>
                <w:bCs/>
                <w:b/>
              </w:rPr>
              <w:t xml:space="preserve">25 min 30 s</w:t>
            </w:r>
            <w:r>
              <w:t xml:space="preserve"> </w:t>
            </w:r>
            <w:r>
              <w:t xml:space="preserve">— lecture mesurée : 25 min 05 s de texte dit, plus 20 s de générique. La grille de minutage du script est calée sur cette durée.</w:t>
            </w:r>
          </w:p>
        </w:tc>
      </w:tr>
      <w:tr>
        <w:tc>
          <w:tcPr/>
          <w:p>
            <w:pPr>
              <w:pStyle w:val="Compact"/>
              <w:jc w:val="left"/>
            </w:pPr>
            <w:r>
              <w:rPr>
                <w:bCs/>
                <w:b/>
              </w:rPr>
              <w:t xml:space="preserve">Volume de texte</w:t>
            </w:r>
          </w:p>
        </w:tc>
        <w:tc>
          <w:tcPr/>
          <w:p>
            <w:pPr>
              <w:pStyle w:val="Compact"/>
              <w:jc w:val="left"/>
            </w:pPr>
            <w:r>
              <w:rPr>
                <w:bCs/>
                <w:b/>
              </w:rPr>
              <w:t xml:space="preserve">3 560 mots dits</w:t>
            </w:r>
            <w:r>
              <w:t xml:space="preserve"> </w:t>
            </w:r>
            <w:r>
              <w:t xml:space="preserve">— narration 3 191 · citations lues 199 · entretien 170 (comptage automatisé, hors indications de régie)</w:t>
            </w:r>
          </w:p>
        </w:tc>
      </w:tr>
      <w:tr>
        <w:tc>
          <w:tcPr/>
          <w:p>
            <w:pPr>
              <w:pStyle w:val="Compact"/>
              <w:jc w:val="left"/>
            </w:pPr>
            <w:r>
              <w:rPr>
                <w:bCs/>
                <w:b/>
              </w:rPr>
              <w:t xml:space="preserve">Débit de référence</w:t>
            </w:r>
          </w:p>
        </w:tc>
        <w:tc>
          <w:tcPr/>
          <w:p>
            <w:pPr>
              <w:pStyle w:val="Compact"/>
              <w:jc w:val="left"/>
            </w:pPr>
            <w:r>
              <w:t xml:space="preserve">142 mots/minute, silences et habillage inclus</w:t>
            </w:r>
          </w:p>
        </w:tc>
      </w:tr>
      <w:tr>
        <w:tc>
          <w:tcPr/>
          <w:p>
            <w:pPr>
              <w:pStyle w:val="Compact"/>
              <w:jc w:val="left"/>
            </w:pPr>
            <w:r>
              <w:rPr>
                <w:bCs/>
                <w:b/>
              </w:rPr>
              <w:t xml:space="preserve">Voix</w:t>
            </w:r>
          </w:p>
        </w:tc>
        <w:tc>
          <w:tcPr/>
          <w:p>
            <w:pPr>
              <w:pStyle w:val="Compact"/>
              <w:jc w:val="left"/>
            </w:pPr>
            <w:r>
              <w:t xml:space="preserve">1 narrateur + 1 voix de lecture (citations) + 1 entretien enregistré</w:t>
            </w:r>
          </w:p>
        </w:tc>
      </w:tr>
      <w:tr>
        <w:tc>
          <w:tcPr/>
          <w:p>
            <w:pPr>
              <w:pStyle w:val="Compact"/>
              <w:jc w:val="left"/>
            </w:pPr>
            <w:r>
              <w:rPr>
                <w:bCs/>
                <w:b/>
              </w:rPr>
              <w:t xml:space="preserve">Voix secondaires</w:t>
            </w:r>
          </w:p>
        </w:tc>
        <w:tc>
          <w:tcPr/>
          <w:p>
            <w:pPr>
              <w:pStyle w:val="Compact"/>
              <w:jc w:val="left"/>
            </w:pPr>
            <w:r>
              <w:t xml:space="preserve">7 insertions, jamais deux dans la même minute</w:t>
            </w:r>
          </w:p>
        </w:tc>
      </w:tr>
      <w:tr>
        <w:tc>
          <w:tcPr/>
          <w:p>
            <w:pPr>
              <w:pStyle w:val="Compact"/>
              <w:jc w:val="left"/>
            </w:pPr>
            <w:r>
              <w:rPr>
                <w:bCs/>
                <w:b/>
              </w:rPr>
              <w:t xml:space="preserve">Statut</w:t>
            </w:r>
          </w:p>
        </w:tc>
        <w:tc>
          <w:tcPr/>
          <w:p>
            <w:pPr>
              <w:pStyle w:val="Compact"/>
              <w:jc w:val="left"/>
            </w:pPr>
            <w:r>
              <w:t xml:space="preserve">Script prêt pour enregistrement</w:t>
            </w:r>
            <w:r>
              <w:t xml:space="preserve"> </w:t>
            </w:r>
            <w:r>
              <w:rPr>
                <w:bCs/>
                <w:b/>
              </w:rPr>
              <w:t xml:space="preserve">sous réserve</w:t>
            </w:r>
            <w:r>
              <w:t xml:space="preserve"> </w:t>
            </w:r>
            <w:r>
              <w:t xml:space="preserve">de l’entretien de la séquence 4.3 (bloquant) et de deux appels téléphoniques (voir « Avant d’enregistrer »)</w:t>
            </w:r>
          </w:p>
        </w:tc>
      </w:tr>
    </w:tbl>
    <w:bookmarkStart w:id="20" w:name="la-promesse-de-lépisode"/>
    <w:p>
      <w:pPr>
        <w:pStyle w:val="Heading2"/>
      </w:pPr>
      <w:r>
        <w:t xml:space="preserve">La promesse de l’épisode</w:t>
      </w:r>
    </w:p>
    <w:p>
      <w:pPr>
        <w:pStyle w:val="FirstParagraph"/>
      </w:pPr>
      <w:r>
        <w:t xml:space="preserve">À la fin de l’épisode, l’auditeur doit pouvoir dire, en une phrase :</w:t>
      </w:r>
      <w:r>
        <w:t xml:space="preserve"> </w:t>
      </w:r>
      <w:r>
        <w:rPr>
          <w:bCs/>
          <w:b/>
        </w:rPr>
        <w:t xml:space="preserve">« passer n’est pas s’installer »</w:t>
      </w:r>
      <w:r>
        <w:t xml:space="preserve"> </w:t>
      </w:r>
      <w:r>
        <w:t xml:space="preserve">— et comprendre pourquoi un troisième groupe de chercheurs propose aujourd’hui de séparer deux questions que dix ans de controverse avaient confondues.</w:t>
      </w:r>
    </w:p>
    <w:p>
      <w:pPr>
        <w:pStyle w:val="BodyText"/>
      </w:pPr>
      <w:r>
        <w:t xml:space="preserve">Si l’auditeur éteint en se disant seulement « personne ne sait », l’épisode a échoué.</w:t>
      </w:r>
    </w:p>
    <w:bookmarkEnd w:id="20"/>
    <w:bookmarkStart w:id="21" w:name="le-principe-de-construction"/>
    <w:p>
      <w:pPr>
        <w:pStyle w:val="Heading2"/>
      </w:pPr>
      <w:r>
        <w:t xml:space="preserve">Le principe de construction</w:t>
      </w:r>
    </w:p>
    <w:p>
      <w:pPr>
        <w:pStyle w:val="FirstParagraph"/>
      </w:pPr>
      <w:r>
        <w:t xml:space="preserve">L’épisode est bâti autour d’</w:t>
      </w:r>
      <w:r>
        <w:rPr>
          <w:bCs/>
          <w:b/>
        </w:rPr>
        <w:t xml:space="preserve">un objet unique</w:t>
      </w:r>
      <w:r>
        <w:t xml:space="preserve"> </w:t>
      </w:r>
      <w:r>
        <w:t xml:space="preserve">: un os de patte d’oiseau-éléphant, référencé USNM A605209. L’objet ne bouge pas ; ce sont les lectures qu’on en fait qui bougent. Quatre actes :</w:t>
      </w:r>
      <w:r>
        <w:t xml:space="preserve"> </w:t>
      </w:r>
      <w:r>
        <w:rPr>
          <w:bCs/>
          <w:b/>
        </w:rPr>
        <w:t xml:space="preserve">ce qu’il est / ce qu’on croit y lire / ce qu’on refuse d’y lire / ce qu’il devient.</w:t>
      </w:r>
    </w:p>
    <w:p>
      <w:pPr>
        <w:pStyle w:val="BodyText"/>
      </w:pPr>
      <w:r>
        <w:rPr>
          <w:bCs/>
          <w:b/>
        </w:rPr>
        <w:t xml:space="preserve">Le dispositif central est un différé.</w:t>
      </w:r>
      <w:r>
        <w:t xml:space="preserve"> </w:t>
      </w:r>
      <w:r>
        <w:t xml:space="preserve">Deux détails physiques de l’entaille sont décrits à la cinquantième seconde, sans aucune explication. Ils ne sont expliqués qu’à la seizième minute et demie. C’est le seul moment de l’épisode qui produit une expérience impossible à obtenir en lisant un article — et c’est la raison d’être du format audio ici.</w:t>
      </w:r>
      <w:r>
        <w:t xml:space="preserve"> </w:t>
      </w:r>
      <w:r>
        <w:rPr>
          <w:bCs/>
          <w:b/>
        </w:rPr>
        <w:t xml:space="preserve">Rien de ce qui concerne les deux parois de l’entaille ne peut remonter avant 16:30.</w:t>
      </w:r>
    </w:p>
    <w:bookmarkEnd w:id="21"/>
    <w:bookmarkStart w:id="22" w:name="ce-qui-a-changé-depuis-la-version-1"/>
    <w:p>
      <w:pPr>
        <w:pStyle w:val="Heading2"/>
      </w:pPr>
      <w:r>
        <w:t xml:space="preserve">Ce qui a changé depuis la version 1</w:t>
      </w:r>
    </w:p>
    <w:p>
      <w:pPr>
        <w:pStyle w:val="FirstParagraph"/>
      </w:pPr>
      <w:r>
        <w:t xml:space="preserve">Cette version intègre trois contrôles indépendants : un contrôle factuel adversarial, un test radio, et un contrôle de conformité doublé d’une écoute malgache.</w:t>
      </w:r>
      <w:r>
        <w:t xml:space="preserve"> </w:t>
      </w:r>
      <w:r>
        <w:rPr>
          <w:bCs/>
          <w:b/>
        </w:rPr>
        <w:t xml:space="preserve">Trois erreurs bloquantes ont été corrigées</w:t>
      </w:r>
      <w:r>
        <w:t xml:space="preserve"> </w:t>
      </w:r>
      <w:r>
        <w:t xml:space="preserve">(la provenance du fémur de 3 500 ans, le genre d’Armand Rasoamiaramanana, la longueur de l’os au cold open), plus une vingtaine de corrections de moindre gravité. Le détail figure en fin de dossier, section « Journal des corrections ».</w:t>
      </w:r>
    </w:p>
    <w:p>
      <w:pPr>
        <w:pStyle w:val="BodyText"/>
      </w:pPr>
      <w:r>
        <w:rPr>
          <w:bCs/>
          <w:b/>
        </w:rPr>
        <w:t xml:space="preserve">Le changement le plus visible : les chercheurs sont désormais nommés à voix haute.</w:t>
      </w:r>
      <w:r>
        <w:t xml:space="preserve"> </w:t>
      </w:r>
      <w:r>
        <w:t xml:space="preserve">La version 1 disait « un archéologue d’Oxford », « une autre équipe », « une paléontologue malgache ». C’était intenable dans un épisode dont le sujet est précisément</w:t>
      </w:r>
      <w:r>
        <w:t xml:space="preserve"> </w:t>
      </w:r>
      <w:r>
        <w:rPr>
          <w:iCs/>
          <w:i/>
        </w:rPr>
        <w:t xml:space="preserve">qui dit quoi, et qui signe</w:t>
      </w:r>
      <w:r>
        <w:t xml:space="preserve">. Sept noms sont maintenant prononcés — dont un malgache.</w:t>
      </w:r>
    </w:p>
    <w:bookmarkEnd w:id="22"/>
    <w:bookmarkEnd w:id="23"/>
    <w:bookmarkStart w:id="26" w:name="le-script"/>
    <w:p>
      <w:pPr>
        <w:pStyle w:val="Heading1"/>
      </w:pPr>
      <w:r>
        <w:t xml:space="preserve">LE SCRIPT</w:t>
      </w:r>
    </w:p>
    <w:p>
      <w:pPr>
        <w:pStyle w:val="BlockText"/>
      </w:pPr>
      <w:r>
        <w:rPr>
          <w:bCs/>
          <w:b/>
        </w:rPr>
        <w:t xml:space="preserve">Conventions.</w:t>
      </w:r>
      <w:r>
        <w:t xml:space="preserve"> </w:t>
      </w:r>
      <w:r>
        <w:rPr>
          <w:rStyle w:val="VerbatimChar"/>
        </w:rPr>
        <w:t xml:space="preserve">[SILENCE x s]</w:t>
      </w:r>
      <w:r>
        <w:t xml:space="preserve"> </w:t>
      </w:r>
      <w:r>
        <w:t xml:space="preserve">= respiration tenue, à ne pas combler par la musique.</w:t>
      </w:r>
      <w:r>
        <w:t xml:space="preserve"> </w:t>
      </w:r>
      <w:r>
        <w:rPr>
          <w:rStyle w:val="VerbatimChar"/>
        </w:rPr>
        <w:t xml:space="preserve">[V2]</w:t>
      </w:r>
      <w:r>
        <w:t xml:space="preserve"> </w:t>
      </w:r>
      <w:r>
        <w:t xml:space="preserve">à</w:t>
      </w:r>
      <w:r>
        <w:t xml:space="preserve"> </w:t>
      </w:r>
      <w:r>
        <w:rPr>
          <w:rStyle w:val="VerbatimChar"/>
        </w:rPr>
        <w:t xml:space="preserve">[V7]</w:t>
      </w:r>
      <w:r>
        <w:t xml:space="preserve"> </w:t>
      </w:r>
      <w:r>
        <w:t xml:space="preserve">= voix de lecture des citations. Les indications entre crochets ne sont pas dites.</w:t>
      </w:r>
    </w:p>
    <w:p>
      <w:r>
        <w:pict>
          <v:rect style="width:0;height:1.5pt" o:hralign="center" o:hrstd="t" o:hr="t"/>
        </w:pict>
      </w:r>
    </w:p>
    <w:bookmarkStart w:id="24" w:name="cold-open-000-120"/>
    <w:p>
      <w:pPr>
        <w:pStyle w:val="Heading2"/>
      </w:pPr>
      <w:r>
        <w:t xml:space="preserve">COLD OPEN — 0:00 → 1:20</w:t>
      </w:r>
    </w:p>
    <w:p>
      <w:pPr>
        <w:pStyle w:val="FirstParagraph"/>
      </w:pPr>
      <w:r>
        <w:rPr>
          <w:bCs/>
          <w:b/>
        </w:rPr>
        <w:t xml:space="preserve">[Ambiance : rien. Voix sèche, proche du micro, sans musique.]</w:t>
      </w:r>
    </w:p>
    <w:p>
      <w:pPr>
        <w:pStyle w:val="BodyText"/>
      </w:pPr>
      <w:r>
        <w:t xml:space="preserve">Tendez vos deux mains devant vous, paumes vers le haut, et écartez-les de la largeur de vos épaules.</w:t>
      </w:r>
    </w:p>
    <w:p>
      <w:pPr>
        <w:pStyle w:val="BodyText"/>
      </w:pPr>
      <w:r>
        <w:t xml:space="preserve">Voilà à peu près la longueur de cet os.</w:t>
      </w:r>
    </w:p>
    <w:p>
      <w:pPr>
        <w:pStyle w:val="BodyText"/>
      </w:pPr>
      <w:r>
        <w:t xml:space="preserve">C’est l’os d’une patte d’oiseau. Un oiseau qui pesait autant qu’un cheval.</w:t>
      </w:r>
    </w:p>
    <w:p>
      <w:pPr>
        <w:pStyle w:val="BodyText"/>
      </w:pPr>
      <w:r>
        <w:t xml:space="preserve">Sur cet os, il y a des choses qui ne devraient pas y être.</w:t>
      </w:r>
    </w:p>
    <w:p>
      <w:pPr>
        <w:pStyle w:val="BodyText"/>
      </w:pPr>
      <w:r>
        <w:t xml:space="preserve">D’abord un enfoncement. Pas une fissure : un enfoncement. Comme si la surface avait cédé sous un coup.</w:t>
      </w:r>
    </w:p>
    <w:p>
      <w:pPr>
        <w:pStyle w:val="BodyText"/>
      </w:pPr>
      <w:r>
        <w:t xml:space="preserve">Ensuite une entaille. Quatre centimètres et demi de long. Elle traverse la paroi dure et met à nu l’intérieur — cette matière poreuse, spongieuse, qu’on n’est pas censé voir.</w:t>
      </w:r>
    </w:p>
    <w:p>
      <w:pPr>
        <w:pStyle w:val="BodyText"/>
      </w:pPr>
      <w:r>
        <w:t xml:space="preserve">Et cette entaille n’a pas deux bords semblables. D’un côté, la paroi est lisse, rectiligne. De l’autre, elle est rugueuse, irrégulière.</w:t>
      </w:r>
    </w:p>
    <w:p>
      <w:pPr>
        <w:pStyle w:val="BodyText"/>
      </w:pPr>
      <w:r>
        <w:t xml:space="preserve">Retenez ça.</w:t>
      </w:r>
      <w:r>
        <w:t xml:space="preserve"> </w:t>
      </w:r>
      <w:r>
        <w:rPr>
          <w:bCs/>
          <w:b/>
        </w:rPr>
        <w:t xml:space="preserve">Une paroi lisse, une paroi rugueuse.</w:t>
      </w:r>
      <w:r>
        <w:t xml:space="preserve"> </w:t>
      </w:r>
      <w:r>
        <w:t xml:space="preserve">On y reviendra.</w:t>
      </w:r>
    </w:p>
    <w:p>
      <w:pPr>
        <w:pStyle w:val="BodyText"/>
      </w:pPr>
      <w:r>
        <w:t xml:space="preserve">L’os porte un numéro d’inventaire : U-S-N-M, A, six-zéro-cinq, deux-zéro-neuf. Il est conservé à Washington.</w:t>
      </w:r>
    </w:p>
    <w:p>
      <w:pPr>
        <w:pStyle w:val="BodyText"/>
      </w:pPr>
      <w:r>
        <w:rPr>
          <w:bCs/>
          <w:b/>
        </w:rPr>
        <w:t xml:space="preserve">[SILENCE 1 s]</w:t>
      </w:r>
    </w:p>
    <w:p>
      <w:pPr>
        <w:pStyle w:val="BodyText"/>
      </w:pPr>
      <w:r>
        <w:t xml:space="preserve">Quelque chose a frappé là. Quelque chose a coupé là.</w:t>
      </w:r>
    </w:p>
    <w:p>
      <w:pPr>
        <w:pStyle w:val="BodyText"/>
      </w:pPr>
      <w:r>
        <w:t xml:space="preserve">Et cet os a plus de dix mille cinq cents ans.</w:t>
      </w:r>
    </w:p>
    <w:p>
      <w:pPr>
        <w:pStyle w:val="BodyText"/>
      </w:pPr>
      <w:r>
        <w:rPr>
          <w:bCs/>
          <w:b/>
        </w:rPr>
        <w:t xml:space="preserve">[SILENCE 1,5 s]</w:t>
      </w:r>
    </w:p>
    <w:p>
      <w:pPr>
        <w:pStyle w:val="BodyText"/>
      </w:pPr>
      <w:r>
        <w:t xml:space="preserve">C’est, aujourd’hui, l’objet le plus discuté de toute l’archéologie malgache.</w:t>
      </w:r>
    </w:p>
    <w:p>
      <w:pPr>
        <w:pStyle w:val="BodyText"/>
      </w:pPr>
      <w:r>
        <w:rPr>
          <w:bCs/>
          <w:b/>
        </w:rPr>
        <w:t xml:space="preserve">[GÉNÉRIQUE — 20 s]</w:t>
      </w:r>
    </w:p>
    <w:p>
      <w:r>
        <w:pict>
          <v:rect style="width:0;height:1.5pt" o:hralign="center" o:hrstd="t" o:hr="t"/>
        </w:pict>
      </w:r>
    </w:p>
    <w:bookmarkEnd w:id="24"/>
    <w:bookmarkStart w:id="25" w:name="le-contrat-140-250"/>
    <w:p>
      <w:pPr>
        <w:pStyle w:val="Heading2"/>
      </w:pPr>
      <w:r>
        <w:t xml:space="preserve">1. LE CONTRAT — 1:40 → 2:50</w:t>
      </w:r>
    </w:p>
    <w:p>
      <w:pPr>
        <w:pStyle w:val="FirstParagraph"/>
      </w:pPr>
      <w:r>
        <w:t xml:space="preserve">Je vous parle depuis Madagascar. Et je vais commencer par ce que je ne sais pas.</w:t>
      </w:r>
    </w:p>
    <w:p>
      <w:pPr>
        <w:pStyle w:val="BodyText"/>
      </w:pPr>
      <w:r>
        <w:t xml:space="preserve">Je ne sais pas quand les premiers êtres humains ont posé le pied dans ce pays. Personne ne le sait.</w:t>
      </w:r>
    </w:p>
    <w:p>
      <w:pPr>
        <w:pStyle w:val="BodyText"/>
      </w:pPr>
      <w:r>
        <w:t xml:space="preserve">Voici l’ampleur du problème.</w:t>
      </w:r>
    </w:p>
    <w:p>
      <w:pPr>
        <w:pStyle w:val="BodyText"/>
      </w:pPr>
      <w:r>
        <w:t xml:space="preserve">Pendant longtemps, la réponse tenait en une phrase : les premiers habitants sont arrivés il y a environ mille cinq cents ans. Aujourd’hui, les estimations publiées dans les revues scientifiques vont de mille cinq cents ans à plus de dix mille cinq cents ans.</w:t>
      </w:r>
    </w:p>
    <w:p>
      <w:pPr>
        <w:pStyle w:val="BodyText"/>
      </w:pPr>
      <w:r>
        <w:rPr>
          <w:bCs/>
          <w:b/>
        </w:rPr>
        <w:t xml:space="preserve">Neuf mille ans d’écart.</w:t>
      </w:r>
    </w:p>
    <w:p>
      <w:pPr>
        <w:pStyle w:val="BodyText"/>
      </w:pPr>
      <w:r>
        <w:t xml:space="preserve">Une équipe a calculé qu’aucune autre île au monde, parmi celles que la datation au carbone peut atteindre, n’a une fourchette aussi large. Madagascar est la quatrième plus grande île de la planète. C’est aussi la plus mal datée.</w:t>
      </w:r>
    </w:p>
    <w:p>
      <w:pPr>
        <w:pStyle w:val="BodyText"/>
      </w:pPr>
      <w:r>
        <w:t xml:space="preserve">Alors non : dans les vingt minutes qui viennent, nous n’allons pas trancher cette date.</w:t>
      </w:r>
    </w:p>
    <w:p>
      <w:pPr>
        <w:pStyle w:val="BodyText"/>
      </w:pPr>
      <w:r>
        <w:t xml:space="preserve">Nous allons faire autre chose. Nous allons examiner une pièce.</w:t>
      </w:r>
    </w:p>
    <w:p>
      <w:pPr>
        <w:pStyle w:val="BodyText"/>
      </w:pPr>
      <w:r>
        <w:t xml:space="preserve">Parce que l’objet, lui, ne bouge pas. Ce sont les lectures qu’on en fait qui bougent.</w:t>
      </w:r>
    </w:p>
    <w:p>
      <w:r>
        <w:pict>
          <v:rect style="width:0;height:1.5pt" o:hralign="center" o:hrstd="t" o:hr="t"/>
        </w:pict>
      </w:r>
    </w:p>
    <w:bookmarkEnd w:id="25"/>
    <w:bookmarkEnd w:id="26"/>
    <w:bookmarkStart w:id="32" w:name="acte-i-ce-quil-est"/>
    <w:p>
      <w:pPr>
        <w:pStyle w:val="Heading1"/>
      </w:pPr>
      <w:r>
        <w:t xml:space="preserve">ACTE I — CE QU’IL EST</w:t>
      </w:r>
    </w:p>
    <w:bookmarkStart w:id="27" w:name="le-trou-250-420"/>
    <w:p>
      <w:pPr>
        <w:pStyle w:val="Heading2"/>
      </w:pPr>
      <w:r>
        <w:t xml:space="preserve">1.1 Le trou — 2:50 → 4:20</w:t>
      </w:r>
    </w:p>
    <w:p>
      <w:pPr>
        <w:pStyle w:val="FirstParagraph"/>
      </w:pPr>
      <w:r>
        <w:t xml:space="preserve">Commençons par le trou.</w:t>
      </w:r>
    </w:p>
    <w:p>
      <w:pPr>
        <w:pStyle w:val="BodyText"/>
      </w:pPr>
      <w:r>
        <w:t xml:space="preserve">Ilakaka. Région Ihorombe, dans le sud du pays, sur la route nationale sept.</w:t>
      </w:r>
    </w:p>
    <w:p>
      <w:pPr>
        <w:pStyle w:val="BodyText"/>
      </w:pPr>
      <w:r>
        <w:t xml:space="preserve">Au début des années quatre-vingt-dix, Ilakaka comptait une quarantaine d’habitants. Quarante.</w:t>
      </w:r>
    </w:p>
    <w:p>
      <w:pPr>
        <w:pStyle w:val="BodyText"/>
      </w:pPr>
      <w:r>
        <w:t xml:space="preserve">En mille neuf cent quatre-vingt-dix-huit, on y trouve du saphir. Sept ans plus tard, la ville en compte près de soixante mille. On y vient de toute l’île.</w:t>
      </w:r>
    </w:p>
    <w:p>
      <w:pPr>
        <w:pStyle w:val="BodyText"/>
      </w:pPr>
      <w:r>
        <w:t xml:space="preserve">Des baraques en tôle, des bars, des églises, des comptoirs d’achat. Pas d’eau courante, pas d’électricité. De l’argent qui circule la nuit. Et partout, des puits creusés à la main, étayés de branchages, dans un sable qui s’effondre — dix, quinze mètres de profondeur.</w:t>
      </w:r>
    </w:p>
    <w:p>
      <w:pPr>
        <w:pStyle w:val="BodyText"/>
      </w:pPr>
      <w:r>
        <w:rPr>
          <w:bCs/>
          <w:b/>
        </w:rPr>
        <w:t xml:space="preserve">[SILENCE 1 s]</w:t>
      </w:r>
    </w:p>
    <w:p>
      <w:pPr>
        <w:pStyle w:val="BodyText"/>
      </w:pPr>
      <w:r>
        <w:t xml:space="preserve">En deux mille six, un homme descend dans un de ces puits. Il cherche du saphir. À une dizaine de mètres, il ne trouve pas de pierre.</w:t>
      </w:r>
    </w:p>
    <w:p>
      <w:pPr>
        <w:pStyle w:val="BodyText"/>
      </w:pPr>
      <w:r>
        <w:t xml:space="preserve">Il trouve des os. Beaucoup d’os. Une couche entière.</w:t>
      </w:r>
    </w:p>
    <w:p>
      <w:pPr>
        <w:pStyle w:val="BodyText"/>
      </w:pPr>
      <w:r>
        <w:t xml:space="preserve">Il le signale.</w:t>
      </w:r>
    </w:p>
    <w:p>
      <w:pPr>
        <w:pStyle w:val="BodyText"/>
      </w:pPr>
      <w:r>
        <w:rPr>
          <w:bCs/>
          <w:b/>
        </w:rPr>
        <w:t xml:space="preserve">[SILENCE 1 s]</w:t>
      </w:r>
    </w:p>
    <w:p>
      <w:pPr>
        <w:pStyle w:val="BodyText"/>
      </w:pPr>
      <w:r>
        <w:t xml:space="preserve">Voilà comment commence cette histoire. Ce qui est aujourd’hui présenté comme le plus vieil indice de présence humaine à Madagascar n’a pas été trouvé par une mission scientifique. Il a été trouvé par un Malgache qui creusait pour vivre.</w:t>
      </w:r>
    </w:p>
    <w:p>
      <w:pPr>
        <w:pStyle w:val="BodyText"/>
      </w:pPr>
      <w:r>
        <w:t xml:space="preserve">Je ne sais pas son nom. Et je n’ai trouvé nulle part trace de ce qu’il est devenu.</w:t>
      </w:r>
    </w:p>
    <w:bookmarkEnd w:id="27"/>
    <w:bookmarkStart w:id="28" w:name="la-fouille-420-530"/>
    <w:p>
      <w:pPr>
        <w:pStyle w:val="Heading2"/>
      </w:pPr>
      <w:r>
        <w:t xml:space="preserve">1.2 La fouille — 4:20 → 5:30</w:t>
      </w:r>
    </w:p>
    <w:p>
      <w:pPr>
        <w:pStyle w:val="FirstParagraph"/>
      </w:pPr>
      <w:r>
        <w:t xml:space="preserve">Deux ans plus tard, en deux mille huit, une équipe vient fouiller. Elle est dirigée par deux Américains, Elwyn Simons et Patricia Wright, et par un paléontologue malgache, Armand Rasoamiaramanana, de l’Université d’Antananarivo.</w:t>
      </w:r>
    </w:p>
    <w:p>
      <w:pPr>
        <w:pStyle w:val="BodyText"/>
      </w:pPr>
      <w:r>
        <w:t xml:space="preserve">Ils délimitent un carré de dix mètres sur dix. Ils le quadrillent au mètre. Ils descendent à travers le sable clair, puis à travers l’argile, jusqu’à une couche d’argile gris-vert.</w:t>
      </w:r>
    </w:p>
    <w:p>
      <w:pPr>
        <w:pStyle w:val="BodyText"/>
      </w:pPr>
      <w:r>
        <w:t xml:space="preserve">Ils en sortent plus de six cents fossiles.</w:t>
      </w:r>
    </w:p>
    <w:p>
      <w:pPr>
        <w:pStyle w:val="BodyText"/>
      </w:pPr>
      <w:r>
        <w:t xml:space="preserve">Et parmi eux, deux os d’oiseau. Deux os de la même patte : celui du dessus et celui du dessous, ceux qui s’emboîtent l’un dans l’autre. Ils étaient couchés côte à côte, encore alignés comme dans le corps vivant. On les a photographiés dans cet alignement, peu après les avoir dégagés.</w:t>
      </w:r>
    </w:p>
    <w:p>
      <w:pPr>
        <w:pStyle w:val="BodyText"/>
      </w:pPr>
      <w:r>
        <w:t xml:space="preserve">Gardez ça en tête, vous aussi.</w:t>
      </w:r>
    </w:p>
    <w:p>
      <w:pPr>
        <w:pStyle w:val="BodyText"/>
      </w:pPr>
      <w:r>
        <w:rPr>
          <w:bCs/>
          <w:b/>
        </w:rPr>
        <w:t xml:space="preserve">[SILENCE 1 s]</w:t>
      </w:r>
    </w:p>
    <w:p>
      <w:pPr>
        <w:pStyle w:val="BodyText"/>
      </w:pPr>
      <w:r>
        <w:t xml:space="preserve">Une remarque, en passant. Le site s’appelle</w:t>
      </w:r>
      <w:r>
        <w:t xml:space="preserve"> </w:t>
      </w:r>
      <w:r>
        <w:rPr>
          <w:iCs/>
          <w:i/>
        </w:rPr>
        <w:t xml:space="preserve">Christmas River</w:t>
      </w:r>
      <w:r>
        <w:t xml:space="preserve">. C’est le nom qu’il porte dans toute la littérature scientifique. Un site malgache, en pays bara, qui porte un nom anglais que personne, aujourd’hui, ne sait expliquer.</w:t>
      </w:r>
    </w:p>
    <w:p>
      <w:pPr>
        <w:pStyle w:val="BodyText"/>
      </w:pPr>
      <w:r>
        <w:t xml:space="preserve">Et je n’ai pas réussi à trouver comment cette rivière s’appelle en malgache.</w:t>
      </w:r>
    </w:p>
    <w:bookmarkEnd w:id="28"/>
    <w:bookmarkStart w:id="29" w:name="le-monde-davant-530-630"/>
    <w:p>
      <w:pPr>
        <w:pStyle w:val="Heading2"/>
      </w:pPr>
      <w:r>
        <w:t xml:space="preserve">1.3 Le monde d’avant — 5:30 → 6:30</w:t>
      </w:r>
    </w:p>
    <w:p>
      <w:pPr>
        <w:pStyle w:val="FirstParagraph"/>
      </w:pPr>
      <w:r>
        <w:t xml:space="preserve">Que contenait cette couche, à part les deux os ?</w:t>
      </w:r>
    </w:p>
    <w:p>
      <w:pPr>
        <w:pStyle w:val="BodyText"/>
      </w:pPr>
      <w:r>
        <w:t xml:space="preserve">Des hippopotames nains. Des crocodiles. Des tortues géantes. Le fossa géant, grand carnivore aujourd’hui disparu. Et des lémuriens qu’on ne verra plus jamais — dont</w:t>
      </w:r>
      <w:r>
        <w:t xml:space="preserve"> </w:t>
      </w:r>
      <w:r>
        <w:rPr>
          <w:iCs/>
          <w:i/>
        </w:rPr>
        <w:t xml:space="preserve">Megaladapis</w:t>
      </w:r>
      <w:r>
        <w:t xml:space="preserve">, un lémurien de la taille d’un gorille.</w:t>
      </w:r>
    </w:p>
    <w:p>
      <w:pPr>
        <w:pStyle w:val="BodyText"/>
      </w:pPr>
      <w:r>
        <w:t xml:space="preserve">Les hippopotames sont amphibies. Les lémuriens sont forestiers.</w:t>
      </w:r>
    </w:p>
    <w:p>
      <w:pPr>
        <w:pStyle w:val="BodyText"/>
      </w:pPr>
      <w:r>
        <w:t xml:space="preserve">Donc, à cet endroit, il y a dix mille ans : de l’eau permanente. Des mares. Des arbres. Les auteurs parlent d’une zone humide.</w:t>
      </w:r>
    </w:p>
    <w:p>
      <w:pPr>
        <w:pStyle w:val="BodyText"/>
      </w:pPr>
      <w:r>
        <w:t xml:space="preserve">Aujourd’hui, au même endroit : de la savane sèche, et des puits de saphir.</w:t>
      </w:r>
    </w:p>
    <w:p>
      <w:pPr>
        <w:pStyle w:val="BodyText"/>
      </w:pPr>
      <w:r>
        <w:t xml:space="preserve">Même lieu. Deux mondes.</w:t>
      </w:r>
    </w:p>
    <w:bookmarkEnd w:id="29"/>
    <w:bookmarkStart w:id="30" w:name="lanimal-630-810"/>
    <w:p>
      <w:pPr>
        <w:pStyle w:val="Heading2"/>
      </w:pPr>
      <w:r>
        <w:t xml:space="preserve">1.4 L’animal — 6:30 → 8:10</w:t>
      </w:r>
    </w:p>
    <w:p>
      <w:pPr>
        <w:pStyle w:val="FirstParagraph"/>
      </w:pPr>
      <w:r>
        <w:t xml:space="preserve">Et il y a l’oiseau.</w:t>
      </w:r>
    </w:p>
    <w:p>
      <w:pPr>
        <w:pStyle w:val="BodyText"/>
      </w:pPr>
      <w:r>
        <w:t xml:space="preserve">Trois mètres de haut, debout.</w:t>
      </w:r>
    </w:p>
    <w:p>
      <w:pPr>
        <w:pStyle w:val="BodyText"/>
      </w:pPr>
      <w:r>
        <w:t xml:space="preserve">Pour le poids, méfiez-vous des chiffres ronds. Les estimations publiées vont de deux cent soixante-quinze kilos à plus de sept cents. Disons : entre un cheval et une petite voiture.</w:t>
      </w:r>
      <w:r>
        <w:t xml:space="preserve"> </w:t>
      </w:r>
      <w:r>
        <w:rPr>
          <w:bCs/>
          <w:b/>
        </w:rPr>
        <w:t xml:space="preserve">Même sa masse est discutée.</w:t>
      </w:r>
    </w:p>
    <w:p>
      <w:pPr>
        <w:pStyle w:val="BodyText"/>
      </w:pPr>
      <w:r>
        <w:t xml:space="preserve">Il ne volait pas — ses ailes étaient inutiles. Un bec conique. Des pattes courtes et épaisses. Trois doigts.</w:t>
      </w:r>
    </w:p>
    <w:p>
      <w:pPr>
        <w:pStyle w:val="BodyText"/>
      </w:pPr>
      <w:r>
        <w:t xml:space="preserve">Et puis il y a son crâne. En deux mille dix-huit, Christopher Torres et Julia Clarke ont reconstruit numériquement l’intérieur de boîtes crâniennes d’oiseaux-éléphants. Le lobe optique — la partie du cerveau qui traite la vision — est extraordinairement réduit. Chez la plus grande espèce, il est presque absent. Le bulbe olfactif, lui, est énorme.</w:t>
      </w:r>
    </w:p>
    <w:p>
      <w:pPr>
        <w:pStyle w:val="BodyText"/>
      </w:pPr>
      <w:r>
        <w:t xml:space="preserve">Ils en déduisent un animal</w:t>
      </w:r>
      <w:r>
        <w:t xml:space="preserve"> </w:t>
      </w:r>
      <w:r>
        <w:rPr>
          <w:bCs/>
          <w:b/>
        </w:rPr>
        <w:t xml:space="preserve">nocturne</w:t>
      </w:r>
      <w:r>
        <w:t xml:space="preserve">, forestier, qui se dirigeait au nez.</w:t>
      </w:r>
    </w:p>
    <w:p>
      <w:pPr>
        <w:pStyle w:val="BodyText"/>
      </w:pPr>
      <w:r>
        <w:t xml:space="preserve">Son plus proche parent vivant n’est ni l’autruche ni l’émeu. C’est le kiwi de Nouvelle-Zélande. Deux kilos. Nocturne. L’odorat surdéveloppé.</w:t>
      </w:r>
    </w:p>
    <w:p>
      <w:pPr>
        <w:pStyle w:val="BodyText"/>
      </w:pPr>
      <w:r>
        <w:rPr>
          <w:bCs/>
          <w:b/>
        </w:rPr>
        <w:t xml:space="preserve">[SILENCE 1 s]</w:t>
      </w:r>
    </w:p>
    <w:p>
      <w:pPr>
        <w:pStyle w:val="BodyText"/>
      </w:pPr>
      <w:r>
        <w:t xml:space="preserve">Et puis il y a son nom, ici.</w:t>
      </w:r>
      <w:r>
        <w:t xml:space="preserve"> </w:t>
      </w:r>
      <w:r>
        <w:rPr>
          <w:bCs/>
          <w:b/>
        </w:rPr>
        <w:t xml:space="preserve">Vorompatra.</w:t>
      </w:r>
    </w:p>
    <w:p>
      <w:pPr>
        <w:pStyle w:val="BodyText"/>
      </w:pPr>
      <w:r>
        <w:t xml:space="preserve">L’oiseau des Ampatres — l’extrême sud. Ou bien l’oiseau des marais. Les deux lectures circulent, et je n’ai trouvé aucune autorité qui tranche.</w:t>
      </w:r>
    </w:p>
    <w:p>
      <w:pPr>
        <w:pStyle w:val="BodyText"/>
      </w:pPr>
      <w:r>
        <w:t xml:space="preserve">Premier « on ne sait pas » de cet épisode. Il porte sur un mot malgache.</w:t>
      </w:r>
    </w:p>
    <w:bookmarkEnd w:id="30"/>
    <w:bookmarkStart w:id="31" w:name="bascule-la-date-810-850"/>
    <w:p>
      <w:pPr>
        <w:pStyle w:val="Heading2"/>
      </w:pPr>
      <w:r>
        <w:t xml:space="preserve">BASCULE — La date — 8:10 → 8:50</w:t>
      </w:r>
    </w:p>
    <w:p>
      <w:pPr>
        <w:pStyle w:val="FirstParagraph"/>
      </w:pPr>
      <w:r>
        <w:t xml:space="preserve">Revenons à la patte.</w:t>
      </w:r>
    </w:p>
    <w:p>
      <w:pPr>
        <w:pStyle w:val="BodyText"/>
      </w:pPr>
      <w:r>
        <w:t xml:space="preserve">On y prélève un demi-gramme d’os. On l’envoie à deux laboratoires, séparément. Les deux rendent la même chose, à cent ans près.</w:t>
      </w:r>
    </w:p>
    <w:p>
      <w:pPr>
        <w:pStyle w:val="BodyText"/>
      </w:pPr>
      <w:r>
        <w:t xml:space="preserve">Une précision, une seule fois : ces âges se comptent à rebours depuis aujourd’hui, et il faut ensuite les corriger, parce que la teneur de l’atmosphère en carbone a varié au fil du temps. Une fois cette correction faite, l’os a</w:t>
      </w:r>
      <w:r>
        <w:t xml:space="preserve"> </w:t>
      </w:r>
      <w:r>
        <w:rPr>
          <w:bCs/>
          <w:b/>
        </w:rPr>
        <w:t xml:space="preserve">plus de dix mille cinq cents ans</w:t>
      </w:r>
      <w:r>
        <w:t xml:space="preserve">.</w:t>
      </w:r>
    </w:p>
    <w:p>
      <w:pPr>
        <w:pStyle w:val="BodyText"/>
      </w:pPr>
      <w:r>
        <w:t xml:space="preserve">Neuf mille ans avant la date que tout le monde tenait pour acquise. Et six mille ans avant la plus ancienne trace archéologique alors admise.</w:t>
      </w:r>
    </w:p>
    <w:p>
      <w:pPr>
        <w:pStyle w:val="BodyText"/>
      </w:pPr>
      <w:r>
        <w:t xml:space="preserve">Ce n’est pas non plus une date qui flotte : les autres animaux de la même couche donnent des âges du même ordre.</w:t>
      </w:r>
    </w:p>
    <w:p>
      <w:r>
        <w:pict>
          <v:rect style="width:0;height:1.5pt" o:hralign="center" o:hrstd="t" o:hr="t"/>
        </w:pict>
      </w:r>
    </w:p>
    <w:bookmarkEnd w:id="31"/>
    <w:bookmarkEnd w:id="32"/>
    <w:bookmarkStart w:id="37" w:name="acte-ii-ce-quon-croit-y-lire"/>
    <w:p>
      <w:pPr>
        <w:pStyle w:val="Heading1"/>
      </w:pPr>
      <w:r>
        <w:t xml:space="preserve">ACTE II — CE QU’ON CROIT Y LIRE</w:t>
      </w:r>
    </w:p>
    <w:bookmarkStart w:id="33" w:name="le-microscope-850-940"/>
    <w:p>
      <w:pPr>
        <w:pStyle w:val="Heading2"/>
      </w:pPr>
      <w:r>
        <w:t xml:space="preserve">2.1 Le microscope — 8:50 → 9:40</w:t>
      </w:r>
    </w:p>
    <w:p>
      <w:pPr>
        <w:pStyle w:val="FirstParagraph"/>
      </w:pPr>
      <w:r>
        <w:t xml:space="preserve">Les os partent aux États-Unis. Ils atterrissent sous le microscope de Ventura Pérez, anthropologue, spécialiste des traces laissées sur un os au moment de la mort.</w:t>
      </w:r>
    </w:p>
    <w:p>
      <w:pPr>
        <w:pStyle w:val="BodyText"/>
      </w:pPr>
      <w:r>
        <w:t xml:space="preserve">Il venait de recevoir un appareil neuf. Un microscope numérique en trois dimensions : quatre-vingt-cinq mille dollars.</w:t>
      </w:r>
    </w:p>
    <w:p>
      <w:pPr>
        <w:pStyle w:val="BodyText"/>
      </w:pPr>
      <w:r>
        <w:t xml:space="preserve">Avant lui, analyser une seule marque de découpe prenait soixante-douze heures, et abîmait souvent l’os. Le nouvel appareil fait la même chose en quatre secondes. Sans le toucher.</w:t>
      </w:r>
    </w:p>
    <w:p>
      <w:pPr>
        <w:pStyle w:val="BodyText"/>
      </w:pPr>
      <w:r>
        <w:t xml:space="preserve">Il regarde.</w:t>
      </w:r>
    </w:p>
    <w:p>
      <w:pPr>
        <w:pStyle w:val="BlockText"/>
      </w:pPr>
      <w:r>
        <w:rPr>
          <w:bCs/>
          <w:b/>
        </w:rPr>
        <w:t xml:space="preserve">[V2 — Ventura Pérez]</w:t>
      </w:r>
      <w:r>
        <w:t xml:space="preserve"> </w:t>
      </w:r>
      <w:r>
        <w:t xml:space="preserve">« Je venais de recevoir le microscope. J’étais stupéfait. »</w:t>
      </w:r>
    </w:p>
    <w:p>
      <w:pPr>
        <w:pStyle w:val="FirstParagraph"/>
      </w:pPr>
      <w:r>
        <w:t xml:space="preserve">Il appelle l’équipe. Il lui dit que ce qu’il voit ressemble à des marques de démembrement faites par un outil.</w:t>
      </w:r>
    </w:p>
    <w:bookmarkEnd w:id="33"/>
    <w:bookmarkStart w:id="34" w:name="les-trois-gestes-940-1110"/>
    <w:p>
      <w:pPr>
        <w:pStyle w:val="Heading2"/>
      </w:pPr>
      <w:r>
        <w:t xml:space="preserve">2.2 Les trois gestes — 9:40 → 11:10</w:t>
      </w:r>
    </w:p>
    <w:p>
      <w:pPr>
        <w:pStyle w:val="FirstParagraph"/>
      </w:pPr>
      <w:r>
        <w:rPr>
          <w:bCs/>
          <w:b/>
        </w:rPr>
        <w:t xml:space="preserve">Voici ce que les auteurs lisent sur cet os.</w:t>
      </w:r>
    </w:p>
    <w:p>
      <w:pPr>
        <w:pStyle w:val="BodyText"/>
      </w:pPr>
      <w:r>
        <w:t xml:space="preserve">Trois gestes, dans l’ordre.</w:t>
      </w:r>
    </w:p>
    <w:p>
      <w:pPr>
        <w:pStyle w:val="BodyText"/>
      </w:pPr>
      <w:r>
        <w:rPr>
          <w:bCs/>
          <w:b/>
        </w:rPr>
        <w:t xml:space="preserve">Premier geste.</w:t>
      </w:r>
      <w:r>
        <w:t xml:space="preserve"> </w:t>
      </w:r>
      <w:r>
        <w:t xml:space="preserve">Sur l’os du dessus, deux enfoncements. L’un de deux centimètres. L’autre de cinq. Profonds — sept, huit millimètres. Ce ne sont pas des coupes : ce sont des impacts. Pour les auteurs, ils correspondent à une immobilisation : un animal entravé, une patte écrasée pour qu’il cesse de bouger.</w:t>
      </w:r>
    </w:p>
    <w:p>
      <w:pPr>
        <w:pStyle w:val="BodyText"/>
      </w:pPr>
      <w:r>
        <w:rPr>
          <w:bCs/>
          <w:b/>
        </w:rPr>
        <w:t xml:space="preserve">Deuxième geste.</w:t>
      </w:r>
      <w:r>
        <w:t xml:space="preserve"> </w:t>
      </w:r>
      <w:r>
        <w:t xml:space="preserve">L’entaille dont je vous parlais tout à l’heure. Quatre centimètres et demi de long, cinq millimètres de profondeur, à l’endroit exact où l’articulation plie. Elle traverse l’os compact. Pour les auteurs : une articulation ouverte, à coups portés, pour séparer les deux segments.</w:t>
      </w:r>
    </w:p>
    <w:p>
      <w:pPr>
        <w:pStyle w:val="BodyText"/>
      </w:pPr>
      <w:r>
        <w:rPr>
          <w:bCs/>
          <w:b/>
        </w:rPr>
        <w:t xml:space="preserve">Troisième geste.</w:t>
      </w:r>
      <w:r>
        <w:t xml:space="preserve"> </w:t>
      </w:r>
      <w:r>
        <w:t xml:space="preserve">Sur l’os du dessous, cinq sillons. Tous à l’extrémité, là où s’attachent les doigts. Pour les auteurs : des orteils détachés, un par un.</w:t>
      </w:r>
    </w:p>
    <w:p>
      <w:pPr>
        <w:pStyle w:val="BodyText"/>
      </w:pPr>
      <w:r>
        <w:rPr>
          <w:bCs/>
          <w:b/>
        </w:rPr>
        <w:t xml:space="preserve">[SILENCE 1 s]</w:t>
      </w:r>
    </w:p>
    <w:p>
      <w:pPr>
        <w:pStyle w:val="BodyText"/>
      </w:pPr>
      <w:r>
        <w:t xml:space="preserve">Immobilisation. Démembrement. Ce sont leurs mots.</w:t>
      </w:r>
    </w:p>
    <w:p>
      <w:pPr>
        <w:pStyle w:val="BodyText"/>
      </w:pPr>
      <w:r>
        <w:t xml:space="preserve">Et disons-le tout de suite, parce que ça compte : découper un oiseau pour le manger,</w:t>
      </w:r>
      <w:r>
        <w:t xml:space="preserve"> </w:t>
      </w:r>
      <w:r>
        <w:rPr>
          <w:bCs/>
          <w:b/>
        </w:rPr>
        <w:t xml:space="preserve">ce n’est pas un crime. C’est un dîner.</w:t>
      </w:r>
    </w:p>
    <w:bookmarkEnd w:id="34"/>
    <w:bookmarkStart w:id="35" w:name="la-femelle-1110-1150"/>
    <w:p>
      <w:pPr>
        <w:pStyle w:val="Heading2"/>
      </w:pPr>
      <w:r>
        <w:t xml:space="preserve">2.3 La femelle — 11:10 → 11:50</w:t>
      </w:r>
    </w:p>
    <w:p>
      <w:pPr>
        <w:pStyle w:val="FirstParagraph"/>
      </w:pPr>
      <w:r>
        <w:t xml:space="preserve">Un détail, encore.</w:t>
      </w:r>
    </w:p>
    <w:p>
      <w:pPr>
        <w:pStyle w:val="BodyText"/>
      </w:pPr>
      <w:r>
        <w:t xml:space="preserve">À l’intérieur de l’os, il y a de l’os médullaire. C’est un tissu particulier : les oiselles n’en fabriquent qu’à un seul moment de leur vie — quand elles produisent des œufs.</w:t>
      </w:r>
    </w:p>
    <w:p>
      <w:pPr>
        <w:pStyle w:val="BodyText"/>
      </w:pPr>
      <w:r>
        <w:t xml:space="preserve">L’animal était une femelle. Elle était en période de ponte.</w:t>
      </w:r>
    </w:p>
    <w:p>
      <w:pPr>
        <w:pStyle w:val="BodyText"/>
      </w:pPr>
      <w:r>
        <w:rPr>
          <w:bCs/>
          <w:b/>
        </w:rPr>
        <w:t xml:space="preserve">[SILENCE 2 s]</w:t>
      </w:r>
    </w:p>
    <w:p>
      <w:pPr>
        <w:pStyle w:val="BodyText"/>
      </w:pPr>
      <w:r>
        <w:t xml:space="preserve">Voilà ce que dit l’os.</w:t>
      </w:r>
    </w:p>
    <w:p>
      <w:pPr>
        <w:pStyle w:val="BodyText"/>
      </w:pPr>
      <w:r>
        <w:t xml:space="preserve">L’os ne dit pas qui tenait la lame. Il ne dit pas non plus s’ils étaient un ou dix, ni combien de temps cela a duré.</w:t>
      </w:r>
    </w:p>
    <w:bookmarkEnd w:id="35"/>
    <w:bookmarkStart w:id="36" w:name="londe-de-choc-et-laveu-1150-1310"/>
    <w:p>
      <w:pPr>
        <w:pStyle w:val="Heading2"/>
      </w:pPr>
      <w:r>
        <w:t xml:space="preserve">2.4 L’onde de choc, et l’aveu — 11:50 → 13:10</w:t>
      </w:r>
    </w:p>
    <w:p>
      <w:pPr>
        <w:pStyle w:val="FirstParagraph"/>
      </w:pPr>
      <w:r>
        <w:t xml:space="preserve">Douze septembre deux mille dix-huit. L’étude paraît dans</w:t>
      </w:r>
      <w:r>
        <w:t xml:space="preserve"> </w:t>
      </w:r>
      <w:r>
        <w:rPr>
          <w:iCs/>
          <w:i/>
        </w:rPr>
        <w:t xml:space="preserve">Science Advances</w:t>
      </w:r>
      <w:r>
        <w:t xml:space="preserve">. Premier auteur : James Hansford, de la Société zoologique de Londres.</w:t>
      </w:r>
    </w:p>
    <w:p>
      <w:pPr>
        <w:pStyle w:val="BlockText"/>
      </w:pPr>
      <w:r>
        <w:rPr>
          <w:bCs/>
          <w:b/>
        </w:rPr>
        <w:t xml:space="preserve">[V3 — James Hansford]</w:t>
      </w:r>
      <w:r>
        <w:t xml:space="preserve"> </w:t>
      </w:r>
      <w:r>
        <w:t xml:space="preserve">« Nos recherches apportent la preuve d’une activité humaine à Madagascar plus de six mille ans plus tôt qu’on ne le soupçonnait. »</w:t>
      </w:r>
    </w:p>
    <w:p>
      <w:pPr>
        <w:pStyle w:val="FirstParagraph"/>
      </w:pPr>
      <w:r>
        <w:t xml:space="preserve">Mesurez ce que ça déplacerait.</w:t>
      </w:r>
    </w:p>
    <w:p>
      <w:pPr>
        <w:pStyle w:val="BodyText"/>
      </w:pPr>
      <w:r>
        <w:t xml:space="preserve">Si c’est vrai, des êtres humains étaient ici au tout début de l’Holocène — juste après la fin de la dernière période glaciaire — avec des outils de pierre. Ils ont côtoyé cette faune pendant neuf mille ans sans la faire disparaître. Et ils n’ont laissé</w:t>
      </w:r>
      <w:r>
        <w:t xml:space="preserve"> </w:t>
      </w:r>
      <w:r>
        <w:rPr>
          <w:bCs/>
          <w:b/>
        </w:rPr>
        <w:t xml:space="preserve">aucune trace génétique</w:t>
      </w:r>
      <w:r>
        <w:t xml:space="preserve"> </w:t>
      </w:r>
      <w:r>
        <w:t xml:space="preserve">dans les populations malgaches d’aujourd’hui.</w:t>
      </w:r>
    </w:p>
    <w:p>
      <w:pPr>
        <w:pStyle w:val="BodyText"/>
      </w:pPr>
      <w:r>
        <w:t xml:space="preserve">C’est Patricia Wright, celle-là même qui dirigeait la fouille, qui pose la question qui reste :</w:t>
      </w:r>
    </w:p>
    <w:p>
      <w:pPr>
        <w:pStyle w:val="BlockText"/>
      </w:pPr>
      <w:r>
        <w:rPr>
          <w:bCs/>
          <w:b/>
        </w:rPr>
        <w:t xml:space="preserve">[V4 — Patricia Wright]</w:t>
      </w:r>
      <w:r>
        <w:t xml:space="preserve"> </w:t>
      </w:r>
      <w:r>
        <w:t xml:space="preserve">« Nous ne connaissons pas l’origine de ces gens, et nous ne la connaîtrons pas tant que nous n’aurons pas d’autres preuves archéologiques. Mais nous savons qu’il n’y a aucune trace de leurs gènes dans les populations actuelles. La question reste entière : qui étaient ces gens ? Et quand, et pourquoi, ont-ils disparu ? »</w:t>
      </w:r>
    </w:p>
    <w:p>
      <w:pPr>
        <w:pStyle w:val="FirstParagraph"/>
      </w:pPr>
      <w:r>
        <w:t xml:space="preserve">Notez la prudence des auteurs. Dans leur propre article, ils écrivent que cette présence a pu se réduire à des passages — des migrations ponctuelles depuis l’Afrique, par le canal du Mozambique — et non à un peuplement permanent de l’île. Ils ont posé eux-mêmes, dès la première page, la distinction qui mettra dix ans à s’imposer.</w:t>
      </w:r>
    </w:p>
    <w:p>
      <w:pPr>
        <w:pStyle w:val="BodyText"/>
      </w:pPr>
      <w:r>
        <w:t xml:space="preserve">Et ils signalent ce qui manque.</w:t>
      </w:r>
    </w:p>
    <w:p>
      <w:pPr>
        <w:pStyle w:val="BodyText"/>
      </w:pPr>
      <w:r>
        <w:rPr>
          <w:bCs/>
          <w:b/>
        </w:rPr>
        <w:t xml:space="preserve">[SILENCE 1 s]</w:t>
      </w:r>
    </w:p>
    <w:p>
      <w:pPr>
        <w:pStyle w:val="BodyText"/>
      </w:pPr>
      <w:r>
        <w:t xml:space="preserve">Aucun outil de pierre. Aucun ossement humain. Aucun objet fabriqué, d’aucune sorte. Ce sont leurs mots. Et aucun foyer n’a jamais été signalé sur ce site.</w:t>
      </w:r>
    </w:p>
    <w:p>
      <w:pPr>
        <w:pStyle w:val="BodyText"/>
      </w:pPr>
      <w:r>
        <w:t xml:space="preserve">Rien. Que des os d’animaux, avec des marques dessus.</w:t>
      </w:r>
    </w:p>
    <w:p>
      <w:pPr>
        <w:pStyle w:val="BodyText"/>
      </w:pPr>
      <w:r>
        <w:t xml:space="preserve">Une précision nécessaire : l’article ne repose pas sur cette seule patte. Il présente six spécimens, venus de cinq provenances dont une inconnue, et de trois espèces, sur près de dix mille ans. Mais c’est cette patte-là qui a fait tout le bruit.</w:t>
      </w:r>
    </w:p>
    <w:p>
      <w:r>
        <w:pict>
          <v:rect style="width:0;height:1.5pt" o:hralign="center" o:hrstd="t" o:hr="t"/>
        </w:pict>
      </w:r>
    </w:p>
    <w:bookmarkEnd w:id="36"/>
    <w:bookmarkEnd w:id="37"/>
    <w:bookmarkStart w:id="42" w:name="acte-iii-ce-quon-refuse-dy-lire"/>
    <w:p>
      <w:pPr>
        <w:pStyle w:val="Heading1"/>
      </w:pPr>
      <w:r>
        <w:t xml:space="preserve">ACTE III — CE QU’ON REFUSE D’Y LIRE</w:t>
      </w:r>
    </w:p>
    <w:bookmarkStart w:id="38" w:name="la-taphonomie-1310-1500"/>
    <w:p>
      <w:pPr>
        <w:pStyle w:val="Heading2"/>
      </w:pPr>
      <w:r>
        <w:t xml:space="preserve">3.1 La taphonomie — 13:10 → 15:00</w:t>
      </w:r>
    </w:p>
    <w:p>
      <w:pPr>
        <w:pStyle w:val="FirstParagraph"/>
      </w:pPr>
      <w:r>
        <w:t xml:space="preserve">Quatre semaines plus tard — le dix octobre deux mille dix-huit — une autre équipe publie. Elle est menée par Atholl Anderson, archéologue à l’Université nationale australienne. Douze auteurs, dont trois Malgaches. Trois sites du sud-ouest. Deux mille sept cent dix ossements.</w:t>
      </w:r>
    </w:p>
    <w:p>
      <w:pPr>
        <w:pStyle w:val="BodyText"/>
      </w:pPr>
      <w:r>
        <w:t xml:space="preserve">Leur sujet, c’est un mot qu’il faut connaître pour comprendre tout ce débat :</w:t>
      </w:r>
      <w:r>
        <w:t xml:space="preserve"> </w:t>
      </w:r>
      <w:r>
        <w:rPr>
          <w:bCs/>
          <w:b/>
        </w:rPr>
        <w:t xml:space="preserve">la taphonomie</w:t>
      </w:r>
      <w:r>
        <w:t xml:space="preserve">.</w:t>
      </w:r>
    </w:p>
    <w:p>
      <w:pPr>
        <w:pStyle w:val="BodyText"/>
      </w:pPr>
      <w:r>
        <w:t xml:space="preserve">La taphonomie, c’est tout ce qui arrive à un os entre le moment où l’animal meurt et le moment où un chercheur le pose sur une table. Il est piétiné. Rongé. Roulé par l’eau. Le sable l’abrase. Des racines poussent dessus et gravent la surface. Un os qui sort de terre porte l’histoire de dix mille ans d’accidents.</w:t>
      </w:r>
    </w:p>
    <w:p>
      <w:pPr>
        <w:pStyle w:val="BodyText"/>
      </w:pPr>
      <w:r>
        <w:rPr>
          <w:bCs/>
          <w:b/>
        </w:rPr>
        <w:t xml:space="preserve">[SILENCE 1 s]</w:t>
      </w:r>
    </w:p>
    <w:p>
      <w:pPr>
        <w:pStyle w:val="BodyText"/>
      </w:pPr>
      <w:r>
        <w:t xml:space="preserve">Voici leur résultat.</w:t>
      </w:r>
    </w:p>
    <w:p>
      <w:pPr>
        <w:pStyle w:val="BodyText"/>
      </w:pPr>
      <w:r>
        <w:t xml:space="preserve">Sur les os d’animaux éteints — hippopotames, lémuriens géants, oiseaux-éléphants — la proportion d’os portant une marque de découpe est d’environ</w:t>
      </w:r>
      <w:r>
        <w:t xml:space="preserve"> </w:t>
      </w:r>
      <w:r>
        <w:rPr>
          <w:bCs/>
          <w:b/>
        </w:rPr>
        <w:t xml:space="preserve">un pour mille</w:t>
      </w:r>
      <w:r>
        <w:t xml:space="preserve">.</w:t>
      </w:r>
    </w:p>
    <w:p>
      <w:pPr>
        <w:pStyle w:val="BodyText"/>
      </w:pPr>
      <w:r>
        <w:t xml:space="preserve">Sur les os d’espèces encore vivantes aujourd’hui, dans l’un de ces mêmes sites, elle est de</w:t>
      </w:r>
      <w:r>
        <w:t xml:space="preserve"> </w:t>
      </w:r>
      <w:r>
        <w:rPr>
          <w:bCs/>
          <w:b/>
        </w:rPr>
        <w:t xml:space="preserve">près de neuf pour cent</w:t>
      </w:r>
      <w:r>
        <w:t xml:space="preserve">.</w:t>
      </w:r>
    </w:p>
    <w:p>
      <w:pPr>
        <w:pStyle w:val="BodyText"/>
      </w:pPr>
      <w:r>
        <w:rPr>
          <w:bCs/>
          <w:b/>
        </w:rPr>
        <w:t xml:space="preserve">[SILENCE 1 s]</w:t>
      </w:r>
    </w:p>
    <w:p>
      <w:pPr>
        <w:pStyle w:val="BodyText"/>
      </w:pPr>
      <w:r>
        <w:t xml:space="preserve">Un pour mille d’un côté. Neuf pour cent de l’autre.</w:t>
      </w:r>
    </w:p>
    <w:p>
      <w:pPr>
        <w:pStyle w:val="BodyText"/>
      </w:pPr>
      <w:r>
        <w:t xml:space="preserve">Ce ne sont pas deux chiffres. Ce sont deux régimes différents. Et c’est ce contraste-là qui les inquiète.</w:t>
      </w:r>
    </w:p>
    <w:p>
      <w:pPr>
        <w:pStyle w:val="BodyText"/>
      </w:pPr>
      <w:r>
        <w:t xml:space="preserve">Leur conclusion : aucune marque de boucherie avérée avant environ mille deux cents ans. Et la colonisation initiale de l’île se situerait entre mille cent et mille trois cent cinquante ans.</w:t>
      </w:r>
    </w:p>
    <w:p>
      <w:pPr>
        <w:pStyle w:val="BodyText"/>
      </w:pPr>
      <w:r>
        <w:t xml:space="preserve">Quant aux marques anciennes, ils avancent trois explications possibles. Des morsures d’animaux. Des empreintes de racines. Ou des coups portés par les outils de fouille.</w:t>
      </w:r>
    </w:p>
    <w:p>
      <w:pPr>
        <w:pStyle w:val="BodyText"/>
      </w:pPr>
      <w:r>
        <w:rPr>
          <w:bCs/>
          <w:b/>
        </w:rPr>
        <w:t xml:space="preserve">[SILENCE 1,5 s]</w:t>
      </w:r>
    </w:p>
    <w:p>
      <w:pPr>
        <w:pStyle w:val="BodyText"/>
      </w:pPr>
      <w:r>
        <w:t xml:space="preserve">Écoutez bien la dernière. Elle dit :</w:t>
      </w:r>
      <w:r>
        <w:t xml:space="preserve"> </w:t>
      </w:r>
      <w:r>
        <w:rPr>
          <w:iCs/>
          <w:i/>
        </w:rPr>
        <w:t xml:space="preserve">vos marques d’outils sont peut-être les traces de vos propres pioches.</w:t>
      </w:r>
    </w:p>
    <w:p>
      <w:pPr>
        <w:pStyle w:val="BodyText"/>
      </w:pPr>
      <w:r>
        <w:t xml:space="preserve">Et ils écrivent, en langage de statisticien :</w:t>
      </w:r>
    </w:p>
    <w:p>
      <w:pPr>
        <w:pStyle w:val="BlockText"/>
      </w:pPr>
      <w:r>
        <w:rPr>
          <w:bCs/>
          <w:b/>
        </w:rPr>
        <w:t xml:space="preserve">[V5 — Anderson et al., 2018]</w:t>
      </w:r>
      <w:r>
        <w:t xml:space="preserve"> </w:t>
      </w:r>
      <w:r>
        <w:t xml:space="preserve">« L’hypothèse selon laquelle ces dommages sont d’origine naturelle ne peut pas être écartée, pour les spécimens antérieurs à environ mille trois cents ans. »</w:t>
      </w:r>
    </w:p>
    <w:bookmarkEnd w:id="38"/>
    <w:bookmarkStart w:id="39" w:name="le-juge-1500-1630"/>
    <w:p>
      <w:pPr>
        <w:pStyle w:val="Heading2"/>
      </w:pPr>
      <w:r>
        <w:t xml:space="preserve">3.2 Le juge — 15:00 → 16:30</w:t>
      </w:r>
    </w:p>
    <w:p>
      <w:pPr>
        <w:pStyle w:val="FirstParagraph"/>
      </w:pPr>
      <w:r>
        <w:t xml:space="preserve">Puis un archéologue d’Oxford entre dans le dossier. Il s’appelle Peter Mitchell.</w:t>
      </w:r>
    </w:p>
    <w:p>
      <w:pPr>
        <w:pStyle w:val="BodyText"/>
      </w:pPr>
      <w:r>
        <w:t xml:space="preserve">Sa méthode est simple. Il refuse de juger Madagascar avec des critères plus indulgents que ceux qu’on applique ailleurs — là où d’autres revendications prétendent, elles aussi, faire reculer de plusieurs millénaires le peuplement d’un continent.</w:t>
      </w:r>
    </w:p>
    <w:p>
      <w:pPr>
        <w:pStyle w:val="BodyText"/>
      </w:pPr>
      <w:r>
        <w:t xml:space="preserve">Trois exigences.</w:t>
      </w:r>
    </w:p>
    <w:p>
      <w:pPr>
        <w:pStyle w:val="BodyText"/>
      </w:pPr>
      <w:r>
        <w:rPr>
          <w:bCs/>
          <w:b/>
        </w:rPr>
        <w:t xml:space="preserve">Un</w:t>
      </w:r>
      <w:r>
        <w:t xml:space="preserve"> </w:t>
      </w:r>
      <w:r>
        <w:t xml:space="preserve">: des traces indéniables d’activité humaine. Un objet fabriqué, ou une matière naturelle modifiée sans ambiguïté possible.</w:t>
      </w:r>
    </w:p>
    <w:p>
      <w:pPr>
        <w:pStyle w:val="BodyText"/>
      </w:pPr>
      <w:r>
        <w:rPr>
          <w:bCs/>
          <w:b/>
        </w:rPr>
        <w:t xml:space="preserve">Deux</w:t>
      </w:r>
      <w:r>
        <w:t xml:space="preserve"> </w:t>
      </w:r>
      <w:r>
        <w:t xml:space="preserve">: ces traces dans un dépôt géologique intact, non remanié, à leur place d’origine.</w:t>
      </w:r>
    </w:p>
    <w:p>
      <w:pPr>
        <w:pStyle w:val="BodyText"/>
      </w:pPr>
      <w:r>
        <w:rPr>
          <w:bCs/>
          <w:b/>
        </w:rPr>
        <w:t xml:space="preserve">Trois</w:t>
      </w:r>
      <w:r>
        <w:t xml:space="preserve"> </w:t>
      </w:r>
      <w:r>
        <w:t xml:space="preserve">: une datation directe sur les pièces elles-mêmes — pas sur du matériel simplement trouvé à côté.</w:t>
      </w:r>
    </w:p>
    <w:p>
      <w:pPr>
        <w:pStyle w:val="BodyText"/>
      </w:pPr>
      <w:r>
        <w:rPr>
          <w:bCs/>
          <w:b/>
        </w:rPr>
        <w:t xml:space="preserve">[SILENCE 1 s]</w:t>
      </w:r>
    </w:p>
    <w:p>
      <w:pPr>
        <w:pStyle w:val="BodyText"/>
      </w:pPr>
      <w:r>
        <w:t xml:space="preserve">Le troisième critère, il faut le dire,</w:t>
      </w:r>
      <w:r>
        <w:t xml:space="preserve"> </w:t>
      </w:r>
      <w:r>
        <w:rPr>
          <w:bCs/>
          <w:b/>
        </w:rPr>
        <w:t xml:space="preserve">est satisfait</w:t>
      </w:r>
      <w:r>
        <w:t xml:space="preserve">. Les os de Christmas River ont bien été datés directement, deux fois. Personne ne conteste sérieusement leur âge.</w:t>
      </w:r>
    </w:p>
    <w:p>
      <w:pPr>
        <w:pStyle w:val="BodyText"/>
      </w:pPr>
      <w:r>
        <w:t xml:space="preserve">Le litige porte sur les deux premiers.</w:t>
      </w:r>
    </w:p>
    <w:p>
      <w:pPr>
        <w:pStyle w:val="BodyText"/>
      </w:pPr>
      <w:r>
        <w:t xml:space="preserve">Et cet argument est solide. Il faut le prendre au sérieux. Cette pièce est isolée : pas d’outil, pas de foyer, pas d’habitat autour. Et le site n’a jamais été refouillé depuis. À elle seule, elle ne peut pas déplacer six mille ans d’histoire humaine.</w:t>
      </w:r>
    </w:p>
    <w:p>
      <w:pPr>
        <w:pStyle w:val="BlockText"/>
      </w:pPr>
      <w:r>
        <w:rPr>
          <w:bCs/>
          <w:b/>
        </w:rPr>
        <w:t xml:space="preserve">[V6 — Peter Mitchell, 2019]</w:t>
      </w:r>
      <w:r>
        <w:t xml:space="preserve"> </w:t>
      </w:r>
      <w:r>
        <w:t xml:space="preserve">« Il n’existe donc aucune preuve convaincante que Madagascar ait été peuplée avant le milieu du premier millénaire de notre ère. »</w:t>
      </w:r>
    </w:p>
    <w:bookmarkEnd w:id="39"/>
    <w:bookmarkStart w:id="40" w:name="lobjet-répond-1630-1740"/>
    <w:p>
      <w:pPr>
        <w:pStyle w:val="Heading2"/>
      </w:pPr>
      <w:r>
        <w:t xml:space="preserve">3.3 L’objet répond — 16:30 → 17:40</w:t>
      </w:r>
    </w:p>
    <w:p>
      <w:pPr>
        <w:pStyle w:val="FirstParagraph"/>
      </w:pPr>
      <w:r>
        <w:t xml:space="preserve">L’équipe de Hansford répond. Et sa réponse revient à l’objet.</w:t>
      </w:r>
    </w:p>
    <w:p>
      <w:pPr>
        <w:pStyle w:val="BodyText"/>
      </w:pPr>
      <w:r>
        <w:t xml:space="preserve">Voici leur argument.</w:t>
      </w:r>
    </w:p>
    <w:p>
      <w:pPr>
        <w:pStyle w:val="BodyText"/>
      </w:pPr>
      <w:r>
        <w:t xml:space="preserve">Un outil de métal, entrant dans un os frais, laisse une entaille régulière. Deux parois symétriques. Lisses toutes les deux.</w:t>
      </w:r>
    </w:p>
    <w:p>
      <w:pPr>
        <w:pStyle w:val="BodyText"/>
      </w:pPr>
      <w:r>
        <w:t xml:space="preserve">Un outil de pierre, non. Une lame de pierre a un tranchant irrégulier, microscopiquement dentelé. Elle laisse deux parois qui ne se ressemblent pas : l’une nette, l’autre rugueuse, striée.</w:t>
      </w:r>
    </w:p>
    <w:p>
      <w:pPr>
        <w:pStyle w:val="BodyText"/>
      </w:pPr>
      <w:r>
        <w:rPr>
          <w:bCs/>
          <w:b/>
        </w:rPr>
        <w:t xml:space="preserve">[SILENCE 1,5 s]</w:t>
      </w:r>
    </w:p>
    <w:p>
      <w:pPr>
        <w:pStyle w:val="BodyText"/>
      </w:pPr>
      <w:r>
        <w:t xml:space="preserve">Souvenez-vous de la première minute de cet épisode.</w:t>
      </w:r>
    </w:p>
    <w:p>
      <w:pPr>
        <w:pStyle w:val="BodyText"/>
      </w:pPr>
      <w:r>
        <w:t xml:space="preserve">Sur l’entaille de quatre centimètres et demi, une paroi est lisse et rectiligne.</w:t>
      </w:r>
      <w:r>
        <w:t xml:space="preserve"> </w:t>
      </w:r>
      <w:r>
        <w:rPr>
          <w:bCs/>
          <w:b/>
        </w:rPr>
        <w:t xml:space="preserve">L’autre est rugueuse, à relief variable.</w:t>
      </w:r>
    </w:p>
    <w:p>
      <w:pPr>
        <w:pStyle w:val="BodyText"/>
      </w:pPr>
      <w:r>
        <w:rPr>
          <w:bCs/>
          <w:b/>
        </w:rPr>
        <w:t xml:space="preserve">[SILENCE 1,5 s]</w:t>
      </w:r>
    </w:p>
    <w:p>
      <w:pPr>
        <w:pStyle w:val="BodyText"/>
      </w:pPr>
      <w:r>
        <w:t xml:space="preserve">Ils ont fait réexaminer les pièces par des spécialistes de la tracéologie, en appliquant les critères de l’équipe adverse.</w:t>
      </w:r>
    </w:p>
    <w:p>
      <w:pPr>
        <w:pStyle w:val="BlockText"/>
      </w:pPr>
      <w:r>
        <w:rPr>
          <w:bCs/>
          <w:b/>
        </w:rPr>
        <w:t xml:space="preserve">[V3b — Hansford et al., 2020]</w:t>
      </w:r>
      <w:r>
        <w:t xml:space="preserve"> </w:t>
      </w:r>
      <w:r>
        <w:t xml:space="preserve">« Nous avons observé des parois d’entaille répétées et distinctes, aux arêtes nettes. » … « Seuls vingt-cinq pour cent de Madagascar ont été explorés archéologiquement. »</w:t>
      </w:r>
    </w:p>
    <w:p>
      <w:pPr>
        <w:pStyle w:val="FirstParagraph"/>
      </w:pPr>
      <w:r>
        <w:t xml:space="preserve">Pour eux, c’est la réponse à l’accusation des pioches : une pioche est en métal. Et les os avaient été photographiés en connexion, avant qu’on ne les manipule.</w:t>
      </w:r>
    </w:p>
    <w:bookmarkEnd w:id="40"/>
    <w:bookmarkStart w:id="41" w:name="le-verrou-1740-1840"/>
    <w:p>
      <w:pPr>
        <w:pStyle w:val="Heading2"/>
      </w:pPr>
      <w:r>
        <w:t xml:space="preserve">3.4 Le verrou — 17:40 → 18:40</w:t>
      </w:r>
    </w:p>
    <w:p>
      <w:pPr>
        <w:pStyle w:val="FirstParagraph"/>
      </w:pPr>
      <w:r>
        <w:t xml:space="preserve">Cet argument est réel. Mais il s’use.</w:t>
      </w:r>
    </w:p>
    <w:p>
      <w:pPr>
        <w:pStyle w:val="BodyText"/>
      </w:pPr>
      <w:r>
        <w:rPr>
          <w:bCs/>
          <w:b/>
        </w:rPr>
        <w:t xml:space="preserve">Plus on cherche sans trouver, moins « on n’a pas assez cherché » convainc.</w:t>
      </w:r>
      <w:r>
        <w:t xml:space="preserve"> </w:t>
      </w:r>
      <w:r>
        <w:t xml:space="preserve">Huit ans après la publication, aucun nouveau site de dix mille ans n’a été trouvé. Christmas River n’a jamais été refouillé. Toute cette controverse repose encore sur une seule campagne : celle de deux mille huit.</w:t>
      </w:r>
    </w:p>
    <w:p>
      <w:pPr>
        <w:pStyle w:val="BodyText"/>
      </w:pPr>
      <w:r>
        <w:rPr>
          <w:bCs/>
          <w:b/>
        </w:rPr>
        <w:t xml:space="preserve">[SILENCE 1 s]</w:t>
      </w:r>
    </w:p>
    <w:p>
      <w:pPr>
        <w:pStyle w:val="BodyText"/>
      </w:pPr>
      <w:r>
        <w:t xml:space="preserve">Alors où en sommes-nous ?</w:t>
      </w:r>
    </w:p>
    <w:p>
      <w:pPr>
        <w:pStyle w:val="BodyText"/>
      </w:pPr>
      <w:r>
        <w:t xml:space="preserve">Il faut séparer trois étages, et ne jamais les confondre.</w:t>
      </w:r>
    </w:p>
    <w:p>
      <w:pPr>
        <w:pStyle w:val="BodyText"/>
      </w:pPr>
      <w:r>
        <w:rPr>
          <w:bCs/>
          <w:b/>
        </w:rPr>
        <w:t xml:space="preserve">La donnée est certaine</w:t>
      </w:r>
      <w:r>
        <w:t xml:space="preserve"> </w:t>
      </w:r>
      <w:r>
        <w:t xml:space="preserve">: l’os a plus de dix mille cinq cents ans, et il porte des marques.</w:t>
      </w:r>
    </w:p>
    <w:p>
      <w:pPr>
        <w:pStyle w:val="BodyText"/>
      </w:pPr>
      <w:r>
        <w:rPr>
          <w:bCs/>
          <w:b/>
        </w:rPr>
        <w:t xml:space="preserve">L’interprétation est discutée</w:t>
      </w:r>
      <w:r>
        <w:t xml:space="preserve"> </w:t>
      </w:r>
      <w:r>
        <w:t xml:space="preserve">: ces marques ont-elles été faites par une main humaine ?</w:t>
      </w:r>
    </w:p>
    <w:p>
      <w:pPr>
        <w:pStyle w:val="BodyText"/>
      </w:pPr>
      <w:r>
        <w:rPr>
          <w:bCs/>
          <w:b/>
        </w:rPr>
        <w:t xml:space="preserve">L’implication est très incertaine</w:t>
      </w:r>
      <w:r>
        <w:t xml:space="preserve"> </w:t>
      </w:r>
      <w:r>
        <w:t xml:space="preserve">: si oui, qu’est-ce que cela nous dit du peuplement du pays ?</w:t>
      </w:r>
    </w:p>
    <w:p>
      <w:pPr>
        <w:pStyle w:val="BodyText"/>
      </w:pPr>
      <w:r>
        <w:t xml:space="preserve">Et voici le poids réel des positions.</w:t>
      </w:r>
    </w:p>
    <w:p>
      <w:pPr>
        <w:pStyle w:val="BodyText"/>
      </w:pPr>
      <w:r>
        <w:t xml:space="preserve">La plupart des spécialistes jugent tardive l’installation permanente — les villages, les zébus, les feux, l’agriculture. Elle daterait de mille à mille cinq cents ans. Une minorité soutient une présence humaine bien plus ancienne. Et un troisième groupe dit que ce sont deux questions différentes.</w:t>
      </w:r>
    </w:p>
    <w:p>
      <w:pPr>
        <w:pStyle w:val="BodyText"/>
      </w:pPr>
      <w:r>
        <w:rPr>
          <w:bCs/>
          <w:b/>
        </w:rPr>
        <w:t xml:space="preserve">Ce n’est pas un match nul.</w:t>
      </w:r>
      <w:r>
        <w:t xml:space="preserve"> </w:t>
      </w:r>
      <w:r>
        <w:t xml:space="preserve">Ce sont trois positions, et elles n’ont pas le même poids.</w:t>
      </w:r>
    </w:p>
    <w:p>
      <w:r>
        <w:pict>
          <v:rect style="width:0;height:1.5pt" o:hralign="center" o:hrstd="t" o:hr="t"/>
        </w:pict>
      </w:r>
    </w:p>
    <w:bookmarkEnd w:id="41"/>
    <w:bookmarkEnd w:id="42"/>
    <w:bookmarkStart w:id="49" w:name="acte-iv-ce-quil-devient"/>
    <w:p>
      <w:pPr>
        <w:pStyle w:val="Heading1"/>
      </w:pPr>
      <w:r>
        <w:t xml:space="preserve">ACTE IV — CE QU’IL DEVIENT</w:t>
      </w:r>
    </w:p>
    <w:bookmarkStart w:id="43" w:name="la-requalification-1840-1955"/>
    <w:p>
      <w:pPr>
        <w:pStyle w:val="Heading2"/>
      </w:pPr>
      <w:r>
        <w:t xml:space="preserve">4.1 La requalification — 18:40 → 19:55</w:t>
      </w:r>
    </w:p>
    <w:p>
      <w:pPr>
        <w:pStyle w:val="FirstParagraph"/>
      </w:pPr>
      <w:r>
        <w:t xml:space="preserve">Revenons en arrière. À peu près au moment où Mitchell publie, un second texte critique paraît — et il ne dit pas du tout la même chose.</w:t>
      </w:r>
    </w:p>
    <w:p>
      <w:pPr>
        <w:pStyle w:val="BodyText"/>
      </w:pPr>
      <w:r>
        <w:t xml:space="preserve">Une équipe de neuf chercheurs, menée par Kristina Douglass, dont trois Malgaches, reprend près de deux cents datations au carbone, provenant de soixante-quatre sites, dans toute l’île. C’est la revue la plus systématique jamais menée sur la question.</w:t>
      </w:r>
    </w:p>
    <w:p>
      <w:pPr>
        <w:pStyle w:val="BodyText"/>
      </w:pPr>
      <w:r>
        <w:t xml:space="preserve">Et ils classent la patte de Christmas River</w:t>
      </w:r>
      <w:r>
        <w:t xml:space="preserve"> </w:t>
      </w:r>
      <w:r>
        <w:rPr>
          <w:bCs/>
          <w:b/>
        </w:rPr>
        <w:t xml:space="preserve">dans leur meilleure catégorie</w:t>
      </w:r>
      <w:r>
        <w:t xml:space="preserve">.</w:t>
      </w:r>
    </w:p>
    <w:p>
      <w:pPr>
        <w:pStyle w:val="BodyText"/>
      </w:pPr>
      <w:r>
        <w:t xml:space="preserve">Attention à ce que cela veut dire : leur classement porte sur la qualité de la mesure, pas sur la solidité de l’interprétation humaine. Personne ne conteste sérieusement l’âge de cet os.</w:t>
      </w:r>
      <w:r>
        <w:t xml:space="preserve"> </w:t>
      </w:r>
      <w:r>
        <w:rPr>
          <w:bCs/>
          <w:b/>
        </w:rPr>
        <w:t xml:space="preserve">On conteste ce qu’on en déduit.</w:t>
      </w:r>
    </w:p>
    <w:p>
      <w:pPr>
        <w:pStyle w:val="BodyText"/>
      </w:pPr>
      <w:r>
        <w:t xml:space="preserve">Ils concluent qu’une présence humaine est établie depuis au moins deux mille ans, et qu’une arrivée bien plus ancienne est — je cite — « possible ».</w:t>
      </w:r>
    </w:p>
    <w:p>
      <w:pPr>
        <w:pStyle w:val="BlockText"/>
      </w:pPr>
      <w:r>
        <w:rPr>
          <w:bCs/>
          <w:b/>
        </w:rPr>
        <w:t xml:space="preserve">[V7 — Douglass et al., 2019]</w:t>
      </w:r>
      <w:r>
        <w:t xml:space="preserve"> </w:t>
      </w:r>
      <w:r>
        <w:t xml:space="preserve">« L’écart des estimations couvre environ neuf mille ans : la plus large fenêtre de colonisation de toutes les îles accessibles à la datation au carbone. »</w:t>
      </w:r>
    </w:p>
    <w:p>
      <w:pPr>
        <w:pStyle w:val="FirstParagraph"/>
      </w:pPr>
      <w:r>
        <w:rPr>
          <w:bCs/>
          <w:b/>
        </w:rPr>
        <w:t xml:space="preserve">[SILENCE 1 s]</w:t>
      </w:r>
    </w:p>
    <w:p>
      <w:pPr>
        <w:pStyle w:val="BodyText"/>
      </w:pPr>
      <w:r>
        <w:t xml:space="preserve">L’os n’a pas changé entre les deux textes. La question, elle, a changé.</w:t>
      </w:r>
    </w:p>
    <w:p>
      <w:pPr>
        <w:pStyle w:val="BodyText"/>
      </w:pPr>
      <w:r>
        <w:t xml:space="preserve">Et c’est ici qu’il faut prononcer la phrase que vous emporterez de cet épisode.</w:t>
      </w:r>
    </w:p>
    <w:p>
      <w:pPr>
        <w:pStyle w:val="BodyText"/>
      </w:pPr>
      <w:r>
        <w:rPr>
          <w:bCs/>
          <w:b/>
        </w:rPr>
        <w:t xml:space="preserve">[SILENCE 1 s]</w:t>
      </w:r>
    </w:p>
    <w:p>
      <w:pPr>
        <w:pStyle w:val="BodyText"/>
      </w:pPr>
      <w:r>
        <w:rPr>
          <w:bCs/>
          <w:b/>
        </w:rPr>
        <w:t xml:space="preserve">Passer n’est pas s’installer.</w:t>
      </w:r>
    </w:p>
    <w:bookmarkEnd w:id="43"/>
    <w:bookmarkStart w:id="44" w:name="los-nest-plus-seul-1955-2100"/>
    <w:p>
      <w:pPr>
        <w:pStyle w:val="Heading2"/>
      </w:pPr>
      <w:r>
        <w:t xml:space="preserve">4.2 L’os n’est plus seul — 19:55 → 21:00</w:t>
      </w:r>
    </w:p>
    <w:p>
      <w:pPr>
        <w:pStyle w:val="FirstParagraph"/>
      </w:pPr>
      <w:r>
        <w:t xml:space="preserve">Depuis, quelque chose a bougé.</w:t>
      </w:r>
    </w:p>
    <w:p>
      <w:pPr>
        <w:pStyle w:val="BodyText"/>
      </w:pPr>
      <w:r>
        <w:t xml:space="preserve">En deux mille vingt-deux, une équipe qui n’appartient ni au camp de Hansford ni à celui d’Anderson reprend d’anciens fémurs d’hippopotame nain, dormant depuis longtemps dans les collections du Muséum, à Paris. Ils viennent de Lamboara, sur la côte sud-ouest. Deux d’entre eux portent des entailles.</w:t>
      </w:r>
    </w:p>
    <w:p>
      <w:pPr>
        <w:pStyle w:val="BodyText"/>
      </w:pPr>
      <w:r>
        <w:t xml:space="preserve">Ces os étaient contestés. Les nouvelles datations ont confirmé leur ancienneté : environ trois mille cinq cents ans pour l’un, mille six cents pour l’autre.</w:t>
      </w:r>
    </w:p>
    <w:p>
      <w:pPr>
        <w:pStyle w:val="BodyText"/>
      </w:pPr>
      <w:r>
        <w:t xml:space="preserve">Trois mille cinq cents. C’est-à-dire entre les dix mille cinq cents de Christmas River et les mille deux cents d’Anderson. Et cela rend intenable la position « rien avant mille deux cents ans ».</w:t>
      </w:r>
    </w:p>
    <w:p>
      <w:pPr>
        <w:pStyle w:val="BodyText"/>
      </w:pPr>
      <w:r>
        <w:t xml:space="preserve">En deux mille vingt-cinq, une synthèse pose un critère neuf, et meilleur :</w:t>
      </w:r>
      <w:r>
        <w:t xml:space="preserve"> </w:t>
      </w:r>
      <w:r>
        <w:rPr>
          <w:bCs/>
          <w:b/>
        </w:rPr>
        <w:t xml:space="preserve">le regroupement</w:t>
      </w:r>
      <w:r>
        <w:t xml:space="preserve">. Un os isolé, même authentiquement marqué et authentiquement daté, ne fait pas une population. Il faut des os groupés, sur des sites, en série. Et ce regroupement n’apparaît qu’à partir d’environ mille deux cents ans.</w:t>
      </w:r>
    </w:p>
    <w:p>
      <w:pPr>
        <w:pStyle w:val="BodyText"/>
      </w:pPr>
      <w:r>
        <w:t xml:space="preserve">D’où un troisième modèle, en deux temps, porté par une partie des spécialistes. Des passages antérieurs à l’installation, rares, par de très petits groupes — dont l’ancienneté, elle, reste ouverte. Puis, il y a mille à mille cinq cents ans, l’installation : les villages, le riz, le zébu, le feu — et l’effondrement de la mégafaune.</w:t>
      </w:r>
    </w:p>
    <w:p>
      <w:pPr>
        <w:pStyle w:val="BodyText"/>
      </w:pPr>
      <w:r>
        <w:rPr>
          <w:bCs/>
          <w:b/>
        </w:rPr>
        <w:t xml:space="preserve">[SILENCE 1 s]</w:t>
      </w:r>
    </w:p>
    <w:p>
      <w:pPr>
        <w:pStyle w:val="BodyText"/>
      </w:pPr>
      <w:r>
        <w:t xml:space="preserve">Un détail humain, pour finir. Elle s’appelle Laurie Godfrey. Elle a cosigné l’article des dix mille cinq cents ans. Elle a cosigné la revue critique qui le relativise. Et c’est elle qui signe, en première position, la synthèse de deux mille vingt-cinq.</w:t>
      </w:r>
    </w:p>
    <w:p>
      <w:pPr>
        <w:pStyle w:val="BodyText"/>
      </w:pPr>
      <w:r>
        <w:rPr>
          <w:bCs/>
          <w:b/>
        </w:rPr>
        <w:t xml:space="preserve">Elle n’a pas changé de camp. Les camps ont changé de question.</w:t>
      </w:r>
    </w:p>
    <w:bookmarkEnd w:id="44"/>
    <w:bookmarkStart w:id="45" w:name="la-voix-2100-2230"/>
    <w:p>
      <w:pPr>
        <w:pStyle w:val="Heading2"/>
      </w:pPr>
      <w:r>
        <w:t xml:space="preserve">4.3 La voix — 21:00 → 22:30</w:t>
      </w:r>
    </w:p>
    <w:p>
      <w:pPr>
        <w:pStyle w:val="FirstParagraph"/>
      </w:pPr>
      <w:r>
        <w:rPr>
          <w:bCs/>
          <w:b/>
        </w:rPr>
        <w:t xml:space="preserve">[ENTRETIEN ENREGISTRÉ — voir « Avant d’enregistrer », point 1. BLOQUANT.]</w:t>
      </w:r>
    </w:p>
    <w:p>
      <w:pPr>
        <w:pStyle w:val="BodyText"/>
      </w:pPr>
      <w:r>
        <w:t xml:space="preserve">Amener sans emphase. Une phrase d’introduction nominative, la question, la réponse, on repart. Pas de musique sous l’entretien.</w:t>
      </w:r>
    </w:p>
    <w:p>
      <w:pPr>
        <w:pStyle w:val="BodyText"/>
      </w:pPr>
      <w:r>
        <w:t xml:space="preserve">Formulation d’amorce, à compléter avec le nom réel :</w:t>
      </w:r>
    </w:p>
    <w:p>
      <w:pPr>
        <w:pStyle w:val="BlockText"/>
      </w:pPr>
      <w:r>
        <w:t xml:space="preserve">J’ai posé la question à</w:t>
      </w:r>
      <w:r>
        <w:t xml:space="preserve"> </w:t>
      </w:r>
      <w:r>
        <w:rPr>
          <w:bCs/>
          <w:b/>
        </w:rPr>
        <w:t xml:space="preserve">[Nom, fonction]</w:t>
      </w:r>
      <w:r>
        <w:t xml:space="preserve">, à l’Université d’Antananarivo.</w:t>
      </w:r>
    </w:p>
    <w:p>
      <w:pPr>
        <w:pStyle w:val="FirstParagraph"/>
      </w:pPr>
      <w:r>
        <w:rPr>
          <w:bCs/>
          <w:b/>
        </w:rPr>
        <w:t xml:space="preserve">[90 à 120 secondes de montage — environ 170 mots]</w:t>
      </w:r>
    </w:p>
    <w:bookmarkEnd w:id="45"/>
    <w:bookmarkStart w:id="46" w:name="Xe126eb08c80d14836b9979a166ee2711c96c906"/>
    <w:p>
      <w:pPr>
        <w:pStyle w:val="Heading2"/>
      </w:pPr>
      <w:r>
        <w:t xml:space="preserve">4.4 À qui appartient cette histoire — 22:30 → 23:50</w:t>
      </w:r>
    </w:p>
    <w:p>
      <w:pPr>
        <w:pStyle w:val="FirstParagraph"/>
      </w:pPr>
      <w:r>
        <w:t xml:space="preserve">Trois faits.</w:t>
      </w:r>
    </w:p>
    <w:p>
      <w:pPr>
        <w:pStyle w:val="BodyText"/>
      </w:pPr>
      <w:r>
        <w:t xml:space="preserve">Les os de Christmas River sont conservés au Smithsonian, à Washington. Ce sont des os d’animaux — mais dans ce pays, aucun os n’est un objet ordinaire. Je n’ai pas trouvé sous quel régime d’autorisation ils sont sortis. C’est une question qui a une réponse, et elle est à vingt minutes de chez moi.</w:t>
      </w:r>
    </w:p>
    <w:p>
      <w:pPr>
        <w:pStyle w:val="BodyText"/>
      </w:pPr>
      <w:r>
        <w:t xml:space="preserve">Le débat s’est tenu en anglais. Deux des articles étaient pourtant en accès libre dès le premier jour : la barrière n’était pas le prix, c’était la langue.</w:t>
      </w:r>
    </w:p>
    <w:p>
      <w:pPr>
        <w:pStyle w:val="BodyText"/>
      </w:pPr>
      <w:r>
        <w:t xml:space="preserve">Et la presse d’ici a relayé la découverte six mois plus tard, sans signature, sans mentionner la controverse. Le lecteur malgache a reçu la thèse haute, sans la contradiction.</w:t>
      </w:r>
    </w:p>
    <w:p>
      <w:pPr>
        <w:pStyle w:val="BodyText"/>
      </w:pPr>
      <w:r>
        <w:rPr>
          <w:bCs/>
          <w:b/>
        </w:rPr>
        <w:t xml:space="preserve">[SILENCE 1 s]</w:t>
      </w:r>
    </w:p>
    <w:p>
      <w:pPr>
        <w:pStyle w:val="BodyText"/>
      </w:pPr>
      <w:r>
        <w:t xml:space="preserve">Maintenant, les faits qui empêchent d’en tirer une conclusion trop simple.</w:t>
      </w:r>
    </w:p>
    <w:p>
      <w:pPr>
        <w:pStyle w:val="BodyText"/>
      </w:pPr>
      <w:r>
        <w:t xml:space="preserve">Armand Rasoamiaramanana, de l’Université d’Antananarivo, est troisième auteur de l’article des dix mille cinq cents ans. Chantal Radimilahy et deux autres chercheurs malgaches cosignent l’article adverse.</w:t>
      </w:r>
      <w:r>
        <w:t xml:space="preserve"> </w:t>
      </w:r>
      <w:r>
        <w:rPr>
          <w:bCs/>
          <w:b/>
        </w:rPr>
        <w:t xml:space="preserve">Il n’existe pas de position malgache sur cette date, et le laisser croire serait une faute.</w:t>
      </w:r>
      <w:r>
        <w:t xml:space="preserve"> </w:t>
      </w:r>
      <w:r>
        <w:t xml:space="preserve">Le clivage est scientifique. Il n’est pas national.</w:t>
      </w:r>
    </w:p>
    <w:p>
      <w:pPr>
        <w:pStyle w:val="BodyText"/>
      </w:pPr>
      <w:r>
        <w:t xml:space="preserve">Ce qui est vrai, c’est ceci : les Malgaches signent, d’autres concluent, d’autres communiquent — et la dépêche nous revient six mois plus tard, sans signature.</w:t>
      </w:r>
    </w:p>
    <w:p>
      <w:pPr>
        <w:pStyle w:val="BodyText"/>
      </w:pPr>
      <w:r>
        <w:t xml:space="preserve">Et une ligne sur moi-même : cet os sort de l’Ihorombe, et je vous en parle depuis Antananarivo.</w:t>
      </w:r>
    </w:p>
    <w:p>
      <w:r>
        <w:pict>
          <v:rect style="width:0;height:1.5pt" o:hralign="center" o:hrstd="t" o:hr="t"/>
        </w:pict>
      </w:r>
    </w:p>
    <w:bookmarkEnd w:id="46"/>
    <w:bookmarkStart w:id="47" w:name="chute-2350-2500"/>
    <w:p>
      <w:pPr>
        <w:pStyle w:val="Heading2"/>
      </w:pPr>
      <w:r>
        <w:t xml:space="preserve">CHUTE — 23:50 → 25:00</w:t>
      </w:r>
    </w:p>
    <w:p>
      <w:pPr>
        <w:pStyle w:val="FirstParagraph"/>
      </w:pPr>
      <w:r>
        <w:t xml:space="preserve">L’os est dans une réserve, à Washington.</w:t>
      </w:r>
    </w:p>
    <w:p>
      <w:pPr>
        <w:pStyle w:val="BodyText"/>
      </w:pPr>
      <w:r>
        <w:t xml:space="preserve">Le site n’a été fouillé qu’une seule fois, en deux mille huit. Personne n’y est retourné.</w:t>
      </w:r>
    </w:p>
    <w:p>
      <w:pPr>
        <w:pStyle w:val="BodyText"/>
      </w:pPr>
      <w:r>
        <w:rPr>
          <w:bCs/>
          <w:b/>
        </w:rPr>
        <w:t xml:space="preserve">[SILENCE 1 s]</w:t>
      </w:r>
    </w:p>
    <w:p>
      <w:pPr>
        <w:pStyle w:val="BodyText"/>
      </w:pPr>
      <w:r>
        <w:t xml:space="preserve">Voici où nous en sommes, en clair. La majorité des spécialistes considère qu’aucune preuve convaincante d’une présence humaine ancienne n’a été établie. Une minorité soutient l’inverse. Et un troisième groupe demande qu’on distingue deux mots :</w:t>
      </w:r>
      <w:r>
        <w:t xml:space="preserve"> </w:t>
      </w:r>
      <w:r>
        <w:rPr>
          <w:bCs/>
          <w:b/>
        </w:rPr>
        <w:t xml:space="preserve">passer</w:t>
      </w:r>
      <w:r>
        <w:t xml:space="preserve">, et</w:t>
      </w:r>
      <w:r>
        <w:t xml:space="preserve"> </w:t>
      </w:r>
      <w:r>
        <w:rPr>
          <w:bCs/>
          <w:b/>
        </w:rPr>
        <w:t xml:space="preserve">s’installer</w:t>
      </w:r>
      <w:r>
        <w:t xml:space="preserve">.</w:t>
      </w:r>
    </w:p>
    <w:p>
      <w:pPr>
        <w:pStyle w:val="BodyText"/>
      </w:pPr>
      <w:r>
        <w:t xml:space="preserve">Ce qu’il faudrait pour en sortir, on le sait exactement.</w:t>
      </w:r>
    </w:p>
    <w:p>
      <w:pPr>
        <w:pStyle w:val="BodyText"/>
      </w:pPr>
      <w:r>
        <w:t xml:space="preserve">Un foyer. Un outil de pierre. Un ossement humain. Dans la même couche, à la même profondeur.</w:t>
      </w:r>
    </w:p>
    <w:p>
      <w:pPr>
        <w:pStyle w:val="BodyText"/>
      </w:pPr>
      <w:r>
        <w:t xml:space="preserve">Ou bien de l’ADN piégé dans les sédiments d’un lac.</w:t>
      </w:r>
    </w:p>
    <w:p>
      <w:pPr>
        <w:pStyle w:val="BodyText"/>
      </w:pPr>
      <w:r>
        <w:t xml:space="preserve">Alors seulement, quelqu’un pourrait dire :</w:t>
      </w:r>
      <w:r>
        <w:t xml:space="preserve"> </w:t>
      </w:r>
      <w:r>
        <w:rPr>
          <w:iCs/>
          <w:i/>
        </w:rPr>
        <w:t xml:space="preserve">nous savons</w:t>
      </w:r>
      <w:r>
        <w:t xml:space="preserve">.</w:t>
      </w:r>
    </w:p>
    <w:p>
      <w:pPr>
        <w:pStyle w:val="BodyText"/>
      </w:pPr>
      <w:r>
        <w:rPr>
          <w:bCs/>
          <w:b/>
        </w:rPr>
        <w:t xml:space="preserve">[SILENCE 1 s]</w:t>
      </w:r>
    </w:p>
    <w:p>
      <w:pPr>
        <w:pStyle w:val="BodyText"/>
      </w:pPr>
      <w:r>
        <w:t xml:space="preserve">En attendant, le dossier n’attend pas un verdict. Il attend une preuve.</w:t>
      </w:r>
    </w:p>
    <w:p>
      <w:pPr>
        <w:pStyle w:val="BodyText"/>
      </w:pPr>
      <w:r>
        <w:rPr>
          <w:bCs/>
          <w:b/>
        </w:rPr>
        <w:t xml:space="preserve">[SILENCE 2 s]</w:t>
      </w:r>
    </w:p>
    <w:p>
      <w:pPr>
        <w:pStyle w:val="BodyText"/>
      </w:pPr>
      <w:r>
        <w:t xml:space="preserve">Si quelqu’un est passé, personne n’est resté.</w:t>
      </w:r>
    </w:p>
    <w:p>
      <w:pPr>
        <w:pStyle w:val="BodyText"/>
      </w:pPr>
      <w:r>
        <w:rPr>
          <w:bCs/>
          <w:b/>
        </w:rPr>
        <w:t xml:space="preserve">[MUSIQUE DE FIN — puis OURS]</w:t>
      </w:r>
    </w:p>
    <w:p>
      <w:r>
        <w:pict>
          <v:rect style="width:0;height:1.5pt" o:hralign="center" o:hrstd="t" o:hr="t"/>
        </w:pict>
      </w:r>
    </w:p>
    <w:bookmarkEnd w:id="47"/>
    <w:bookmarkStart w:id="48" w:name="après-lours-bande-annonce-détachée-15-s"/>
    <w:p>
      <w:pPr>
        <w:pStyle w:val="Heading2"/>
      </w:pPr>
      <w:r>
        <w:t xml:space="preserve">APRÈS L’OURS — bande-annonce détachée (~15 s)</w:t>
      </w:r>
    </w:p>
    <w:p>
      <w:pPr>
        <w:pStyle w:val="BlockText"/>
      </w:pPr>
      <w:r>
        <w:t xml:space="preserve">Le prochain épisode nous emmène sur les Hautes Terres. On y prie sur des tombeaux vazimba. On s’y réclame d’ascendance vazimba. Et on ne sait toujours pas qui ils étaient.</w:t>
      </w:r>
    </w:p>
    <w:p>
      <w:pPr>
        <w:pStyle w:val="FirstParagraph"/>
      </w:pPr>
      <w:r>
        <w:rPr>
          <w:bCs/>
          <w:b/>
        </w:rPr>
        <w:t xml:space="preserve">Pourquoi elle est détachée :</w:t>
      </w:r>
      <w:r>
        <w:t xml:space="preserve"> </w:t>
      </w:r>
      <w:r>
        <w:t xml:space="preserve">la phrase que l’auditeur doit emporter est « si quelqu’un est passé, personne n’est resté ». Elle doit être la dernière du récit. La bande-annonce vient après l’ours, séparée par la musique, comme un élément d’habillage — jamais collée à la chute.</w:t>
      </w:r>
    </w:p>
    <w:bookmarkEnd w:id="48"/>
    <w:bookmarkEnd w:id="49"/>
    <w:bookmarkStart w:id="50" w:name="les-voix-secondaires-textes-et-sources"/>
    <w:p>
      <w:pPr>
        <w:pStyle w:val="Heading1"/>
      </w:pPr>
      <w:r>
        <w:t xml:space="preserve">Les voix secondaires — textes et sources</w:t>
      </w:r>
    </w:p>
    <w:p>
      <w:pPr>
        <w:pStyle w:val="FirstParagraph"/>
      </w:pPr>
      <w:r>
        <w:rPr>
          <w:bCs/>
          <w:b/>
        </w:rPr>
        <w:t xml:space="preserve">Sept insertions.</w:t>
      </w:r>
      <w:r>
        <w:t xml:space="preserve"> </w:t>
      </w:r>
      <w:r>
        <w:t xml:space="preserve">Toutes les citations sont traduites de l’anglais : la traduction est de production, elle doit être annoncée dans l’ours (« Les citations ont été traduites de l’anglais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Minutage</w:t>
            </w:r>
          </w:p>
        </w:tc>
        <w:tc>
          <w:tcPr/>
          <w:p>
            <w:pPr>
              <w:pStyle w:val="Compact"/>
              <w:jc w:val="left"/>
            </w:pPr>
            <w:r>
              <w:t xml:space="preserve">Qui</w:t>
            </w:r>
          </w:p>
        </w:tc>
        <w:tc>
          <w:tcPr/>
          <w:p>
            <w:pPr>
              <w:pStyle w:val="Compact"/>
              <w:jc w:val="left"/>
            </w:pPr>
            <w:r>
              <w:t xml:space="preserve">Texte lu</w:t>
            </w:r>
          </w:p>
        </w:tc>
        <w:tc>
          <w:tcPr/>
          <w:p>
            <w:pPr>
              <w:pStyle w:val="Compact"/>
              <w:jc w:val="left"/>
            </w:pPr>
            <w:r>
              <w:t xml:space="preserve">Source</w:t>
            </w:r>
          </w:p>
        </w:tc>
      </w:tr>
      <w:tr>
        <w:tc>
          <w:tcPr/>
          <w:p>
            <w:pPr>
              <w:pStyle w:val="Compact"/>
              <w:jc w:val="left"/>
            </w:pPr>
            <w:r>
              <w:rPr>
                <w:bCs/>
                <w:b/>
              </w:rPr>
              <w:t xml:space="preserve">V2</w:t>
            </w:r>
          </w:p>
        </w:tc>
        <w:tc>
          <w:tcPr/>
          <w:p>
            <w:pPr>
              <w:pStyle w:val="Compact"/>
              <w:jc w:val="left"/>
            </w:pPr>
            <w:r>
              <w:t xml:space="preserve">9:25</w:t>
            </w:r>
          </w:p>
        </w:tc>
        <w:tc>
          <w:tcPr/>
          <w:p>
            <w:pPr>
              <w:pStyle w:val="Compact"/>
              <w:jc w:val="left"/>
            </w:pPr>
            <w:r>
              <w:t xml:space="preserve">Ventura Pérez, anthropologue, UMass Amherst</w:t>
            </w:r>
          </w:p>
        </w:tc>
        <w:tc>
          <w:tcPr/>
          <w:p>
            <w:pPr>
              <w:pStyle w:val="Compact"/>
              <w:jc w:val="left"/>
            </w:pPr>
            <w:r>
              <w:t xml:space="preserve">« Je venais de recevoir le microscope. J’étais stupéfait. »</w:t>
            </w:r>
          </w:p>
        </w:tc>
        <w:tc>
          <w:tcPr/>
          <w:p>
            <w:pPr>
              <w:pStyle w:val="Compact"/>
              <w:jc w:val="left"/>
            </w:pPr>
            <w:r>
              <w:rPr>
                <w:iCs/>
                <w:i/>
              </w:rPr>
              <w:t xml:space="preserve">UMass Magazine</w:t>
            </w:r>
            <w:r>
              <w:t xml:space="preserve">, printemps 2019</w:t>
            </w:r>
          </w:p>
        </w:tc>
      </w:tr>
      <w:tr>
        <w:tc>
          <w:tcPr/>
          <w:p>
            <w:pPr>
              <w:pStyle w:val="Compact"/>
              <w:jc w:val="left"/>
            </w:pPr>
            <w:r>
              <w:rPr>
                <w:bCs/>
                <w:b/>
              </w:rPr>
              <w:t xml:space="preserve">V3</w:t>
            </w:r>
          </w:p>
        </w:tc>
        <w:tc>
          <w:tcPr/>
          <w:p>
            <w:pPr>
              <w:pStyle w:val="Compact"/>
              <w:jc w:val="left"/>
            </w:pPr>
            <w:r>
              <w:t xml:space="preserve">11:55</w:t>
            </w:r>
          </w:p>
        </w:tc>
        <w:tc>
          <w:tcPr/>
          <w:p>
            <w:pPr>
              <w:pStyle w:val="Compact"/>
              <w:jc w:val="left"/>
            </w:pPr>
            <w:r>
              <w:t xml:space="preserve">James Hansford, Société zoologique de Londres</w:t>
            </w:r>
          </w:p>
        </w:tc>
        <w:tc>
          <w:tcPr/>
          <w:p>
            <w:pPr>
              <w:pStyle w:val="Compact"/>
              <w:jc w:val="left"/>
            </w:pPr>
            <w:r>
              <w:t xml:space="preserve">« Nos recherches apportent la preuve d’une activité humaine à Madagascar plus de six mille ans plus tôt qu’on ne le soupçonnait. »</w:t>
            </w:r>
          </w:p>
        </w:tc>
        <w:tc>
          <w:tcPr/>
          <w:p>
            <w:pPr>
              <w:pStyle w:val="Compact"/>
              <w:jc w:val="left"/>
            </w:pPr>
            <w:r>
              <w:t xml:space="preserve">Communiqué ZSL / EurekAlert, 12 septembre 2018</w:t>
            </w:r>
          </w:p>
        </w:tc>
      </w:tr>
      <w:tr>
        <w:tc>
          <w:tcPr/>
          <w:p>
            <w:pPr>
              <w:pStyle w:val="Compact"/>
              <w:jc w:val="left"/>
            </w:pPr>
            <w:r>
              <w:rPr>
                <w:bCs/>
                <w:b/>
              </w:rPr>
              <w:t xml:space="preserve">V4</w:t>
            </w:r>
          </w:p>
        </w:tc>
        <w:tc>
          <w:tcPr/>
          <w:p>
            <w:pPr>
              <w:pStyle w:val="Compact"/>
              <w:jc w:val="left"/>
            </w:pPr>
            <w:r>
              <w:t xml:space="preserve">12:35</w:t>
            </w:r>
          </w:p>
        </w:tc>
        <w:tc>
          <w:tcPr/>
          <w:p>
            <w:pPr>
              <w:pStyle w:val="Compact"/>
              <w:jc w:val="left"/>
            </w:pPr>
            <w:r>
              <w:t xml:space="preserve">Patricia Wright, Stony Brook University</w:t>
            </w:r>
          </w:p>
        </w:tc>
        <w:tc>
          <w:tcPr/>
          <w:p>
            <w:pPr>
              <w:pStyle w:val="Compact"/>
              <w:jc w:val="left"/>
            </w:pPr>
            <w:r>
              <w:t xml:space="preserve">« Nous ne connaissons pas l’origine de ces gens… qui étaient ces gens ? Et quand, et pourquoi, ont-ils disparu ? »</w:t>
            </w:r>
          </w:p>
        </w:tc>
        <w:tc>
          <w:tcPr/>
          <w:p>
            <w:pPr>
              <w:pStyle w:val="Compact"/>
              <w:jc w:val="left"/>
            </w:pPr>
            <w:r>
              <w:t xml:space="preserve">Communiqué ZSL / EurekAlert, 12 septembre 2018</w:t>
            </w:r>
          </w:p>
        </w:tc>
      </w:tr>
      <w:tr>
        <w:tc>
          <w:tcPr/>
          <w:p>
            <w:pPr>
              <w:pStyle w:val="Compact"/>
              <w:jc w:val="left"/>
            </w:pPr>
            <w:r>
              <w:rPr>
                <w:bCs/>
                <w:b/>
              </w:rPr>
              <w:t xml:space="preserve">V5</w:t>
            </w:r>
          </w:p>
        </w:tc>
        <w:tc>
          <w:tcPr/>
          <w:p>
            <w:pPr>
              <w:pStyle w:val="Compact"/>
              <w:jc w:val="left"/>
            </w:pPr>
            <w:r>
              <w:t xml:space="preserve">14:50</w:t>
            </w:r>
          </w:p>
        </w:tc>
        <w:tc>
          <w:tcPr/>
          <w:p>
            <w:pPr>
              <w:pStyle w:val="Compact"/>
              <w:jc w:val="left"/>
            </w:pPr>
            <w:r>
              <w:t xml:space="preserve">Anderson</w:t>
            </w:r>
            <w:r>
              <w:t xml:space="preserve"> </w:t>
            </w:r>
            <w:r>
              <w:rPr>
                <w:iCs/>
                <w:i/>
              </w:rPr>
              <w:t xml:space="preserve">et al.</w:t>
            </w:r>
            <w:r>
              <w:t xml:space="preserve"> </w:t>
            </w:r>
            <w:r>
              <w:t xml:space="preserve">(texte de l’article)</w:t>
            </w:r>
          </w:p>
        </w:tc>
        <w:tc>
          <w:tcPr/>
          <w:p>
            <w:pPr>
              <w:pStyle w:val="Compact"/>
              <w:jc w:val="left"/>
            </w:pPr>
            <w:r>
              <w:t xml:space="preserve">« L’hypothèse selon laquelle ces dommages sont d’origine naturelle ne peut pas être écartée, pour les spécimens antérieurs à environ mille trois cents ans. »</w:t>
            </w:r>
          </w:p>
        </w:tc>
        <w:tc>
          <w:tcPr/>
          <w:p>
            <w:pPr>
              <w:pStyle w:val="Compact"/>
              <w:jc w:val="left"/>
            </w:pPr>
            <w:r>
              <w:rPr>
                <w:iCs/>
                <w:i/>
              </w:rPr>
              <w:t xml:space="preserve">PLOS ONE</w:t>
            </w:r>
            <w:r>
              <w:t xml:space="preserve"> </w:t>
            </w:r>
            <w:r>
              <w:t xml:space="preserve">13(10), e0204368, 10 octobre 2018</w:t>
            </w:r>
          </w:p>
        </w:tc>
      </w:tr>
      <w:tr>
        <w:tc>
          <w:tcPr/>
          <w:p>
            <w:pPr>
              <w:pStyle w:val="Compact"/>
              <w:jc w:val="left"/>
            </w:pPr>
            <w:r>
              <w:rPr>
                <w:bCs/>
                <w:b/>
              </w:rPr>
              <w:t xml:space="preserve">V6</w:t>
            </w:r>
          </w:p>
        </w:tc>
        <w:tc>
          <w:tcPr/>
          <w:p>
            <w:pPr>
              <w:pStyle w:val="Compact"/>
              <w:jc w:val="left"/>
            </w:pPr>
            <w:r>
              <w:t xml:space="preserve">16:20</w:t>
            </w:r>
          </w:p>
        </w:tc>
        <w:tc>
          <w:tcPr/>
          <w:p>
            <w:pPr>
              <w:pStyle w:val="Compact"/>
              <w:jc w:val="left"/>
            </w:pPr>
            <w:r>
              <w:t xml:space="preserve">Peter Mitchell, université d’Oxford</w:t>
            </w:r>
          </w:p>
        </w:tc>
        <w:tc>
          <w:tcPr/>
          <w:p>
            <w:pPr>
              <w:pStyle w:val="Compact"/>
              <w:jc w:val="left"/>
            </w:pPr>
            <w:r>
              <w:t xml:space="preserve">« Il n’existe donc aucune preuve convaincante que Madagascar ait été peuplée avant le milieu du premier millénaire de notre ère. »</w:t>
            </w:r>
          </w:p>
        </w:tc>
        <w:tc>
          <w:tcPr/>
          <w:p>
            <w:pPr>
              <w:pStyle w:val="Compact"/>
              <w:jc w:val="left"/>
            </w:pPr>
            <w:r>
              <w:rPr>
                <w:iCs/>
                <w:i/>
              </w:rPr>
              <w:t xml:space="preserve">Journal of Island and Coastal Archaeology</w:t>
            </w:r>
            <w:r>
              <w:t xml:space="preserve">, 2019 (résumé, dépôt ORA Oxford)</w:t>
            </w:r>
          </w:p>
        </w:tc>
      </w:tr>
      <w:tr>
        <w:tc>
          <w:tcPr/>
          <w:p>
            <w:pPr>
              <w:pStyle w:val="Compact"/>
              <w:jc w:val="left"/>
            </w:pPr>
            <w:r>
              <w:rPr>
                <w:bCs/>
                <w:b/>
              </w:rPr>
              <w:t xml:space="preserve">V3b</w:t>
            </w:r>
          </w:p>
        </w:tc>
        <w:tc>
          <w:tcPr/>
          <w:p>
            <w:pPr>
              <w:pStyle w:val="Compact"/>
              <w:jc w:val="left"/>
            </w:pPr>
            <w:r>
              <w:t xml:space="preserve">17:15</w:t>
            </w:r>
          </w:p>
        </w:tc>
        <w:tc>
          <w:tcPr/>
          <w:p>
            <w:pPr>
              <w:pStyle w:val="Compact"/>
              <w:jc w:val="left"/>
            </w:pPr>
            <w:r>
              <w:t xml:space="preserve">Hansford</w:t>
            </w:r>
            <w:r>
              <w:t xml:space="preserve"> </w:t>
            </w:r>
            <w:r>
              <w:rPr>
                <w:iCs/>
                <w:i/>
              </w:rPr>
              <w:t xml:space="preserve">et al.</w:t>
            </w:r>
            <w:r>
              <w:t xml:space="preserve"> </w:t>
            </w:r>
            <w:r>
              <w:t xml:space="preserve">(texte de la réponse) —</w:t>
            </w:r>
            <w:r>
              <w:t xml:space="preserve"> </w:t>
            </w:r>
            <w:r>
              <w:rPr>
                <w:bCs/>
                <w:b/>
              </w:rPr>
              <w:t xml:space="preserve">deux extraits en une seule lecture continue</w:t>
            </w:r>
          </w:p>
        </w:tc>
        <w:tc>
          <w:tcPr/>
          <w:p>
            <w:pPr>
              <w:pStyle w:val="Compact"/>
              <w:jc w:val="left"/>
            </w:pPr>
            <w:r>
              <w:t xml:space="preserve">« Nous avons observé des parois d’entaille répétées et distinctes, aux arêtes nettes. » … « Seuls vingt-cinq pour cent de Madagascar ont été explorés archéologiquement. »</w:t>
            </w:r>
          </w:p>
        </w:tc>
        <w:tc>
          <w:tcPr/>
          <w:p>
            <w:pPr>
              <w:pStyle w:val="Compact"/>
              <w:jc w:val="left"/>
            </w:pPr>
            <w:r>
              <w:rPr>
                <w:iCs/>
                <w:i/>
              </w:rPr>
              <w:t xml:space="preserve">JICA</w:t>
            </w:r>
            <w:r>
              <w:t xml:space="preserve"> </w:t>
            </w:r>
            <w:r>
              <w:t xml:space="preserve">15(4), 2020 — PDF en accès libre, UCL Discovery</w:t>
            </w:r>
          </w:p>
        </w:tc>
      </w:tr>
      <w:tr>
        <w:tc>
          <w:tcPr/>
          <w:p>
            <w:pPr>
              <w:pStyle w:val="Compact"/>
              <w:jc w:val="left"/>
            </w:pPr>
            <w:r>
              <w:rPr>
                <w:bCs/>
                <w:b/>
              </w:rPr>
              <w:t xml:space="preserve">V7</w:t>
            </w:r>
          </w:p>
        </w:tc>
        <w:tc>
          <w:tcPr/>
          <w:p>
            <w:pPr>
              <w:pStyle w:val="Compact"/>
              <w:jc w:val="left"/>
            </w:pPr>
            <w:r>
              <w:t xml:space="preserve">19:40</w:t>
            </w:r>
          </w:p>
        </w:tc>
        <w:tc>
          <w:tcPr/>
          <w:p>
            <w:pPr>
              <w:pStyle w:val="Compact"/>
              <w:jc w:val="left"/>
            </w:pPr>
            <w:r>
              <w:t xml:space="preserve">Douglass</w:t>
            </w:r>
            <w:r>
              <w:t xml:space="preserve"> </w:t>
            </w:r>
            <w:r>
              <w:rPr>
                <w:iCs/>
                <w:i/>
              </w:rPr>
              <w:t xml:space="preserve">et al.</w:t>
            </w:r>
            <w:r>
              <w:t xml:space="preserve"> </w:t>
            </w:r>
            <w:r>
              <w:t xml:space="preserve">(texte de l’article)</w:t>
            </w:r>
          </w:p>
        </w:tc>
        <w:tc>
          <w:tcPr/>
          <w:p>
            <w:pPr>
              <w:pStyle w:val="Compact"/>
              <w:jc w:val="left"/>
            </w:pPr>
            <w:r>
              <w:t xml:space="preserve">« L’écart des estimations couvre environ neuf mille ans : la plus large fenêtre de colonisation de toutes les îles accessibles à la datation au carbone. »</w:t>
            </w:r>
          </w:p>
        </w:tc>
        <w:tc>
          <w:tcPr/>
          <w:p>
            <w:pPr>
              <w:pStyle w:val="Compact"/>
              <w:jc w:val="left"/>
            </w:pPr>
            <w:r>
              <w:rPr>
                <w:iCs/>
                <w:i/>
              </w:rPr>
              <w:t xml:space="preserve">Quaternary Science Reviews</w:t>
            </w:r>
            <w:r>
              <w:t xml:space="preserve"> </w:t>
            </w:r>
            <w:r>
              <w:t xml:space="preserve">221, 2019</w:t>
            </w:r>
          </w:p>
        </w:tc>
      </w:tr>
    </w:tbl>
    <w:p>
      <w:pPr>
        <w:pStyle w:val="BodyText"/>
      </w:pPr>
      <w:r>
        <w:rPr>
          <w:bCs/>
          <w:b/>
        </w:rPr>
        <w:t xml:space="preserve">Direction de jeu.</w:t>
      </w:r>
      <w:r>
        <w:t xml:space="preserve"> </w:t>
      </w:r>
      <w:r>
        <w:t xml:space="preserve">V2 et V4 sont des paroles vivantes : ton parlé, un peu de chaleur. V5, V6, V3b, V7 sont des textes écrits : lecture nette, sans dramatisation, légèrement plus lente. Ne pas « jouer » l’accent anglais. Pas de nappe musicale sous les citations — un léger changement de réverbération suffit à les distinguer.</w:t>
      </w:r>
    </w:p>
    <w:p>
      <w:pPr>
        <w:pStyle w:val="BodyText"/>
      </w:pPr>
      <w:r>
        <w:rPr>
          <w:bCs/>
          <w:b/>
        </w:rPr>
        <w:t xml:space="preserve">Note sur V5.</w:t>
      </w:r>
      <w:r>
        <w:t xml:space="preserve"> </w:t>
      </w:r>
      <w:r>
        <w:t xml:space="preserve">La formulation originale d’Anderson dit « l’hypothèse nulle … d’origine taphonomique », qui est du jargon statistique. La version lue traduit le sens sans le jargon, et la phrase d’introduction du narrateur (« ils écrivent, en langage de statisticien ») signale honnêtement qu’il s’agit d’une reformulation.</w:t>
      </w:r>
      <w:r>
        <w:t xml:space="preserve"> </w:t>
      </w:r>
      <w:r>
        <w:rPr>
          <w:bCs/>
          <w:b/>
        </w:rPr>
        <w:t xml:space="preserve">Si vous préférez le verbatim intégral, glosez « hypothèse nulle » avant de le lire — ne le laissez jamais passer nu.</w:t>
      </w:r>
    </w:p>
    <w:bookmarkEnd w:id="50"/>
    <w:bookmarkStart w:id="57" w:name="notes-de-production"/>
    <w:p>
      <w:pPr>
        <w:pStyle w:val="Heading1"/>
      </w:pPr>
      <w:r>
        <w:t xml:space="preserve">Notes de production</w:t>
      </w:r>
    </w:p>
    <w:bookmarkStart w:id="51" w:name="X2da4516f95f7b157dc0c9592d615c03526c6a5d"/>
    <w:p>
      <w:pPr>
        <w:pStyle w:val="Heading2"/>
      </w:pPr>
      <w:r>
        <w:t xml:space="preserve">Prononciation — à fixer pour toute la saison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Mot</w:t>
            </w:r>
          </w:p>
        </w:tc>
        <w:tc>
          <w:tcPr/>
          <w:p>
            <w:pPr>
              <w:pStyle w:val="Compact"/>
              <w:jc w:val="left"/>
            </w:pPr>
            <w:r>
              <w:t xml:space="preserve">Prononcer</w:t>
            </w:r>
          </w:p>
        </w:tc>
      </w:tr>
      <w:tr>
        <w:tc>
          <w:tcPr/>
          <w:p>
            <w:pPr>
              <w:pStyle w:val="Compact"/>
              <w:jc w:val="left"/>
            </w:pPr>
            <w:r>
              <w:rPr>
                <w:iCs/>
                <w:i/>
              </w:rPr>
              <w:t xml:space="preserve">Aepyornis</w:t>
            </w:r>
          </w:p>
        </w:tc>
        <w:tc>
          <w:tcPr/>
          <w:p>
            <w:pPr>
              <w:pStyle w:val="Compact"/>
              <w:jc w:val="left"/>
            </w:pPr>
            <w:r>
              <w:t xml:space="preserve">é-pi-OR-niss</w:t>
            </w:r>
          </w:p>
        </w:tc>
      </w:tr>
      <w:tr>
        <w:tc>
          <w:tcPr/>
          <w:p>
            <w:pPr>
              <w:pStyle w:val="Compact"/>
              <w:jc w:val="left"/>
            </w:pPr>
            <w:r>
              <w:rPr>
                <w:iCs/>
                <w:i/>
              </w:rPr>
              <w:t xml:space="preserve">Megaladapis</w:t>
            </w:r>
          </w:p>
        </w:tc>
        <w:tc>
          <w:tcPr/>
          <w:p>
            <w:pPr>
              <w:pStyle w:val="Compact"/>
              <w:jc w:val="left"/>
            </w:pPr>
            <w:r>
              <w:t xml:space="preserve">mé-ga-la-DA-piss</w:t>
            </w:r>
          </w:p>
        </w:tc>
      </w:tr>
      <w:tr>
        <w:tc>
          <w:tcPr/>
          <w:p>
            <w:pPr>
              <w:pStyle w:val="Compact"/>
              <w:jc w:val="left"/>
            </w:pPr>
            <w:r>
              <w:t xml:space="preserve">Hansford</w:t>
            </w:r>
          </w:p>
        </w:tc>
        <w:tc>
          <w:tcPr/>
          <w:p>
            <w:pPr>
              <w:pStyle w:val="Compact"/>
              <w:jc w:val="left"/>
            </w:pPr>
            <w:r>
              <w:t xml:space="preserve">HANNS-feurd</w:t>
            </w:r>
          </w:p>
        </w:tc>
      </w:tr>
      <w:tr>
        <w:tc>
          <w:tcPr/>
          <w:p>
            <w:pPr>
              <w:pStyle w:val="Compact"/>
              <w:jc w:val="left"/>
            </w:pPr>
            <w:r>
              <w:t xml:space="preserve">Mitchell</w:t>
            </w:r>
          </w:p>
        </w:tc>
        <w:tc>
          <w:tcPr/>
          <w:p>
            <w:pPr>
              <w:pStyle w:val="Compact"/>
              <w:jc w:val="left"/>
            </w:pPr>
            <w:r>
              <w:t xml:space="preserve">MI-tchel</w:t>
            </w:r>
          </w:p>
        </w:tc>
      </w:tr>
      <w:tr>
        <w:tc>
          <w:tcPr/>
          <w:p>
            <w:pPr>
              <w:pStyle w:val="Compact"/>
              <w:jc w:val="left"/>
            </w:pPr>
            <w:r>
              <w:t xml:space="preserve">Anderson</w:t>
            </w:r>
          </w:p>
        </w:tc>
        <w:tc>
          <w:tcPr/>
          <w:p>
            <w:pPr>
              <w:pStyle w:val="Compact"/>
              <w:jc w:val="left"/>
            </w:pPr>
            <w:r>
              <w:t xml:space="preserve">AN-deur-seune</w:t>
            </w:r>
          </w:p>
        </w:tc>
      </w:tr>
      <w:tr>
        <w:tc>
          <w:tcPr/>
          <w:p>
            <w:pPr>
              <w:pStyle w:val="Compact"/>
              <w:jc w:val="left"/>
            </w:pPr>
            <w:r>
              <w:t xml:space="preserve">Douglass</w:t>
            </w:r>
          </w:p>
        </w:tc>
        <w:tc>
          <w:tcPr/>
          <w:p>
            <w:pPr>
              <w:pStyle w:val="Compact"/>
              <w:jc w:val="left"/>
            </w:pPr>
            <w:r>
              <w:t xml:space="preserve">DEU-glass</w:t>
            </w:r>
          </w:p>
        </w:tc>
      </w:tr>
      <w:tr>
        <w:tc>
          <w:tcPr/>
          <w:p>
            <w:pPr>
              <w:pStyle w:val="Compact"/>
              <w:jc w:val="left"/>
            </w:pPr>
            <w:r>
              <w:t xml:space="preserve">Godfrey</w:t>
            </w:r>
          </w:p>
        </w:tc>
        <w:tc>
          <w:tcPr/>
          <w:p>
            <w:pPr>
              <w:pStyle w:val="Compact"/>
              <w:jc w:val="left"/>
            </w:pPr>
            <w:r>
              <w:t xml:space="preserve">GOD-fri</w:t>
            </w:r>
          </w:p>
        </w:tc>
      </w:tr>
      <w:tr>
        <w:tc>
          <w:tcPr/>
          <w:p>
            <w:pPr>
              <w:pStyle w:val="Compact"/>
              <w:jc w:val="left"/>
            </w:pPr>
            <w:r>
              <w:t xml:space="preserve">Wright</w:t>
            </w:r>
          </w:p>
        </w:tc>
        <w:tc>
          <w:tcPr/>
          <w:p>
            <w:pPr>
              <w:pStyle w:val="Compact"/>
              <w:jc w:val="left"/>
            </w:pPr>
            <w:r>
              <w:t xml:space="preserve">RAÏTE</w:t>
            </w:r>
          </w:p>
        </w:tc>
      </w:tr>
      <w:tr>
        <w:tc>
          <w:tcPr/>
          <w:p>
            <w:pPr>
              <w:pStyle w:val="Compact"/>
              <w:jc w:val="left"/>
            </w:pPr>
            <w:r>
              <w:t xml:space="preserve">Pérez</w:t>
            </w:r>
          </w:p>
        </w:tc>
        <w:tc>
          <w:tcPr/>
          <w:p>
            <w:pPr>
              <w:pStyle w:val="Compact"/>
              <w:jc w:val="left"/>
            </w:pPr>
            <w:r>
              <w:t xml:space="preserve">PÉ-rèss</w:t>
            </w:r>
          </w:p>
        </w:tc>
      </w:tr>
      <w:tr>
        <w:tc>
          <w:tcPr/>
          <w:p>
            <w:pPr>
              <w:pStyle w:val="Compact"/>
              <w:jc w:val="left"/>
            </w:pPr>
            <w:r>
              <w:t xml:space="preserve">Simons</w:t>
            </w:r>
          </w:p>
        </w:tc>
        <w:tc>
          <w:tcPr/>
          <w:p>
            <w:pPr>
              <w:pStyle w:val="Compact"/>
              <w:jc w:val="left"/>
            </w:pPr>
            <w:r>
              <w:t xml:space="preserve">SAÏ-meunze</w:t>
            </w:r>
          </w:p>
        </w:tc>
      </w:tr>
      <w:tr>
        <w:tc>
          <w:tcPr/>
          <w:p>
            <w:pPr>
              <w:pStyle w:val="Compact"/>
              <w:jc w:val="left"/>
            </w:pPr>
            <w:r>
              <w:t xml:space="preserve">Torres / Clarke</w:t>
            </w:r>
          </w:p>
        </w:tc>
        <w:tc>
          <w:tcPr/>
          <w:p>
            <w:pPr>
              <w:pStyle w:val="Compact"/>
              <w:jc w:val="left"/>
            </w:pPr>
            <w:r>
              <w:t xml:space="preserve">TO-rèss / KLARK</w:t>
            </w:r>
          </w:p>
        </w:tc>
      </w:tr>
      <w:tr>
        <w:tc>
          <w:tcPr/>
          <w:p>
            <w:pPr>
              <w:pStyle w:val="Compact"/>
              <w:jc w:val="left"/>
            </w:pPr>
            <w:r>
              <w:t xml:space="preserve">Christmas River</w:t>
            </w:r>
          </w:p>
        </w:tc>
        <w:tc>
          <w:tcPr/>
          <w:p>
            <w:pPr>
              <w:pStyle w:val="Compact"/>
              <w:jc w:val="left"/>
            </w:pPr>
            <w:r>
              <w:t xml:space="preserve">KRISS-mass RI-veur</w:t>
            </w:r>
          </w:p>
        </w:tc>
      </w:tr>
      <w:tr>
        <w:tc>
          <w:tcPr/>
          <w:p>
            <w:pPr>
              <w:pStyle w:val="Compact"/>
              <w:jc w:val="left"/>
            </w:pPr>
            <w:r>
              <w:rPr>
                <w:iCs/>
                <w:i/>
              </w:rPr>
              <w:t xml:space="preserve">Science Advances</w:t>
            </w:r>
          </w:p>
        </w:tc>
        <w:tc>
          <w:tcPr/>
          <w:p>
            <w:pPr>
              <w:pStyle w:val="Compact"/>
              <w:jc w:val="left"/>
            </w:pPr>
            <w:r>
              <w:t xml:space="preserve">SAÏ-eunce ad-VAN-siz</w:t>
            </w:r>
          </w:p>
        </w:tc>
      </w:tr>
      <w:tr>
        <w:tc>
          <w:tcPr/>
          <w:p>
            <w:pPr>
              <w:pStyle w:val="Compact"/>
              <w:jc w:val="left"/>
            </w:pPr>
            <w:r>
              <w:t xml:space="preserve">USNM A605209</w:t>
            </w:r>
          </w:p>
        </w:tc>
        <w:tc>
          <w:tcPr/>
          <w:p>
            <w:pPr>
              <w:pStyle w:val="Compact"/>
              <w:jc w:val="left"/>
            </w:pPr>
            <w:r>
              <w:t xml:space="preserve">« U-S-N-M, A, six-zéro-cinq, deux-zéro-neuf »</w:t>
            </w:r>
          </w:p>
        </w:tc>
      </w:tr>
    </w:tbl>
    <w:p>
      <w:pPr>
        <w:pStyle w:val="BodyText"/>
      </w:pPr>
      <w:r>
        <w:rPr>
          <w:bCs/>
          <w:b/>
        </w:rPr>
        <w:t xml:space="preserve">Les mots malgaches se prononcent normalement, sans emphase et sans micro-pause d’annonce.</w:t>
      </w:r>
      <w:r>
        <w:t xml:space="preserve"> </w:t>
      </w:r>
      <w:r>
        <w:rPr>
          <w:iCs/>
          <w:i/>
        </w:rPr>
        <w:t xml:space="preserve">Vorompatra</w:t>
      </w:r>
      <w:r>
        <w:t xml:space="preserve">,</w:t>
      </w:r>
      <w:r>
        <w:t xml:space="preserve"> </w:t>
      </w:r>
      <w:r>
        <w:rPr>
          <w:iCs/>
          <w:i/>
        </w:rPr>
        <w:t xml:space="preserve">Ampatres</w:t>
      </w:r>
      <w:r>
        <w:t xml:space="preserve">,</w:t>
      </w:r>
      <w:r>
        <w:t xml:space="preserve"> </w:t>
      </w:r>
      <w:r>
        <w:rPr>
          <w:iCs/>
          <w:i/>
        </w:rPr>
        <w:t xml:space="preserve">Ilakaka</w:t>
      </w:r>
      <w:r>
        <w:t xml:space="preserve">,</w:t>
      </w:r>
      <w:r>
        <w:t xml:space="preserve"> </w:t>
      </w:r>
      <w:r>
        <w:rPr>
          <w:iCs/>
          <w:i/>
        </w:rPr>
        <w:t xml:space="preserve">Ihorombe</w:t>
      </w:r>
      <w:r>
        <w:t xml:space="preserve">,</w:t>
      </w:r>
      <w:r>
        <w:t xml:space="preserve"> </w:t>
      </w:r>
      <w:r>
        <w:rPr>
          <w:iCs/>
          <w:i/>
        </w:rPr>
        <w:t xml:space="preserve">bara</w:t>
      </w:r>
      <w:r>
        <w:t xml:space="preserve">,</w:t>
      </w:r>
      <w:r>
        <w:t xml:space="preserve"> </w:t>
      </w:r>
      <w:r>
        <w:rPr>
          <w:iCs/>
          <w:i/>
        </w:rPr>
        <w:t xml:space="preserve">vazimba</w:t>
      </w:r>
      <w:r>
        <w:t xml:space="preserve">, et les noms de personnes malgaches : on ne les « présente » pas, on les dit. C’est la règle de la série — et elle vaut d’abord pour</w:t>
      </w:r>
      <w:r>
        <w:t xml:space="preserve"> </w:t>
      </w:r>
      <w:r>
        <w:rPr>
          <w:bCs/>
          <w:b/>
        </w:rPr>
        <w:t xml:space="preserve">Rasoamiaramanana</w:t>
      </w:r>
      <w:r>
        <w:t xml:space="preserve"> </w:t>
      </w:r>
      <w:r>
        <w:t xml:space="preserve">et</w:t>
      </w:r>
      <w:r>
        <w:t xml:space="preserve"> </w:t>
      </w:r>
      <w:r>
        <w:rPr>
          <w:bCs/>
          <w:b/>
        </w:rPr>
        <w:t xml:space="preserve">Radimilahy</w:t>
      </w:r>
      <w:r>
        <w:t xml:space="preserve">, qui doivent sortir aussi naturellement que Hansford.</w:t>
      </w:r>
    </w:p>
    <w:bookmarkEnd w:id="51"/>
    <w:bookmarkStart w:id="52" w:name="les-chiffres"/>
    <w:p>
      <w:pPr>
        <w:pStyle w:val="Heading2"/>
      </w:pPr>
      <w:r>
        <w:t xml:space="preserve">Les chiffres</w:t>
      </w:r>
    </w:p>
    <w:p>
      <w:pPr>
        <w:pStyle w:val="FirstParagraph"/>
      </w:pPr>
      <w:r>
        <w:t xml:space="preserve">Tous les nombres du script sont</w:t>
      </w:r>
      <w:r>
        <w:t xml:space="preserve"> </w:t>
      </w:r>
      <w:r>
        <w:rPr>
          <w:bCs/>
          <w:b/>
        </w:rPr>
        <w:t xml:space="preserve">écrits en toutes lettres dans le texte à lire</w:t>
      </w:r>
      <w:r>
        <w:t xml:space="preserve">. À l’oral, « 10 511 cal BP » est illisible. Trois règles :</w:t>
      </w:r>
    </w:p>
    <w:p>
      <w:pPr>
        <w:numPr>
          <w:ilvl w:val="0"/>
          <w:numId w:val="1001"/>
        </w:numPr>
        <w:pStyle w:val="Compact"/>
      </w:pPr>
      <w:r>
        <w:rPr>
          <w:bCs/>
          <w:b/>
        </w:rPr>
        <w:t xml:space="preserve">Jamais « BP » à l’antenne.</w:t>
      </w:r>
      <w:r>
        <w:t xml:space="preserve"> </w:t>
      </w:r>
      <w:r>
        <w:t xml:space="preserve">L’explicitation de ce que veut dire « avant le présent » est faite</w:t>
      </w:r>
      <w:r>
        <w:t xml:space="preserve"> </w:t>
      </w:r>
      <w:r>
        <w:rPr>
          <w:bCs/>
          <w:b/>
        </w:rPr>
        <w:t xml:space="preserve">une seule fois</w:t>
      </w:r>
      <w:r>
        <w:t xml:space="preserve">, à la Bascule.</w:t>
      </w:r>
    </w:p>
    <w:p>
      <w:pPr>
        <w:numPr>
          <w:ilvl w:val="0"/>
          <w:numId w:val="1001"/>
        </w:numPr>
        <w:pStyle w:val="Compact"/>
      </w:pPr>
      <w:r>
        <w:rPr>
          <w:bCs/>
          <w:b/>
        </w:rPr>
        <w:t xml:space="preserve">Deux mesures chiffrées maximum dans le cold open</w:t>
      </w:r>
      <w:r>
        <w:t xml:space="preserve"> </w:t>
      </w:r>
      <w:r>
        <w:t xml:space="preserve">— ici : quatre centimètres et demi, et dix mille cinq cents ans.</w:t>
      </w:r>
    </w:p>
    <w:p>
      <w:pPr>
        <w:numPr>
          <w:ilvl w:val="0"/>
          <w:numId w:val="1001"/>
        </w:numPr>
        <w:pStyle w:val="Compact"/>
      </w:pPr>
      <w:r>
        <w:rPr>
          <w:bCs/>
          <w:b/>
        </w:rPr>
        <w:t xml:space="preserve">Ailleurs, jamais plus de trois chiffres dans la même minute, et jamais un chiffre sans point de comparaison.</w:t>
      </w:r>
      <w:r>
        <w:t xml:space="preserve"> </w:t>
      </w:r>
      <w:r>
        <w:t xml:space="preserve">Les deux dates brutes de laboratoire (9 428 et 9 535) ont été retirées de la Bascule pour cette raison : elles n’apportaient rien qu’une fausse précision.</w:t>
      </w:r>
    </w:p>
    <w:bookmarkEnd w:id="52"/>
    <w:bookmarkStart w:id="53" w:name="les-silences"/>
    <w:p>
      <w:pPr>
        <w:pStyle w:val="Heading2"/>
      </w:pPr>
      <w:r>
        <w:t xml:space="preserve">Les silences</w:t>
      </w:r>
    </w:p>
    <w:p>
      <w:pPr>
        <w:pStyle w:val="FirstParagraph"/>
      </w:pPr>
      <w:r>
        <w:t xml:space="preserve">Ils sont structurels, pas décoratifs. Trois sont non négociables :</w:t>
      </w:r>
    </w:p>
    <w:p>
      <w:pPr>
        <w:numPr>
          <w:ilvl w:val="0"/>
          <w:numId w:val="1002"/>
        </w:numPr>
        <w:pStyle w:val="Compact"/>
      </w:pPr>
      <w:r>
        <w:rPr>
          <w:bCs/>
          <w:b/>
        </w:rPr>
        <w:t xml:space="preserve">2:47</w:t>
      </w:r>
      <w:r>
        <w:t xml:space="preserve"> </w:t>
      </w:r>
      <w:r>
        <w:t xml:space="preserve">— après « ce sont les lectures qui bougent ». Fin du contrat.</w:t>
      </w:r>
    </w:p>
    <w:p>
      <w:pPr>
        <w:numPr>
          <w:ilvl w:val="0"/>
          <w:numId w:val="1002"/>
        </w:numPr>
        <w:pStyle w:val="Compact"/>
      </w:pPr>
      <w:r>
        <w:rPr>
          <w:bCs/>
          <w:b/>
        </w:rPr>
        <w:t xml:space="preserve">11:35</w:t>
      </w:r>
      <w:r>
        <w:t xml:space="preserve"> </w:t>
      </w:r>
      <w:r>
        <w:t xml:space="preserve">— après « Elle était en période de ponte ». Le plus long de l’épisode (2 s). Ne pas le combler.</w:t>
      </w:r>
    </w:p>
    <w:p>
      <w:pPr>
        <w:numPr>
          <w:ilvl w:val="0"/>
          <w:numId w:val="1002"/>
        </w:numPr>
        <w:pStyle w:val="Compact"/>
      </w:pPr>
      <w:r>
        <w:rPr>
          <w:bCs/>
          <w:b/>
        </w:rPr>
        <w:t xml:space="preserve">17:00</w:t>
      </w:r>
      <w:r>
        <w:t xml:space="preserve"> </w:t>
      </w:r>
      <w:r>
        <w:t xml:space="preserve">— entre « Souvenez-vous de la première minute » et la description des deux parois. C’est le paiement de la dette. Un silence trop court ici tue seize minutes de construction.</w:t>
      </w:r>
    </w:p>
    <w:bookmarkEnd w:id="53"/>
    <w:bookmarkStart w:id="54" w:name="habillage-sonore"/>
    <w:p>
      <w:pPr>
        <w:pStyle w:val="Heading2"/>
      </w:pPr>
      <w:r>
        <w:t xml:space="preserve">Habillage sonore</w:t>
      </w:r>
    </w:p>
    <w:p>
      <w:pPr>
        <w:pStyle w:val="FirstParagraph"/>
      </w:pPr>
      <w:r>
        <w:rPr>
          <w:bCs/>
          <w:b/>
        </w:rPr>
        <w:t xml:space="preserve">Principe : le moins possible.</w:t>
      </w:r>
    </w:p>
    <w:p>
      <w:pPr>
        <w:numPr>
          <w:ilvl w:val="0"/>
          <w:numId w:val="1003"/>
        </w:numPr>
        <w:pStyle w:val="Compact"/>
      </w:pPr>
      <w:r>
        <w:rPr>
          <w:bCs/>
          <w:b/>
        </w:rPr>
        <w:t xml:space="preserve">Cold open</w:t>
      </w:r>
      <w:r>
        <w:t xml:space="preserve"> </w:t>
      </w:r>
      <w:r>
        <w:t xml:space="preserve">: rien. Pas de musique, pas d’ambiance. Voix sèche, proche.</w:t>
      </w:r>
    </w:p>
    <w:p>
      <w:pPr>
        <w:numPr>
          <w:ilvl w:val="0"/>
          <w:numId w:val="1003"/>
        </w:numPr>
        <w:pStyle w:val="Compact"/>
      </w:pPr>
      <w:r>
        <w:rPr>
          <w:bCs/>
          <w:b/>
        </w:rPr>
        <w:t xml:space="preserve">Séquence 1.1 (Ilakaka)</w:t>
      </w:r>
      <w:r>
        <w:t xml:space="preserve"> </w:t>
      </w:r>
      <w:r>
        <w:t xml:space="preserve">: seule séquence qui supporte une ambiance réelle. Si vous n’avez pas d’archive sonore d’Ilakaka,</w:t>
      </w:r>
      <w:r>
        <w:t xml:space="preserve"> </w:t>
      </w:r>
      <w:r>
        <w:rPr>
          <w:bCs/>
          <w:b/>
        </w:rPr>
        <w:t xml:space="preserve">n’en fabriquez pas.</w:t>
      </w:r>
      <w:r>
        <w:t xml:space="preserve"> </w:t>
      </w:r>
      <w:r>
        <w:t xml:space="preserve">Le silence vaut mieux qu’une ambiance générique de « marché africain », qui serait une faute exactement du type que cet épisode dénonce.</w:t>
      </w:r>
    </w:p>
    <w:p>
      <w:pPr>
        <w:numPr>
          <w:ilvl w:val="0"/>
          <w:numId w:val="1003"/>
        </w:numPr>
        <w:pStyle w:val="Compact"/>
      </w:pPr>
      <w:r>
        <w:rPr>
          <w:bCs/>
          <w:b/>
        </w:rPr>
        <w:t xml:space="preserve">Séquence 1.4 (l’animal)</w:t>
      </w:r>
      <w:r>
        <w:t xml:space="preserve"> </w:t>
      </w:r>
      <w:r>
        <w:t xml:space="preserve">: la tentation d’un cri d’oiseau est forte.</w:t>
      </w:r>
      <w:r>
        <w:t xml:space="preserve"> </w:t>
      </w:r>
      <w:r>
        <w:rPr>
          <w:bCs/>
          <w:b/>
        </w:rPr>
        <w:t xml:space="preserve">Y résister.</w:t>
      </w:r>
      <w:r>
        <w:t xml:space="preserve"> </w:t>
      </w:r>
      <w:r>
        <w:t xml:space="preserve">On ne sait pas quel bruit faisait cet animal. Si vous voulez une couleur, prenez une texture de nuit — vent, insectes — jamais une voix animale.</w:t>
      </w:r>
    </w:p>
    <w:bookmarkEnd w:id="54"/>
    <w:bookmarkStart w:id="55" w:name="deux-points-de-direction-dacteur"/>
    <w:p>
      <w:pPr>
        <w:pStyle w:val="Heading2"/>
      </w:pPr>
      <w:r>
        <w:t xml:space="preserve">Deux points de direction d’acteur</w:t>
      </w:r>
    </w:p>
    <w:p>
      <w:pPr>
        <w:numPr>
          <w:ilvl w:val="0"/>
          <w:numId w:val="1004"/>
        </w:numPr>
        <w:pStyle w:val="Compact"/>
      </w:pPr>
      <w:r>
        <w:rPr>
          <w:bCs/>
          <w:b/>
        </w:rPr>
        <w:t xml:space="preserve">Le mot « os »</w:t>
      </w:r>
      <w:r>
        <w:t xml:space="preserve"> </w:t>
      </w:r>
      <w:r>
        <w:t xml:space="preserve">revient des dizaines de fois, tantôt au singulier (S sonore), tantôt au pluriel (S muet, liaison en Z). Une seule inversion sonne comme une faute. À signaler au narrateur avant la prise.</w:t>
      </w:r>
    </w:p>
    <w:p>
      <w:pPr>
        <w:numPr>
          <w:ilvl w:val="0"/>
          <w:numId w:val="1004"/>
        </w:numPr>
        <w:pStyle w:val="Compact"/>
      </w:pPr>
      <w:r>
        <w:rPr>
          <w:bCs/>
          <w:b/>
        </w:rPr>
        <w:t xml:space="preserve">Les injonctions à l’auditeur</w:t>
      </w:r>
      <w:r>
        <w:t xml:space="preserve"> </w:t>
      </w:r>
      <w:r>
        <w:t xml:space="preserve">(« Retenez », « Gardez en tête », « Souvenez-vous », « Écoutez bien ») sont maintenant au nombre de quatre, réparties sur vingt-cinq minutes.</w:t>
      </w:r>
      <w:r>
        <w:t xml:space="preserve"> </w:t>
      </w:r>
      <w:r>
        <w:rPr>
          <w:bCs/>
          <w:b/>
        </w:rPr>
        <w:t xml:space="preserve">Ne pas en ajouter.</w:t>
      </w:r>
      <w:r>
        <w:t xml:space="preserve"> </w:t>
      </w:r>
      <w:r>
        <w:t xml:space="preserve">Au-delà, le narrateur cesse d’être un guide et devient un professeur.</w:t>
      </w:r>
    </w:p>
    <w:bookmarkEnd w:id="55"/>
    <w:bookmarkStart w:id="56" w:name="X00c5952fc2beddf16ffd9843da625959302469a"/>
    <w:p>
      <w:pPr>
        <w:pStyle w:val="Heading2"/>
      </w:pPr>
      <w:r>
        <w:t xml:space="preserve">La règle de la série : « je n’ai rien inventé de mesurable »</w:t>
      </w:r>
    </w:p>
    <w:p>
      <w:pPr>
        <w:pStyle w:val="FirstParagraph"/>
      </w:pPr>
      <w:r>
        <w:t xml:space="preserve">Toute donnée sensorielle non publiée est</w:t>
      </w:r>
      <w:r>
        <w:t xml:space="preserve"> </w:t>
      </w:r>
      <w:r>
        <w:rPr>
          <w:bCs/>
          <w:b/>
        </w:rPr>
        <w:t xml:space="preserve">omise</w:t>
      </w:r>
      <w:r>
        <w:t xml:space="preserve">. Ce script ne contient aucune couleur d’os, aucun bruit, aucune météo, aucun geste qui ne figure pas dans une source. C’est la contrainte qui rend l’épisode crédible — et c’est elle qui autorise, à la seizième minute, à demander à l’auditeur de croire une description physique.</w:t>
      </w:r>
    </w:p>
    <w:bookmarkEnd w:id="56"/>
    <w:bookmarkEnd w:id="57"/>
    <w:bookmarkStart w:id="58" w:name="fiche-de-vérification"/>
    <w:p>
      <w:pPr>
        <w:pStyle w:val="Heading1"/>
      </w:pPr>
      <w:r>
        <w:t xml:space="preserve">Fiche de vérification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Affirmation du script</w:t>
            </w:r>
          </w:p>
        </w:tc>
        <w:tc>
          <w:tcPr/>
          <w:p>
            <w:pPr>
              <w:pStyle w:val="Compact"/>
              <w:jc w:val="left"/>
            </w:pPr>
            <w:r>
              <w:t xml:space="preserve">Source</w:t>
            </w:r>
          </w:p>
        </w:tc>
        <w:tc>
          <w:tcPr/>
          <w:p>
            <w:pPr>
              <w:pStyle w:val="Compact"/>
              <w:jc w:val="left"/>
            </w:pPr>
            <w:r>
              <w:t xml:space="preserve">Statut</w:t>
            </w:r>
          </w:p>
        </w:tc>
      </w:tr>
      <w:tr>
        <w:tc>
          <w:tcPr/>
          <w:p>
            <w:pPr>
              <w:pStyle w:val="Compact"/>
              <w:jc w:val="left"/>
            </w:pPr>
            <w:r>
              <w:t xml:space="preserve">Entaille de 44,5 mm, profonde de 5,1 mm, traversant l’os cortical et exposant l’os spongieux (marque TT-3)</w:t>
            </w:r>
          </w:p>
        </w:tc>
        <w:tc>
          <w:tcPr/>
          <w:p>
            <w:pPr>
              <w:pStyle w:val="Compact"/>
              <w:jc w:val="left"/>
            </w:pPr>
            <w:r>
              <w:t xml:space="preserve">Hansford</w:t>
            </w:r>
            <w:r>
              <w:t xml:space="preserve"> </w:t>
            </w:r>
            <w:r>
              <w:rPr>
                <w:iCs/>
                <w:i/>
              </w:rPr>
              <w:t xml:space="preserve">et al.</w:t>
            </w:r>
            <w:r>
              <w:t xml:space="preserve"> </w:t>
            </w:r>
            <w:r>
              <w:t xml:space="preserve">2018,</w:t>
            </w:r>
            <w:r>
              <w:t xml:space="preserve"> </w:t>
            </w:r>
            <w:r>
              <w:rPr>
                <w:iCs/>
                <w:i/>
              </w:rPr>
              <w:t xml:space="preserve">Science Advances</w:t>
            </w:r>
          </w:p>
        </w:tc>
        <w:tc>
          <w:tcPr/>
          <w:p>
            <w:pPr>
              <w:pStyle w:val="Compact"/>
              <w:jc w:val="left"/>
            </w:pPr>
            <w:r>
              <w:rPr>
                <w:bCs/>
                <w:b/>
              </w:rPr>
              <w:t xml:space="preserve">Établi</w:t>
            </w:r>
          </w:p>
        </w:tc>
      </w:tr>
      <w:tr>
        <w:tc>
          <w:tcPr/>
          <w:p>
            <w:pPr>
              <w:pStyle w:val="Compact"/>
              <w:jc w:val="left"/>
            </w:pPr>
            <w:r>
              <w:t xml:space="preserve">Asymétrie des parois : « rugueuse, à relief variable » d’un côté, « lisse et rectiligne » de l’autre</w:t>
            </w:r>
          </w:p>
        </w:tc>
        <w:tc>
          <w:tcPr/>
          <w:p>
            <w:pPr>
              <w:pStyle w:val="Compact"/>
              <w:jc w:val="left"/>
            </w:pPr>
            <w:r>
              <w:t xml:space="preserve">Hansford</w:t>
            </w:r>
            <w:r>
              <w:t xml:space="preserve"> </w:t>
            </w:r>
            <w:r>
              <w:rPr>
                <w:iCs/>
                <w:i/>
              </w:rPr>
              <w:t xml:space="preserve">et al.</w:t>
            </w:r>
            <w:r>
              <w:t xml:space="preserve"> </w:t>
            </w:r>
            <w:r>
              <w:t xml:space="preserve">2018, description de TT-3</w:t>
            </w:r>
          </w:p>
        </w:tc>
        <w:tc>
          <w:tcPr/>
          <w:p>
            <w:pPr>
              <w:pStyle w:val="Compact"/>
              <w:jc w:val="left"/>
            </w:pPr>
            <w:r>
              <w:rPr>
                <w:bCs/>
                <w:b/>
              </w:rPr>
              <w:t xml:space="preserve">Établi</w:t>
            </w:r>
          </w:p>
        </w:tc>
      </w:tr>
      <w:tr>
        <w:tc>
          <w:tcPr/>
          <w:p>
            <w:pPr>
              <w:pStyle w:val="Compact"/>
              <w:jc w:val="left"/>
            </w:pPr>
            <w:r>
              <w:t xml:space="preserve">Deux enfoncements : 18,4 mm et 52,1 mm de long ; profondeurs 6,8 et 7,6 mm</w:t>
            </w:r>
          </w:p>
        </w:tc>
        <w:tc>
          <w:tcPr/>
          <w:p>
            <w:pPr>
              <w:pStyle w:val="Compact"/>
              <w:jc w:val="left"/>
            </w:pPr>
            <w:r>
              <w:t xml:space="preserve">Hansford</w:t>
            </w:r>
            <w:r>
              <w:t xml:space="preserve"> </w:t>
            </w:r>
            <w:r>
              <w:rPr>
                <w:iCs/>
                <w:i/>
              </w:rPr>
              <w:t xml:space="preserve">et al.</w:t>
            </w:r>
            <w:r>
              <w:t xml:space="preserve"> </w:t>
            </w:r>
            <w:r>
              <w:t xml:space="preserve">2018</w:t>
            </w:r>
          </w:p>
        </w:tc>
        <w:tc>
          <w:tcPr/>
          <w:p>
            <w:pPr>
              <w:pStyle w:val="Compact"/>
              <w:jc w:val="left"/>
            </w:pPr>
            <w:r>
              <w:rPr>
                <w:bCs/>
                <w:b/>
              </w:rPr>
              <w:t xml:space="preserve">Établi</w:t>
            </w:r>
            <w:r>
              <w:t xml:space="preserve"> </w:t>
            </w:r>
            <w:r>
              <w:t xml:space="preserve">— d’où « sept, huit millimètres »</w:t>
            </w:r>
          </w:p>
        </w:tc>
      </w:tr>
      <w:tr>
        <w:tc>
          <w:tcPr/>
          <w:p>
            <w:pPr>
              <w:pStyle w:val="Compact"/>
              <w:jc w:val="left"/>
            </w:pPr>
            <w:r>
              <w:t xml:space="preserve">Cinq sillons à l’extrémité distale du second os, orientation compatible avec le détachement des doigts</w:t>
            </w:r>
          </w:p>
        </w:tc>
        <w:tc>
          <w:tcPr/>
          <w:p>
            <w:pPr>
              <w:pStyle w:val="Compact"/>
              <w:jc w:val="left"/>
            </w:pPr>
            <w:r>
              <w:t xml:space="preserve">Hansford</w:t>
            </w:r>
            <w:r>
              <w:t xml:space="preserve"> </w:t>
            </w:r>
            <w:r>
              <w:rPr>
                <w:iCs/>
                <w:i/>
              </w:rPr>
              <w:t xml:space="preserve">et al.</w:t>
            </w:r>
            <w:r>
              <w:t xml:space="preserve"> </w:t>
            </w:r>
            <w:r>
              <w:t xml:space="preserve">2018</w:t>
            </w:r>
          </w:p>
        </w:tc>
        <w:tc>
          <w:tcPr/>
          <w:p>
            <w:pPr>
              <w:pStyle w:val="Compact"/>
              <w:jc w:val="left"/>
            </w:pPr>
            <w:r>
              <w:rPr>
                <w:bCs/>
                <w:b/>
              </w:rPr>
              <w:t xml:space="preserve">Établi</w:t>
            </w:r>
          </w:p>
        </w:tc>
      </w:tr>
      <w:tr>
        <w:tc>
          <w:tcPr/>
          <w:p>
            <w:pPr>
              <w:pStyle w:val="Compact"/>
              <w:jc w:val="left"/>
            </w:pPr>
            <w:r>
              <w:t xml:space="preserve">Longueur du tibiotarse d’</w:t>
            </w:r>
            <w:r>
              <w:rPr>
                <w:iCs/>
                <w:i/>
              </w:rPr>
              <w:t xml:space="preserve">Aepyornis maximus</w:t>
            </w:r>
            <w:r>
              <w:t xml:space="preserve"> </w:t>
            </w:r>
            <w:r>
              <w:t xml:space="preserve">: 614 mm</w:t>
            </w:r>
          </w:p>
        </w:tc>
        <w:tc>
          <w:tcPr/>
          <w:p>
            <w:pPr>
              <w:pStyle w:val="Compact"/>
              <w:jc w:val="left"/>
            </w:pPr>
            <w:r>
              <w:t xml:space="preserve">Hansford &amp; Turvey 2018,</w:t>
            </w:r>
            <w:r>
              <w:t xml:space="preserve"> </w:t>
            </w:r>
            <w:r>
              <w:rPr>
                <w:iCs/>
                <w:i/>
              </w:rPr>
              <w:t xml:space="preserve">Royal Society Open Science</w:t>
            </w:r>
            <w:r>
              <w:t xml:space="preserve"> </w:t>
            </w:r>
            <w:r>
              <w:t xml:space="preserve">5(9), tableau 5</w:t>
            </w:r>
          </w:p>
        </w:tc>
        <w:tc>
          <w:tcPr/>
          <w:p>
            <w:pPr>
              <w:pStyle w:val="Compact"/>
              <w:jc w:val="left"/>
            </w:pPr>
            <w:r>
              <w:rPr>
                <w:bCs/>
                <w:b/>
              </w:rPr>
              <w:t xml:space="preserve">Établi</w:t>
            </w:r>
            <w:r>
              <w:t xml:space="preserve"> </w:t>
            </w:r>
            <w:r>
              <w:t xml:space="preserve">— d’où « la largeur de vos épaules »</w:t>
            </w:r>
          </w:p>
        </w:tc>
      </w:tr>
      <w:tr>
        <w:tc>
          <w:tcPr/>
          <w:p>
            <w:pPr>
              <w:pStyle w:val="Compact"/>
              <w:jc w:val="left"/>
            </w:pPr>
            <w:r>
              <w:t xml:space="preserve">Os médullaire → femelle en période de ponte</w:t>
            </w:r>
          </w:p>
        </w:tc>
        <w:tc>
          <w:tcPr/>
          <w:p>
            <w:pPr>
              <w:pStyle w:val="Compact"/>
              <w:jc w:val="left"/>
            </w:pPr>
            <w:r>
              <w:t xml:space="preserve">Hansford</w:t>
            </w:r>
            <w:r>
              <w:t xml:space="preserve"> </w:t>
            </w:r>
            <w:r>
              <w:rPr>
                <w:iCs/>
                <w:i/>
              </w:rPr>
              <w:t xml:space="preserve">et al.</w:t>
            </w:r>
            <w:r>
              <w:t xml:space="preserve"> </w:t>
            </w:r>
            <w:r>
              <w:t xml:space="preserve">2018</w:t>
            </w:r>
          </w:p>
        </w:tc>
        <w:tc>
          <w:tcPr/>
          <w:p>
            <w:pPr>
              <w:pStyle w:val="Compact"/>
              <w:jc w:val="left"/>
            </w:pPr>
            <w:r>
              <w:rPr>
                <w:bCs/>
                <w:b/>
              </w:rPr>
              <w:t xml:space="preserve">Établi</w:t>
            </w:r>
          </w:p>
        </w:tc>
      </w:tr>
      <w:tr>
        <w:tc>
          <w:tcPr/>
          <w:p>
            <w:pPr>
              <w:pStyle w:val="Compact"/>
              <w:jc w:val="left"/>
            </w:pPr>
            <w:r>
              <w:t xml:space="preserve">USNM A605209, conservé au Smithsonian</w:t>
            </w:r>
          </w:p>
        </w:tc>
        <w:tc>
          <w:tcPr/>
          <w:p>
            <w:pPr>
              <w:pStyle w:val="Compact"/>
              <w:jc w:val="left"/>
            </w:pPr>
            <w:r>
              <w:t xml:space="preserve">Hansford</w:t>
            </w:r>
            <w:r>
              <w:t xml:space="preserve"> </w:t>
            </w:r>
            <w:r>
              <w:rPr>
                <w:iCs/>
                <w:i/>
              </w:rPr>
              <w:t xml:space="preserve">et al.</w:t>
            </w:r>
            <w:r>
              <w:t xml:space="preserve"> </w:t>
            </w:r>
            <w:r>
              <w:t xml:space="preserve">2018 ; communiqué ZSL</w:t>
            </w:r>
          </w:p>
        </w:tc>
        <w:tc>
          <w:tcPr/>
          <w:p>
            <w:pPr>
              <w:pStyle w:val="Compact"/>
              <w:jc w:val="left"/>
            </w:pPr>
            <w:r>
              <w:rPr>
                <w:bCs/>
                <w:b/>
              </w:rPr>
              <w:t xml:space="preserve">Établi</w:t>
            </w:r>
          </w:p>
        </w:tc>
      </w:tr>
      <w:tr>
        <w:tc>
          <w:tcPr/>
          <w:p>
            <w:pPr>
              <w:pStyle w:val="Compact"/>
              <w:jc w:val="left"/>
            </w:pPr>
            <w:r>
              <w:t xml:space="preserve">Deux laboratoires, résultats à ~100 ans l’un de l’autre ; calibré : plus de 10 500 ans (10 721–10 511)</w:t>
            </w:r>
          </w:p>
        </w:tc>
        <w:tc>
          <w:tcPr/>
          <w:p>
            <w:pPr>
              <w:pStyle w:val="Compact"/>
              <w:jc w:val="left"/>
            </w:pPr>
            <w:r>
              <w:t xml:space="preserve">Hansford</w:t>
            </w:r>
            <w:r>
              <w:t xml:space="preserve"> </w:t>
            </w:r>
            <w:r>
              <w:rPr>
                <w:iCs/>
                <w:i/>
              </w:rPr>
              <w:t xml:space="preserve">et al.</w:t>
            </w:r>
            <w:r>
              <w:t xml:space="preserve"> </w:t>
            </w:r>
            <w:r>
              <w:t xml:space="preserve">2018</w:t>
            </w:r>
          </w:p>
        </w:tc>
        <w:tc>
          <w:tcPr/>
          <w:p>
            <w:pPr>
              <w:pStyle w:val="Compact"/>
              <w:jc w:val="left"/>
            </w:pPr>
            <w:r>
              <w:rPr>
                <w:bCs/>
                <w:b/>
              </w:rPr>
              <w:t xml:space="preserve">Établi</w:t>
            </w:r>
            <w:r>
              <w:t xml:space="preserve"> </w:t>
            </w:r>
            <w:r>
              <w:t xml:space="preserve">— « plus de » est un plancher, conforme au titre de l’article</w:t>
            </w:r>
          </w:p>
        </w:tc>
      </w:tr>
      <w:tr>
        <w:tc>
          <w:tcPr/>
          <w:p>
            <w:pPr>
              <w:pStyle w:val="Compact"/>
              <w:jc w:val="left"/>
            </w:pPr>
            <w:r>
              <w:t xml:space="preserve">Faune de la même couche datée du même ordre</w:t>
            </w:r>
          </w:p>
        </w:tc>
        <w:tc>
          <w:tcPr/>
          <w:p>
            <w:pPr>
              <w:pStyle w:val="Compact"/>
              <w:jc w:val="left"/>
            </w:pPr>
            <w:r>
              <w:t xml:space="preserve">Muldoon</w:t>
            </w:r>
            <w:r>
              <w:t xml:space="preserve"> </w:t>
            </w:r>
            <w:r>
              <w:rPr>
                <w:iCs/>
                <w:i/>
              </w:rPr>
              <w:t xml:space="preserve">et al.</w:t>
            </w:r>
            <w:r>
              <w:t xml:space="preserve"> </w:t>
            </w:r>
            <w:r>
              <w:t xml:space="preserve">2012,</w:t>
            </w:r>
            <w:r>
              <w:t xml:space="preserve"> </w:t>
            </w:r>
            <w:r>
              <w:rPr>
                <w:iCs/>
                <w:i/>
              </w:rPr>
              <w:t xml:space="preserve">Madagascar Conservation &amp; Development</w:t>
            </w:r>
          </w:p>
        </w:tc>
        <w:tc>
          <w:tcPr/>
          <w:p>
            <w:pPr>
              <w:pStyle w:val="Compact"/>
              <w:jc w:val="left"/>
            </w:pPr>
            <w:r>
              <w:rPr>
                <w:bCs/>
                <w:b/>
              </w:rPr>
              <w:t xml:space="preserve">Établi</w:t>
            </w:r>
          </w:p>
        </w:tc>
      </w:tr>
      <w:tr>
        <w:tc>
          <w:tcPr/>
          <w:p>
            <w:pPr>
              <w:pStyle w:val="Compact"/>
              <w:jc w:val="left"/>
            </w:pPr>
            <w:r>
              <w:t xml:space="preserve">Site signalé par un chercheur de saphir en 2006, lit d’ossements à 10–15 m</w:t>
            </w:r>
          </w:p>
        </w:tc>
        <w:tc>
          <w:tcPr/>
          <w:p>
            <w:pPr>
              <w:pStyle w:val="Compact"/>
              <w:jc w:val="left"/>
            </w:pPr>
            <w:r>
              <w:t xml:space="preserve">Muldoon</w:t>
            </w:r>
            <w:r>
              <w:t xml:space="preserve"> </w:t>
            </w:r>
            <w:r>
              <w:rPr>
                <w:iCs/>
                <w:i/>
              </w:rPr>
              <w:t xml:space="preserve">et al.</w:t>
            </w:r>
            <w:r>
              <w:t xml:space="preserve"> </w:t>
            </w:r>
            <w:r>
              <w:t xml:space="preserve">2012</w:t>
            </w:r>
          </w:p>
        </w:tc>
        <w:tc>
          <w:tcPr/>
          <w:p>
            <w:pPr>
              <w:pStyle w:val="Compact"/>
              <w:jc w:val="left"/>
            </w:pPr>
            <w:r>
              <w:rPr>
                <w:bCs/>
                <w:b/>
              </w:rPr>
              <w:t xml:space="preserve">Établi</w:t>
            </w:r>
          </w:p>
        </w:tc>
      </w:tr>
      <w:tr>
        <w:tc>
          <w:tcPr/>
          <w:p>
            <w:pPr>
              <w:pStyle w:val="Compact"/>
              <w:jc w:val="left"/>
            </w:pPr>
            <w:r>
              <w:t xml:space="preserve">Fouille 2008 dirigée par Simons, Wright et Rasoamiaramanana ; carré 10 × 10 m quadrillé au mètre ; sol sableux clair puis argile gris-vert ; 600+ fossiles</w:t>
            </w:r>
          </w:p>
        </w:tc>
        <w:tc>
          <w:tcPr/>
          <w:p>
            <w:pPr>
              <w:pStyle w:val="Compact"/>
              <w:jc w:val="left"/>
            </w:pPr>
            <w:r>
              <w:t xml:space="preserve">Hansford</w:t>
            </w:r>
            <w:r>
              <w:t xml:space="preserve"> </w:t>
            </w:r>
            <w:r>
              <w:rPr>
                <w:iCs/>
                <w:i/>
              </w:rPr>
              <w:t xml:space="preserve">et al.</w:t>
            </w:r>
            <w:r>
              <w:t xml:space="preserve"> </w:t>
            </w:r>
            <w:r>
              <w:t xml:space="preserve">2020 ; Muldoon</w:t>
            </w:r>
            <w:r>
              <w:t xml:space="preserve"> </w:t>
            </w:r>
            <w:r>
              <w:rPr>
                <w:iCs/>
                <w:i/>
              </w:rPr>
              <w:t xml:space="preserve">et al.</w:t>
            </w:r>
            <w:r>
              <w:t xml:space="preserve"> </w:t>
            </w:r>
            <w:r>
              <w:t xml:space="preserve">2012</w:t>
            </w:r>
          </w:p>
        </w:tc>
        <w:tc>
          <w:tcPr/>
          <w:p>
            <w:pPr>
              <w:pStyle w:val="Compact"/>
              <w:jc w:val="left"/>
            </w:pPr>
            <w:r>
              <w:rPr>
                <w:bCs/>
                <w:b/>
              </w:rPr>
              <w:t xml:space="preserve">Établi</w:t>
            </w:r>
          </w:p>
        </w:tc>
      </w:tr>
      <w:tr>
        <w:tc>
          <w:tcPr/>
          <w:p>
            <w:pPr>
              <w:pStyle w:val="Compact"/>
              <w:jc w:val="left"/>
            </w:pPr>
            <w:r>
              <w:t xml:space="preserve">Os trouvés associés, photographiés en alignement anatomique peu après dégagement</w:t>
            </w:r>
          </w:p>
        </w:tc>
        <w:tc>
          <w:tcPr/>
          <w:p>
            <w:pPr>
              <w:pStyle w:val="Compact"/>
              <w:jc w:val="left"/>
            </w:pPr>
            <w:r>
              <w:t xml:space="preserve">Hansford</w:t>
            </w:r>
            <w:r>
              <w:t xml:space="preserve"> </w:t>
            </w:r>
            <w:r>
              <w:rPr>
                <w:iCs/>
                <w:i/>
              </w:rPr>
              <w:t xml:space="preserve">et al.</w:t>
            </w:r>
            <w:r>
              <w:t xml:space="preserve"> </w:t>
            </w:r>
            <w:r>
              <w:t xml:space="preserve">2020</w:t>
            </w:r>
          </w:p>
        </w:tc>
        <w:tc>
          <w:tcPr/>
          <w:p>
            <w:pPr>
              <w:pStyle w:val="Compact"/>
              <w:jc w:val="left"/>
            </w:pPr>
            <w:r>
              <w:rPr>
                <w:bCs/>
                <w:b/>
              </w:rPr>
              <w:t xml:space="preserve">Établi</w:t>
            </w:r>
            <w:r>
              <w:t xml:space="preserve"> </w:t>
            </w:r>
            <w:r>
              <w:t xml:space="preserve">— formulation prudente volontaire : la photo est postérieure au dégagement, pas</w:t>
            </w:r>
            <w:r>
              <w:t xml:space="preserve"> </w:t>
            </w:r>
            <w:r>
              <w:rPr>
                <w:iCs/>
                <w:i/>
              </w:rPr>
              <w:t xml:space="preserve">in situ</w:t>
            </w:r>
            <w:r>
              <w:t xml:space="preserve"> </w:t>
            </w:r>
            <w:r>
              <w:t xml:space="preserve">avant toute manipulation</w:t>
            </w:r>
          </w:p>
        </w:tc>
      </w:tr>
      <w:tr>
        <w:tc>
          <w:tcPr/>
          <w:p>
            <w:pPr>
              <w:pStyle w:val="Compact"/>
              <w:jc w:val="left"/>
            </w:pPr>
            <w:r>
              <w:t xml:space="preserve">Ilakaka : ~40 habitants début des années 1990 → ~60 000 en 2005 ; pas d’eau ni d’électricité ; puits étayés de branchages ; acheteurs étrangers</w:t>
            </w:r>
          </w:p>
        </w:tc>
        <w:tc>
          <w:tcPr/>
          <w:p>
            <w:pPr>
              <w:pStyle w:val="Compact"/>
              <w:jc w:val="left"/>
            </w:pPr>
            <w:r>
              <w:t xml:space="preserve">Notice encyclopédique Ilakaka ; enquête Public Eye, « The curse of the sapphire »</w:t>
            </w:r>
          </w:p>
        </w:tc>
        <w:tc>
          <w:tcPr/>
          <w:p>
            <w:pPr>
              <w:pStyle w:val="Compact"/>
              <w:jc w:val="left"/>
            </w:pPr>
            <w:r>
              <w:rPr>
                <w:bCs/>
                <w:b/>
              </w:rPr>
              <w:t xml:space="preserve">Établi</w:t>
            </w:r>
          </w:p>
        </w:tc>
      </w:tr>
      <w:tr>
        <w:tc>
          <w:tcPr/>
          <w:p>
            <w:pPr>
              <w:pStyle w:val="Compact"/>
              <w:jc w:val="left"/>
            </w:pPr>
            <w:r>
              <w:t xml:space="preserve">Faune associée : hippopotames nains, crocodiles, tortues géantes, fossa géant,</w:t>
            </w:r>
            <w:r>
              <w:t xml:space="preserve"> </w:t>
            </w:r>
            <w:r>
              <w:rPr>
                <w:iCs/>
                <w:i/>
              </w:rPr>
              <w:t xml:space="preserve">Megaladapis</w:t>
            </w:r>
          </w:p>
        </w:tc>
        <w:tc>
          <w:tcPr/>
          <w:p>
            <w:pPr>
              <w:pStyle w:val="Compact"/>
              <w:jc w:val="left"/>
            </w:pPr>
            <w:r>
              <w:t xml:space="preserve">Muldoon</w:t>
            </w:r>
            <w:r>
              <w:t xml:space="preserve"> </w:t>
            </w:r>
            <w:r>
              <w:rPr>
                <w:iCs/>
                <w:i/>
              </w:rPr>
              <w:t xml:space="preserve">et al.</w:t>
            </w:r>
            <w:r>
              <w:t xml:space="preserve"> </w:t>
            </w:r>
            <w:r>
              <w:t xml:space="preserve">2012</w:t>
            </w:r>
          </w:p>
        </w:tc>
        <w:tc>
          <w:tcPr/>
          <w:p>
            <w:pPr>
              <w:pStyle w:val="Compact"/>
              <w:jc w:val="left"/>
            </w:pPr>
            <w:r>
              <w:rPr>
                <w:bCs/>
                <w:b/>
              </w:rPr>
              <w:t xml:space="preserve">Établi</w:t>
            </w:r>
          </w:p>
        </w:tc>
      </w:tr>
      <w:tr>
        <w:tc>
          <w:tcPr/>
          <w:p>
            <w:pPr>
              <w:pStyle w:val="Compact"/>
              <w:jc w:val="left"/>
            </w:pPr>
            <w:r>
              <w:t xml:space="preserve">Aepyornis : ~3 m ; masse estimée de 275 kg à plus de 700 selon les sources</w:t>
            </w:r>
          </w:p>
        </w:tc>
        <w:tc>
          <w:tcPr/>
          <w:p>
            <w:pPr>
              <w:pStyle w:val="Compact"/>
              <w:jc w:val="left"/>
            </w:pPr>
            <w:r>
              <w:t xml:space="preserve">Littérature de synthèse ; Britannica</w:t>
            </w:r>
          </w:p>
        </w:tc>
        <w:tc>
          <w:tcPr/>
          <w:p>
            <w:pPr>
              <w:pStyle w:val="Compact"/>
              <w:jc w:val="left"/>
            </w:pPr>
            <w:r>
              <w:rPr>
                <w:bCs/>
                <w:b/>
              </w:rPr>
              <w:t xml:space="preserve">Établi que la masse est disputée</w:t>
            </w:r>
            <w:r>
              <w:t xml:space="preserve"> </w:t>
            </w:r>
            <w:r>
              <w:t xml:space="preserve">— d’où la fourchette</w:t>
            </w:r>
          </w:p>
        </w:tc>
      </w:tr>
      <w:tr>
        <w:tc>
          <w:tcPr/>
          <w:p>
            <w:pPr>
              <w:pStyle w:val="Compact"/>
              <w:jc w:val="left"/>
            </w:pPr>
            <w:r>
              <w:t xml:space="preserve">Lobe optique très réduit, bulbe olfactif hypertrophié → animal nocturne</w:t>
            </w:r>
          </w:p>
        </w:tc>
        <w:tc>
          <w:tcPr/>
          <w:p>
            <w:pPr>
              <w:pStyle w:val="Compact"/>
              <w:jc w:val="left"/>
            </w:pPr>
            <w:r>
              <w:t xml:space="preserve">Torres &amp; Clarke 2018,</w:t>
            </w:r>
            <w:r>
              <w:t xml:space="preserve"> </w:t>
            </w:r>
            <w:r>
              <w:rPr>
                <w:iCs/>
                <w:i/>
              </w:rPr>
              <w:t xml:space="preserve">Proc. R. Soc. B</w:t>
            </w:r>
          </w:p>
        </w:tc>
        <w:tc>
          <w:tcPr/>
          <w:p>
            <w:pPr>
              <w:pStyle w:val="Compact"/>
              <w:jc w:val="left"/>
            </w:pPr>
            <w:r>
              <w:rPr>
                <w:bCs/>
                <w:b/>
              </w:rPr>
              <w:t xml:space="preserve">Établi</w:t>
            </w:r>
            <w:r>
              <w:t xml:space="preserve"> </w:t>
            </w:r>
            <w:r>
              <w:t xml:space="preserve">— le script dit « ils en déduisent », jamais « il était aveugle »</w:t>
            </w:r>
          </w:p>
        </w:tc>
      </w:tr>
      <w:tr>
        <w:tc>
          <w:tcPr/>
          <w:p>
            <w:pPr>
              <w:pStyle w:val="Compact"/>
              <w:jc w:val="left"/>
            </w:pPr>
            <w:r>
              <w:t xml:space="preserve">Plus proche parent vivant : le kiwi</w:t>
            </w:r>
          </w:p>
        </w:tc>
        <w:tc>
          <w:tcPr/>
          <w:p>
            <w:pPr>
              <w:pStyle w:val="Compact"/>
              <w:jc w:val="left"/>
            </w:pPr>
            <w:r>
              <w:t xml:space="preserve">Mitchell K.</w:t>
            </w:r>
            <w:r>
              <w:t xml:space="preserve"> </w:t>
            </w:r>
            <w:r>
              <w:rPr>
                <w:iCs/>
                <w:i/>
              </w:rPr>
              <w:t xml:space="preserve">et al.</w:t>
            </w:r>
            <w:r>
              <w:t xml:space="preserve"> </w:t>
            </w:r>
            <w:r>
              <w:t xml:space="preserve">2014, ADN ancien</w:t>
            </w:r>
          </w:p>
        </w:tc>
        <w:tc>
          <w:tcPr/>
          <w:p>
            <w:pPr>
              <w:pStyle w:val="Compact"/>
              <w:jc w:val="left"/>
            </w:pPr>
            <w:r>
              <w:rPr>
                <w:bCs/>
                <w:b/>
              </w:rPr>
              <w:t xml:space="preserve">Établi</w:t>
            </w:r>
            <w:r>
              <w:t xml:space="preserve"> </w:t>
            </w:r>
            <w:r>
              <w:t xml:space="preserve">— attention, ce Mitchell-là n’est</w:t>
            </w:r>
            <w:r>
              <w:t xml:space="preserve"> </w:t>
            </w:r>
            <w:r>
              <w:rPr>
                <w:bCs/>
                <w:b/>
              </w:rPr>
              <w:t xml:space="preserve">pas</w:t>
            </w:r>
            <w:r>
              <w:t xml:space="preserve"> </w:t>
            </w:r>
            <w:r>
              <w:t xml:space="preserve">l’archéologue d’Oxford ; le script ne le nomme pas</w:t>
            </w:r>
          </w:p>
        </w:tc>
      </w:tr>
      <w:tr>
        <w:tc>
          <w:tcPr/>
          <w:p>
            <w:pPr>
              <w:pStyle w:val="Compact"/>
              <w:jc w:val="left"/>
            </w:pPr>
            <w:r>
              <w:rPr>
                <w:iCs/>
                <w:i/>
              </w:rPr>
              <w:t xml:space="preserve">Vorompatra</w:t>
            </w:r>
            <w:r>
              <w:t xml:space="preserve"> </w:t>
            </w:r>
            <w:r>
              <w:t xml:space="preserve">: « oiseau des Ampatres » ou « oiseau des marais »</w:t>
            </w:r>
          </w:p>
        </w:tc>
        <w:tc>
          <w:tcPr/>
          <w:p>
            <w:pPr>
              <w:pStyle w:val="Compact"/>
              <w:jc w:val="left"/>
            </w:pPr>
            <w:r>
              <w:t xml:space="preserve">Deux sources divergentes, aucune autorité linguistique</w:t>
            </w:r>
          </w:p>
        </w:tc>
        <w:tc>
          <w:tcPr/>
          <w:p>
            <w:pPr>
              <w:pStyle w:val="Compact"/>
              <w:jc w:val="left"/>
            </w:pPr>
            <w:r>
              <w:rPr>
                <w:bCs/>
                <w:b/>
              </w:rPr>
              <w:t xml:space="preserve">Non tranché</w:t>
            </w:r>
            <w:r>
              <w:t xml:space="preserve"> </w:t>
            </w:r>
            <w:r>
              <w:t xml:space="preserve">— le script le dit</w:t>
            </w:r>
          </w:p>
        </w:tc>
      </w:tr>
      <w:tr>
        <w:tc>
          <w:tcPr/>
          <w:p>
            <w:pPr>
              <w:pStyle w:val="Compact"/>
              <w:jc w:val="left"/>
            </w:pPr>
            <w:r>
              <w:t xml:space="preserve">Microscope numérique 3D, 85 000 $, 72 h → 4 s</w:t>
            </w:r>
          </w:p>
        </w:tc>
        <w:tc>
          <w:tcPr/>
          <w:p>
            <w:pPr>
              <w:pStyle w:val="Compact"/>
              <w:jc w:val="left"/>
            </w:pPr>
            <w:r>
              <w:rPr>
                <w:iCs/>
                <w:i/>
              </w:rPr>
              <w:t xml:space="preserve">UMass Magazine</w:t>
            </w:r>
            <w:r>
              <w:t xml:space="preserve">, printemps 2019</w:t>
            </w:r>
          </w:p>
        </w:tc>
        <w:tc>
          <w:tcPr/>
          <w:p>
            <w:pPr>
              <w:pStyle w:val="Compact"/>
              <w:jc w:val="left"/>
            </w:pPr>
            <w:r>
              <w:rPr>
                <w:bCs/>
                <w:b/>
              </w:rPr>
              <w:t xml:space="preserve">Établi</w:t>
            </w:r>
            <w:r>
              <w:t xml:space="preserve"> </w:t>
            </w:r>
            <w:r>
              <w:t xml:space="preserve">— appareil de type Keyence VHX-5000, pas un microscope à balayage laser</w:t>
            </w:r>
          </w:p>
        </w:tc>
      </w:tr>
      <w:tr>
        <w:tc>
          <w:tcPr/>
          <w:p>
            <w:pPr>
              <w:pStyle w:val="Compact"/>
              <w:jc w:val="left"/>
            </w:pPr>
            <w:r>
              <w:t xml:space="preserve">Citation V2 limitée à « Je venais de recevoir le microscope. J’étais stupéfait. »</w:t>
            </w:r>
          </w:p>
        </w:tc>
        <w:tc>
          <w:tcPr/>
          <w:p>
            <w:pPr>
              <w:pStyle w:val="Compact"/>
              <w:jc w:val="left"/>
            </w:pPr>
            <w:r>
              <w:rPr>
                <w:iCs/>
                <w:i/>
              </w:rPr>
              <w:t xml:space="preserve">UMass Magazine</w:t>
            </w:r>
          </w:p>
        </w:tc>
        <w:tc>
          <w:tcPr/>
          <w:p>
            <w:pPr>
              <w:pStyle w:val="Compact"/>
              <w:jc w:val="left"/>
            </w:pPr>
            <w:r>
              <w:rPr>
                <w:bCs/>
                <w:b/>
              </w:rPr>
              <w:t xml:space="preserve">Établi</w:t>
            </w:r>
            <w:r>
              <w:t xml:space="preserve"> </w:t>
            </w:r>
            <w:r>
              <w:t xml:space="preserve">— la suite est du discours indirect du magazine, donc dite par le narrateur</w:t>
            </w:r>
          </w:p>
        </w:tc>
      </w:tr>
      <w:tr>
        <w:tc>
          <w:tcPr/>
          <w:p>
            <w:pPr>
              <w:pStyle w:val="Compact"/>
              <w:jc w:val="left"/>
            </w:pPr>
            <w:r>
              <w:t xml:space="preserve">Anderson</w:t>
            </w:r>
            <w:r>
              <w:t xml:space="preserve"> </w:t>
            </w:r>
            <w:r>
              <w:rPr>
                <w:iCs/>
                <w:i/>
              </w:rPr>
              <w:t xml:space="preserve">et al.</w:t>
            </w:r>
            <w:r>
              <w:t xml:space="preserve"> </w:t>
            </w:r>
            <w:r>
              <w:t xml:space="preserve">: 12 auteurs dont 3 Malgaches, 3 sites, 2 710 os, ~0,11 % vs ~9 %, rien avant ~1 200 ans, colonisation 1 350–1 100 ans</w:t>
            </w:r>
          </w:p>
        </w:tc>
        <w:tc>
          <w:tcPr/>
          <w:p>
            <w:pPr>
              <w:pStyle w:val="Compact"/>
              <w:jc w:val="left"/>
            </w:pPr>
            <w:r>
              <w:rPr>
                <w:iCs/>
                <w:i/>
              </w:rPr>
              <w:t xml:space="preserve">PLOS ONE</w:t>
            </w:r>
            <w:r>
              <w:t xml:space="preserve"> </w:t>
            </w:r>
            <w:r>
              <w:t xml:space="preserve">13(10), e0204368, 10 octobre 2018 —</w:t>
            </w:r>
            <w:r>
              <w:t xml:space="preserve"> </w:t>
            </w:r>
            <w:r>
              <w:rPr>
                <w:bCs/>
                <w:b/>
              </w:rPr>
              <w:t xml:space="preserve">vérifié sur la page éditeur</w:t>
            </w:r>
          </w:p>
        </w:tc>
        <w:tc>
          <w:tcPr/>
          <w:p>
            <w:pPr>
              <w:pStyle w:val="Compact"/>
              <w:jc w:val="left"/>
            </w:pPr>
            <w:r>
              <w:rPr>
                <w:bCs/>
                <w:b/>
              </w:rPr>
              <w:t xml:space="preserve">Établi</w:t>
            </w:r>
          </w:p>
        </w:tc>
      </w:tr>
      <w:tr>
        <w:tc>
          <w:tcPr/>
          <w:p>
            <w:pPr>
              <w:pStyle w:val="Compact"/>
              <w:jc w:val="left"/>
            </w:pPr>
            <w:r>
              <w:t xml:space="preserve">Le 9 % est mesuré sur</w:t>
            </w:r>
            <w:r>
              <w:t xml:space="preserve"> </w:t>
            </w:r>
            <w:r>
              <w:rPr>
                <w:bCs/>
                <w:b/>
              </w:rPr>
              <w:t xml:space="preserve">un</w:t>
            </w:r>
            <w:r>
              <w:t xml:space="preserve"> </w:t>
            </w:r>
            <w:r>
              <w:t xml:space="preserve">des trois sites, pas sur les trois</w:t>
            </w:r>
          </w:p>
        </w:tc>
        <w:tc>
          <w:tcPr/>
          <w:p>
            <w:pPr>
              <w:pStyle w:val="Compact"/>
              <w:jc w:val="left"/>
            </w:pPr>
            <w:r>
              <w:rPr>
                <w:iCs/>
                <w:i/>
              </w:rPr>
              <w:t xml:space="preserve">PLOS ONE</w:t>
            </w:r>
            <w:r>
              <w:t xml:space="preserve"> </w:t>
            </w:r>
            <w:r>
              <w:t xml:space="preserve">2018</w:t>
            </w:r>
          </w:p>
        </w:tc>
        <w:tc>
          <w:tcPr/>
          <w:p>
            <w:pPr>
              <w:pStyle w:val="Compact"/>
              <w:jc w:val="left"/>
            </w:pPr>
            <w:r>
              <w:rPr>
                <w:bCs/>
                <w:b/>
              </w:rPr>
              <w:t xml:space="preserve">Établi</w:t>
            </w:r>
            <w:r>
              <w:t xml:space="preserve"> </w:t>
            </w:r>
            <w:r>
              <w:t xml:space="preserve">— d’où « dans l’un de ces mêmes sites »</w:t>
            </w:r>
          </w:p>
        </w:tc>
      </w:tr>
      <w:tr>
        <w:tc>
          <w:tcPr/>
          <w:p>
            <w:pPr>
              <w:pStyle w:val="Compact"/>
              <w:jc w:val="left"/>
            </w:pPr>
            <w:r>
              <w:t xml:space="preserve">Écart de quatre semaines entre les deux publications (12 sept. → 10 oct. 2018)</w:t>
            </w:r>
          </w:p>
        </w:tc>
        <w:tc>
          <w:tcPr/>
          <w:p>
            <w:pPr>
              <w:pStyle w:val="Compact"/>
              <w:jc w:val="left"/>
            </w:pPr>
            <w:r>
              <w:t xml:space="preserve">Dates éditeur des deux articles</w:t>
            </w:r>
          </w:p>
        </w:tc>
        <w:tc>
          <w:tcPr/>
          <w:p>
            <w:pPr>
              <w:pStyle w:val="Compact"/>
              <w:jc w:val="left"/>
            </w:pPr>
            <w:r>
              <w:rPr>
                <w:bCs/>
                <w:b/>
              </w:rPr>
              <w:t xml:space="preserve">Établi et vérifié</w:t>
            </w:r>
          </w:p>
        </w:tc>
      </w:tr>
      <w:tr>
        <w:tc>
          <w:tcPr/>
          <w:p>
            <w:pPr>
              <w:pStyle w:val="Compact"/>
              <w:jc w:val="left"/>
            </w:pPr>
            <w:r>
              <w:t xml:space="preserve">Trois explications alternatives : morsures, racines, coups d’outils de fouille</w:t>
            </w:r>
          </w:p>
        </w:tc>
        <w:tc>
          <w:tcPr/>
          <w:p>
            <w:pPr>
              <w:pStyle w:val="Compact"/>
              <w:jc w:val="left"/>
            </w:pPr>
            <w:r>
              <w:t xml:space="preserve">Communiqué de l’étude, 10 octobre 2018</w:t>
            </w:r>
          </w:p>
        </w:tc>
        <w:tc>
          <w:tcPr/>
          <w:p>
            <w:pPr>
              <w:pStyle w:val="Compact"/>
              <w:jc w:val="left"/>
            </w:pPr>
            <w:r>
              <w:rPr>
                <w:bCs/>
                <w:b/>
              </w:rPr>
              <w:t xml:space="preserve">Établi</w:t>
            </w:r>
          </w:p>
        </w:tc>
      </w:tr>
      <w:tr>
        <w:tc>
          <w:tcPr/>
          <w:p>
            <w:pPr>
              <w:pStyle w:val="Compact"/>
              <w:jc w:val="left"/>
            </w:pPr>
            <w:r>
              <w:t xml:space="preserve">Mitchell : trois critères importés des controverses de peuplement ; conclusion « aucune preuve convaincante »</w:t>
            </w:r>
          </w:p>
        </w:tc>
        <w:tc>
          <w:tcPr/>
          <w:p>
            <w:pPr>
              <w:pStyle w:val="Compact"/>
              <w:jc w:val="left"/>
            </w:pPr>
            <w:r>
              <w:t xml:space="preserve">Mitchell 2019,</w:t>
            </w:r>
            <w:r>
              <w:t xml:space="preserve"> </w:t>
            </w:r>
            <w:r>
              <w:rPr>
                <w:iCs/>
                <w:i/>
              </w:rPr>
              <w:t xml:space="preserve">JICA</w:t>
            </w:r>
            <w:r>
              <w:t xml:space="preserve"> </w:t>
            </w:r>
            <w:r>
              <w:t xml:space="preserve">15(4) — résumé, dépôt ORA Oxford</w:t>
            </w:r>
          </w:p>
        </w:tc>
        <w:tc>
          <w:tcPr/>
          <w:p>
            <w:pPr>
              <w:pStyle w:val="Compact"/>
              <w:jc w:val="left"/>
            </w:pPr>
            <w:r>
              <w:rPr>
                <w:bCs/>
                <w:b/>
              </w:rPr>
              <w:t xml:space="preserve">Établi</w:t>
            </w:r>
          </w:p>
        </w:tc>
      </w:tr>
      <w:tr>
        <w:tc>
          <w:tcPr/>
          <w:p>
            <w:pPr>
              <w:pStyle w:val="Compact"/>
              <w:jc w:val="left"/>
            </w:pPr>
            <w:r>
              <w:t xml:space="preserve">Argument des 25 % du territoire prospecté ; parois d’entaille aux arêtes nettes ; réexamen par des spécialistes de la tracéologie avec les critères adverses</w:t>
            </w:r>
          </w:p>
        </w:tc>
        <w:tc>
          <w:tcPr/>
          <w:p>
            <w:pPr>
              <w:pStyle w:val="Compact"/>
              <w:jc w:val="left"/>
            </w:pPr>
            <w:r>
              <w:t xml:space="preserve">Hansford</w:t>
            </w:r>
            <w:r>
              <w:t xml:space="preserve"> </w:t>
            </w:r>
            <w:r>
              <w:rPr>
                <w:iCs/>
                <w:i/>
              </w:rPr>
              <w:t xml:space="preserve">et al.</w:t>
            </w:r>
            <w:r>
              <w:t xml:space="preserve"> </w:t>
            </w:r>
            <w:r>
              <w:t xml:space="preserve">2020,</w:t>
            </w:r>
            <w:r>
              <w:t xml:space="preserve"> </w:t>
            </w:r>
            <w:r>
              <w:rPr>
                <w:iCs/>
                <w:i/>
              </w:rPr>
              <w:t xml:space="preserve">JICA</w:t>
            </w:r>
          </w:p>
        </w:tc>
        <w:tc>
          <w:tcPr/>
          <w:p>
            <w:pPr>
              <w:pStyle w:val="Compact"/>
              <w:jc w:val="left"/>
            </w:pPr>
            <w:r>
              <w:rPr>
                <w:bCs/>
                <w:b/>
              </w:rPr>
              <w:t xml:space="preserve">Établi</w:t>
            </w:r>
          </w:p>
        </w:tc>
      </w:tr>
      <w:tr>
        <w:tc>
          <w:tcPr/>
          <w:p>
            <w:pPr>
              <w:pStyle w:val="Compact"/>
              <w:jc w:val="left"/>
            </w:pPr>
            <w:r>
              <w:t xml:space="preserve">Douglass</w:t>
            </w:r>
            <w:r>
              <w:t xml:space="preserve"> </w:t>
            </w:r>
            <w:r>
              <w:rPr>
                <w:iCs/>
                <w:i/>
              </w:rPr>
              <w:t xml:space="preserve">et al.</w:t>
            </w:r>
            <w:r>
              <w:t xml:space="preserve"> </w:t>
            </w:r>
            <w:r>
              <w:t xml:space="preserve">: 9 auteurs dont 3 Malgaches, ~199 datations, 64 sites, Christmas River en meilleure classe, présence dès au moins 2 000 ans, fenêtre de 9 000 ans</w:t>
            </w:r>
          </w:p>
        </w:tc>
        <w:tc>
          <w:tcPr/>
          <w:p>
            <w:pPr>
              <w:pStyle w:val="Compact"/>
              <w:jc w:val="left"/>
            </w:pPr>
            <w:r>
              <w:rPr>
                <w:iCs/>
                <w:i/>
              </w:rPr>
              <w:t xml:space="preserve">Quaternary Science Reviews</w:t>
            </w:r>
            <w:r>
              <w:t xml:space="preserve"> </w:t>
            </w:r>
            <w:r>
              <w:t xml:space="preserve">221, 2019</w:t>
            </w:r>
          </w:p>
        </w:tc>
        <w:tc>
          <w:tcPr/>
          <w:p>
            <w:pPr>
              <w:pStyle w:val="Compact"/>
              <w:jc w:val="left"/>
            </w:pPr>
            <w:r>
              <w:rPr>
                <w:bCs/>
                <w:b/>
              </w:rPr>
              <w:t xml:space="preserve">Établi</w:t>
            </w:r>
          </w:p>
        </w:tc>
      </w:tr>
      <w:tr>
        <w:tc>
          <w:tcPr/>
          <w:p>
            <w:pPr>
              <w:pStyle w:val="Compact"/>
              <w:jc w:val="left"/>
            </w:pPr>
            <w:r>
              <w:t xml:space="preserve">Fémurs d’hippopotame de</w:t>
            </w:r>
            <w:r>
              <w:t xml:space="preserve"> </w:t>
            </w:r>
            <w:r>
              <w:rPr>
                <w:bCs/>
                <w:b/>
              </w:rPr>
              <w:t xml:space="preserve">Lamboara</w:t>
            </w:r>
            <w:r>
              <w:t xml:space="preserve">, collections du Muséum de Paris, redatés à ~3 500 et ~1 600 ans</w:t>
            </w:r>
          </w:p>
        </w:tc>
        <w:tc>
          <w:tcPr/>
          <w:p>
            <w:pPr>
              <w:pStyle w:val="Compact"/>
              <w:jc w:val="left"/>
            </w:pPr>
            <w:r>
              <w:t xml:space="preserve">Hixon</w:t>
            </w:r>
            <w:r>
              <w:t xml:space="preserve"> </w:t>
            </w:r>
            <w:r>
              <w:rPr>
                <w:iCs/>
                <w:i/>
              </w:rPr>
              <w:t xml:space="preserve">et al.</w:t>
            </w:r>
            <w:r>
              <w:t xml:space="preserve"> </w:t>
            </w:r>
            <w:r>
              <w:t xml:space="preserve">2022,</w:t>
            </w:r>
            <w:r>
              <w:t xml:space="preserve"> </w:t>
            </w:r>
            <w:r>
              <w:rPr>
                <w:iCs/>
                <w:i/>
              </w:rPr>
              <w:t xml:space="preserve">Scientific Reports</w:t>
            </w:r>
            <w:r>
              <w:t xml:space="preserve"> </w:t>
            </w:r>
            <w:r>
              <w:t xml:space="preserve">(spécimens MAD 1709 et MAD 1710)</w:t>
            </w:r>
          </w:p>
        </w:tc>
        <w:tc>
          <w:tcPr/>
          <w:p>
            <w:pPr>
              <w:pStyle w:val="Compact"/>
              <w:jc w:val="left"/>
            </w:pPr>
            <w:r>
              <w:rPr>
                <w:bCs/>
                <w:b/>
              </w:rPr>
              <w:t xml:space="preserve">Établi</w:t>
            </w:r>
            <w:r>
              <w:t xml:space="preserve"> </w:t>
            </w:r>
            <w:r>
              <w:t xml:space="preserve">—</w:t>
            </w:r>
            <w:r>
              <w:t xml:space="preserve"> </w:t>
            </w:r>
            <w:r>
              <w:rPr>
                <w:bCs/>
                <w:b/>
              </w:rPr>
              <w:t xml:space="preserve">attention : le fémur fouillé dans la baie des Assassins, lui, n’a PAS pu être daté (collagène détruit). Ne jamais les confondre.</w:t>
            </w:r>
          </w:p>
        </w:tc>
      </w:tr>
      <w:tr>
        <w:tc>
          <w:tcPr/>
          <w:p>
            <w:pPr>
              <w:pStyle w:val="Compact"/>
              <w:jc w:val="left"/>
            </w:pPr>
            <w:r>
              <w:t xml:space="preserve">Ces os étaient contestés, les nouvelles dates ont confirmé leur ancienneté</w:t>
            </w:r>
          </w:p>
        </w:tc>
        <w:tc>
          <w:tcPr/>
          <w:p>
            <w:pPr>
              <w:pStyle w:val="Compact"/>
              <w:jc w:val="left"/>
            </w:pPr>
            <w:r>
              <w:t xml:space="preserve">Godfrey</w:t>
            </w:r>
            <w:r>
              <w:t xml:space="preserve"> </w:t>
            </w:r>
            <w:r>
              <w:rPr>
                <w:iCs/>
                <w:i/>
              </w:rPr>
              <w:t xml:space="preserve">et al.</w:t>
            </w:r>
            <w:r>
              <w:t xml:space="preserve"> </w:t>
            </w:r>
            <w:r>
              <w:t xml:space="preserve">2025 (« new dates for disputed bones have confirmed their antiquity »)</w:t>
            </w:r>
          </w:p>
        </w:tc>
        <w:tc>
          <w:tcPr/>
          <w:p>
            <w:pPr>
              <w:pStyle w:val="Compact"/>
              <w:jc w:val="left"/>
            </w:pPr>
            <w:r>
              <w:rPr>
                <w:bCs/>
                <w:b/>
              </w:rPr>
              <w:t xml:space="preserve">Établi</w:t>
            </w:r>
          </w:p>
        </w:tc>
      </w:tr>
      <w:tr>
        <w:tc>
          <w:tcPr/>
          <w:p>
            <w:pPr>
              <w:pStyle w:val="Compact"/>
              <w:jc w:val="left"/>
            </w:pPr>
            <w:r>
              <w:t xml:space="preserve">Critère du regroupement spatial ; modèle en deux temps</w:t>
            </w:r>
          </w:p>
        </w:tc>
        <w:tc>
          <w:tcPr/>
          <w:p>
            <w:pPr>
              <w:pStyle w:val="Compact"/>
              <w:jc w:val="left"/>
            </w:pPr>
            <w:r>
              <w:t xml:space="preserve">Godfrey</w:t>
            </w:r>
            <w:r>
              <w:t xml:space="preserve"> </w:t>
            </w:r>
            <w:r>
              <w:rPr>
                <w:iCs/>
                <w:i/>
              </w:rPr>
              <w:t xml:space="preserve">et al.</w:t>
            </w:r>
            <w:r>
              <w:t xml:space="preserve"> </w:t>
            </w:r>
            <w:r>
              <w:t xml:space="preserve">2025,</w:t>
            </w:r>
            <w:r>
              <w:t xml:space="preserve"> </w:t>
            </w:r>
            <w:r>
              <w:rPr>
                <w:iCs/>
                <w:i/>
              </w:rPr>
              <w:t xml:space="preserve">Cambridge Prisms: Extinction</w:t>
            </w:r>
          </w:p>
        </w:tc>
        <w:tc>
          <w:tcPr/>
          <w:p>
            <w:pPr>
              <w:pStyle w:val="Compact"/>
              <w:jc w:val="left"/>
            </w:pPr>
            <w:r>
              <w:rPr>
                <w:bCs/>
                <w:b/>
              </w:rPr>
              <w:t xml:space="preserve">Établi</w:t>
            </w:r>
          </w:p>
        </w:tc>
      </w:tr>
      <w:tr>
        <w:tc>
          <w:tcPr/>
          <w:p>
            <w:pPr>
              <w:pStyle w:val="Compact"/>
              <w:jc w:val="left"/>
            </w:pPr>
            <w:r>
              <w:t xml:space="preserve">Laurie Godfrey cosigne les trois positions successives et signe la synthèse de 2025 en première position</w:t>
            </w:r>
          </w:p>
        </w:tc>
        <w:tc>
          <w:tcPr/>
          <w:p>
            <w:pPr>
              <w:pStyle w:val="Compact"/>
              <w:jc w:val="left"/>
            </w:pPr>
            <w:r>
              <w:t xml:space="preserve">Hansford 2018 (5ᵉ) ; Douglass 2019 (4ᵉ) ; Hansford 2020 (6ᵉ) ; Godfrey 2025 (1ʳᵉ)</w:t>
            </w:r>
          </w:p>
        </w:tc>
        <w:tc>
          <w:tcPr/>
          <w:p>
            <w:pPr>
              <w:pStyle w:val="Compact"/>
              <w:jc w:val="left"/>
            </w:pPr>
            <w:r>
              <w:rPr>
                <w:bCs/>
                <w:b/>
              </w:rPr>
              <w:t xml:space="preserve">Établi</w:t>
            </w:r>
          </w:p>
        </w:tc>
      </w:tr>
      <w:tr>
        <w:tc>
          <w:tcPr/>
          <w:p>
            <w:pPr>
              <w:pStyle w:val="Compact"/>
              <w:jc w:val="left"/>
            </w:pPr>
            <w:r>
              <w:t xml:space="preserve">Armand Rasoamiaramanana,</w:t>
            </w:r>
            <w:r>
              <w:t xml:space="preserve"> </w:t>
            </w:r>
            <w:r>
              <w:rPr>
                <w:bCs/>
                <w:b/>
              </w:rPr>
              <w:t xml:space="preserve">homme</w:t>
            </w:r>
            <w:r>
              <w:t xml:space="preserve">, paléontologue, directeur du laboratoire de paléontologie et biostratigraphie de l’Université d’Antananarivo, 3ᵉ auteur de Hansford 2018 et codirecteur de la fouille</w:t>
            </w:r>
          </w:p>
        </w:tc>
        <w:tc>
          <w:tcPr/>
          <w:p>
            <w:pPr>
              <w:pStyle w:val="Compact"/>
              <w:jc w:val="left"/>
            </w:pPr>
            <w:r>
              <w:t xml:space="preserve">Hansford</w:t>
            </w:r>
            <w:r>
              <w:t xml:space="preserve"> </w:t>
            </w:r>
            <w:r>
              <w:rPr>
                <w:iCs/>
                <w:i/>
              </w:rPr>
              <w:t xml:space="preserve">et al.</w:t>
            </w:r>
            <w:r>
              <w:t xml:space="preserve"> </w:t>
            </w:r>
            <w:r>
              <w:t xml:space="preserve">2018 ; profil institutionnel ; presse francophone le citant au masculin</w:t>
            </w:r>
          </w:p>
        </w:tc>
        <w:tc>
          <w:tcPr/>
          <w:p>
            <w:pPr>
              <w:pStyle w:val="Compact"/>
              <w:jc w:val="left"/>
            </w:pPr>
            <w:r>
              <w:rPr>
                <w:bCs/>
                <w:b/>
              </w:rPr>
              <w:t xml:space="preserve">Établi</w:t>
            </w:r>
          </w:p>
        </w:tc>
      </w:tr>
      <w:tr>
        <w:tc>
          <w:tcPr/>
          <w:p>
            <w:pPr>
              <w:pStyle w:val="Compact"/>
              <w:jc w:val="left"/>
            </w:pPr>
            <w:r>
              <w:t xml:space="preserve">Chantal Radimilahy et deux autres chercheurs malgaches cosignent Anderson</w:t>
            </w:r>
            <w:r>
              <w:t xml:space="preserve"> </w:t>
            </w:r>
            <w:r>
              <w:rPr>
                <w:iCs/>
                <w:i/>
              </w:rPr>
              <w:t xml:space="preserve">et al.</w:t>
            </w:r>
            <w:r>
              <w:t xml:space="preserve"> </w:t>
            </w:r>
            <w:r>
              <w:t xml:space="preserve">2018</w:t>
            </w:r>
          </w:p>
        </w:tc>
        <w:tc>
          <w:tcPr/>
          <w:p>
            <w:pPr>
              <w:pStyle w:val="Compact"/>
              <w:jc w:val="left"/>
            </w:pPr>
            <w:r>
              <w:rPr>
                <w:iCs/>
                <w:i/>
              </w:rPr>
              <w:t xml:space="preserve">PLOS ONE</w:t>
            </w:r>
            <w:r>
              <w:t xml:space="preserve"> </w:t>
            </w:r>
            <w:r>
              <w:t xml:space="preserve">2018 (Radimilahy, Rakotozafy, Ramilisonina)</w:t>
            </w:r>
          </w:p>
        </w:tc>
        <w:tc>
          <w:tcPr/>
          <w:p>
            <w:pPr>
              <w:pStyle w:val="Compact"/>
              <w:jc w:val="left"/>
            </w:pPr>
            <w:r>
              <w:rPr>
                <w:bCs/>
                <w:b/>
              </w:rPr>
              <w:t xml:space="preserve">Établi</w:t>
            </w:r>
          </w:p>
        </w:tc>
      </w:tr>
      <w:tr>
        <w:tc>
          <w:tcPr/>
          <w:p>
            <w:pPr>
              <w:pStyle w:val="Compact"/>
              <w:jc w:val="left"/>
            </w:pPr>
            <w:r>
              <w:t xml:space="preserve">Les auteurs de 2018 envisagent des « passages » depuis l’Afrique par le canal du Mozambique plutôt qu’un peuplement permanent</w:t>
            </w:r>
          </w:p>
        </w:tc>
        <w:tc>
          <w:tcPr/>
          <w:p>
            <w:pPr>
              <w:pStyle w:val="Compact"/>
              <w:jc w:val="left"/>
            </w:pPr>
            <w:r>
              <w:t xml:space="preserve">Hansford</w:t>
            </w:r>
            <w:r>
              <w:t xml:space="preserve"> </w:t>
            </w:r>
            <w:r>
              <w:rPr>
                <w:iCs/>
                <w:i/>
              </w:rPr>
              <w:t xml:space="preserve">et al.</w:t>
            </w:r>
            <w:r>
              <w:t xml:space="preserve"> </w:t>
            </w:r>
            <w:r>
              <w:t xml:space="preserve">2018, texte intégral</w:t>
            </w:r>
          </w:p>
        </w:tc>
        <w:tc>
          <w:tcPr/>
          <w:p>
            <w:pPr>
              <w:pStyle w:val="Compact"/>
              <w:jc w:val="left"/>
            </w:pPr>
            <w:r>
              <w:rPr>
                <w:bCs/>
                <w:b/>
              </w:rPr>
              <w:t xml:space="preserve">Établi</w:t>
            </w:r>
            <w:r>
              <w:t xml:space="preserve"> </w:t>
            </w:r>
            <w:r>
              <w:t xml:space="preserve">— la version 1 du script disait à tort qu’ils « ne parlent pas de colonisation » ; le mot figure bien dans leur résumé</w:t>
            </w:r>
          </w:p>
        </w:tc>
      </w:tr>
      <w:tr>
        <w:tc>
          <w:tcPr/>
          <w:p>
            <w:pPr>
              <w:pStyle w:val="Compact"/>
              <w:jc w:val="left"/>
            </w:pPr>
            <w:r>
              <w:t xml:space="preserve">Deux des articles du débat étaient en accès libre dès le premier jour</w:t>
            </w:r>
          </w:p>
        </w:tc>
        <w:tc>
          <w:tcPr/>
          <w:p>
            <w:pPr>
              <w:pStyle w:val="Compact"/>
              <w:jc w:val="left"/>
            </w:pPr>
            <w:r>
              <w:rPr>
                <w:iCs/>
                <w:i/>
              </w:rPr>
              <w:t xml:space="preserve">Science Advances</w:t>
            </w:r>
            <w:r>
              <w:t xml:space="preserve"> </w:t>
            </w:r>
            <w:r>
              <w:t xml:space="preserve">et</w:t>
            </w:r>
            <w:r>
              <w:t xml:space="preserve"> </w:t>
            </w:r>
            <w:r>
              <w:rPr>
                <w:iCs/>
                <w:i/>
              </w:rPr>
              <w:t xml:space="preserve">PLOS ONE</w:t>
            </w:r>
            <w:r>
              <w:t xml:space="preserve"> </w:t>
            </w:r>
            <w:r>
              <w:t xml:space="preserve">sont en accès libre intégral</w:t>
            </w:r>
          </w:p>
        </w:tc>
        <w:tc>
          <w:tcPr/>
          <w:p>
            <w:pPr>
              <w:pStyle w:val="Compact"/>
              <w:jc w:val="left"/>
            </w:pPr>
            <w:r>
              <w:rPr>
                <w:bCs/>
                <w:b/>
              </w:rPr>
              <w:t xml:space="preserve">Établi</w:t>
            </w:r>
            <w:r>
              <w:t xml:space="preserve"> </w:t>
            </w:r>
            <w:r>
              <w:t xml:space="preserve">— la version 1 disait à tort « des revues payantes »</w:t>
            </w:r>
          </w:p>
        </w:tc>
      </w:tr>
      <w:tr>
        <w:tc>
          <w:tcPr/>
          <w:p>
            <w:pPr>
              <w:pStyle w:val="Compact"/>
              <w:jc w:val="left"/>
            </w:pPr>
            <w:r>
              <w:t xml:space="preserve">10 500 ans = tout début de l’Holocène, après la fin du dernier glaciaire (~11 700 ans)</w:t>
            </w:r>
          </w:p>
        </w:tc>
        <w:tc>
          <w:tcPr/>
          <w:p>
            <w:pPr>
              <w:pStyle w:val="Compact"/>
              <w:jc w:val="left"/>
            </w:pPr>
            <w:r>
              <w:t xml:space="preserve">Titre de Hansford</w:t>
            </w:r>
            <w:r>
              <w:t xml:space="preserve"> </w:t>
            </w:r>
            <w:r>
              <w:rPr>
                <w:iCs/>
                <w:i/>
              </w:rPr>
              <w:t xml:space="preserve">et al.</w:t>
            </w:r>
            <w:r>
              <w:t xml:space="preserve"> </w:t>
            </w:r>
            <w:r>
              <w:t xml:space="preserve">2018 : « Early Holocene human presence »</w:t>
            </w:r>
          </w:p>
        </w:tc>
        <w:tc>
          <w:tcPr/>
          <w:p>
            <w:pPr>
              <w:pStyle w:val="Compact"/>
              <w:jc w:val="left"/>
            </w:pPr>
            <w:r>
              <w:rPr>
                <w:bCs/>
                <w:b/>
              </w:rPr>
              <w:t xml:space="preserve">Établi</w:t>
            </w:r>
          </w:p>
        </w:tc>
      </w:tr>
      <w:tr>
        <w:tc>
          <w:tcPr/>
          <w:p>
            <w:pPr>
              <w:pStyle w:val="Compact"/>
              <w:jc w:val="left"/>
            </w:pPr>
            <w:r>
              <w:t xml:space="preserve">Presse malgache : reprise le 13 mars 2019, sans signature, sans mention de la controverse</w:t>
            </w:r>
          </w:p>
        </w:tc>
        <w:tc>
          <w:tcPr/>
          <w:p>
            <w:pPr>
              <w:pStyle w:val="Compact"/>
              <w:jc w:val="left"/>
            </w:pPr>
            <w:r>
              <w:rPr>
                <w:iCs/>
                <w:i/>
              </w:rPr>
              <w:t xml:space="preserve">L’Express de Madagascar</w:t>
            </w:r>
            <w:r>
              <w:t xml:space="preserve">, 13 mars 2019</w:t>
            </w:r>
          </w:p>
        </w:tc>
        <w:tc>
          <w:tcPr/>
          <w:p>
            <w:pPr>
              <w:pStyle w:val="Compact"/>
              <w:jc w:val="left"/>
            </w:pPr>
            <w:r>
              <w:rPr>
                <w:bCs/>
                <w:b/>
              </w:rPr>
              <w:t xml:space="preserve">Établi</w:t>
            </w:r>
          </w:p>
        </w:tc>
      </w:tr>
      <w:tr>
        <w:tc>
          <w:tcPr/>
          <w:p>
            <w:pPr>
              <w:pStyle w:val="Compact"/>
              <w:jc w:val="left"/>
            </w:pPr>
            <w:r>
              <w:t xml:space="preserve">Aucune nouvelle fouille ni redatation à Christmas River depuis 2018</w:t>
            </w:r>
          </w:p>
        </w:tc>
        <w:tc>
          <w:tcPr/>
          <w:p>
            <w:pPr>
              <w:pStyle w:val="Compact"/>
              <w:jc w:val="left"/>
            </w:pPr>
            <w:r>
              <w:t xml:space="preserve">Recherche négative jusqu’en août 2026</w:t>
            </w:r>
          </w:p>
        </w:tc>
        <w:tc>
          <w:tcPr/>
          <w:p>
            <w:pPr>
              <w:pStyle w:val="Compact"/>
              <w:jc w:val="left"/>
            </w:pPr>
            <w:r>
              <w:rPr>
                <w:bCs/>
                <w:b/>
              </w:rPr>
              <w:t xml:space="preserve">Probable</w:t>
            </w:r>
            <w:r>
              <w:t xml:space="preserve"> </w:t>
            </w:r>
            <w:r>
              <w:t xml:space="preserve">— recherche exhaustive, rien trouvé</w:t>
            </w:r>
          </w:p>
        </w:tc>
      </w:tr>
      <w:tr>
        <w:tc>
          <w:tcPr/>
          <w:p>
            <w:pPr>
              <w:pStyle w:val="Compact"/>
              <w:jc w:val="left"/>
            </w:pPr>
            <w:r>
              <w:t xml:space="preserve">« En pays bara »</w:t>
            </w:r>
          </w:p>
        </w:tc>
        <w:tc>
          <w:tcPr/>
          <w:p>
            <w:pPr>
              <w:pStyle w:val="Compact"/>
              <w:jc w:val="left"/>
            </w:pPr>
            <w:r>
              <w:t xml:space="preserve">Rattachement régional de l’Ihorombe, non publié dans les sources archéologiques</w:t>
            </w:r>
          </w:p>
        </w:tc>
        <w:tc>
          <w:tcPr/>
          <w:p>
            <w:pPr>
              <w:pStyle w:val="Compact"/>
              <w:jc w:val="left"/>
            </w:pPr>
            <w:r>
              <w:rPr>
                <w:bCs/>
                <w:b/>
              </w:rPr>
              <w:t xml:space="preserve">Inférence géographique</w:t>
            </w:r>
            <w:r>
              <w:t xml:space="preserve"> </w:t>
            </w:r>
            <w:r>
              <w:t xml:space="preserve">— à confirmer localement</w:t>
            </w:r>
          </w:p>
        </w:tc>
      </w:tr>
      <w:tr>
        <w:tc>
          <w:tcPr/>
          <w:p>
            <w:pPr>
              <w:pStyle w:val="Compact"/>
              <w:jc w:val="left"/>
            </w:pPr>
            <w:r>
              <w:t xml:space="preserve">Le mineur : identité et devenir inconnus</w:t>
            </w:r>
          </w:p>
        </w:tc>
        <w:tc>
          <w:tcPr/>
          <w:p>
            <w:pPr>
              <w:pStyle w:val="Compact"/>
              <w:jc w:val="left"/>
            </w:pPr>
            <w:r>
              <w:t xml:space="preserve">Aucune source ne les mentionne</w:t>
            </w:r>
          </w:p>
        </w:tc>
        <w:tc>
          <w:tcPr/>
          <w:p>
            <w:pPr>
              <w:pStyle w:val="Compact"/>
              <w:jc w:val="left"/>
            </w:pPr>
            <w:r>
              <w:rPr>
                <w:bCs/>
                <w:b/>
              </w:rPr>
              <w:t xml:space="preserve">Absence établie</w:t>
            </w:r>
            <w:r>
              <w:t xml:space="preserve"> </w:t>
            </w:r>
            <w:r>
              <w:t xml:space="preserve">— le script le dit explicitement</w:t>
            </w:r>
          </w:p>
        </w:tc>
      </w:tr>
    </w:tbl>
    <w:p>
      <w:pPr>
        <w:pStyle w:val="BodyText"/>
      </w:pPr>
      <w:r>
        <w:rPr>
          <w:bCs/>
          <w:b/>
        </w:rPr>
        <w:t xml:space="preserve">Note sur la génétique.</w:t>
      </w:r>
      <w:r>
        <w:t xml:space="preserve"> </w:t>
      </w:r>
      <w:r>
        <w:t xml:space="preserve">Le script dit que les gens de Christmas River n’ont laissé aucune trace génétique. La formulation est celle de Patricia Wright, et elle est logiquement solide — mais il faut comprendre pourquoi : la génétique des populations actuelles date</w:t>
      </w:r>
      <w:r>
        <w:t xml:space="preserve"> </w:t>
      </w:r>
      <w:r>
        <w:rPr>
          <w:bCs/>
          <w:b/>
        </w:rPr>
        <w:t xml:space="preserve">l’ascendance des Malgaches d’aujourd’hui</w:t>
      </w:r>
      <w:r>
        <w:t xml:space="preserve">. Elle ne peut pas, par construction, détecter un groupe arrivé il y a dix mille ans sans descendance.</w:t>
      </w:r>
      <w:r>
        <w:t xml:space="preserve"> </w:t>
      </w:r>
      <w:r>
        <w:rPr>
          <w:bCs/>
          <w:b/>
        </w:rPr>
        <w:t xml:space="preserve">C’est la clé de voûte du modèle en deux temps</w:t>
      </w:r>
      <w:r>
        <w:t xml:space="preserve"> </w:t>
      </w:r>
      <w:r>
        <w:t xml:space="preserve">: les deux camps peuvent avoir raison simultanément, parce qu’ils ne parlent pas des mêmes gens. La séquence 4.2 la porte sans l’énoncer frontalement. Ne pas la couper.</w:t>
      </w:r>
    </w:p>
    <w:bookmarkEnd w:id="58"/>
    <w:bookmarkStart w:id="63" w:name="X8da44ac99fe596d7df496143705d8e626a16692"/>
    <w:p>
      <w:pPr>
        <w:pStyle w:val="Heading1"/>
      </w:pPr>
      <w:r>
        <w:t xml:space="preserve">Journal des corrections (version 1 → version 2)</w:t>
      </w:r>
    </w:p>
    <w:bookmarkStart w:id="59" w:name="les-trois-erreurs-bloquantes"/>
    <w:p>
      <w:pPr>
        <w:pStyle w:val="Heading2"/>
      </w:pPr>
      <w:r>
        <w:t xml:space="preserve">Les trois erreurs bloquantes</w:t>
      </w:r>
    </w:p>
    <w:p>
      <w:pPr>
        <w:pStyle w:val="FirstParagraph"/>
      </w:pPr>
      <w:r>
        <w:rPr>
          <w:bCs/>
          <w:b/>
        </w:rPr>
        <w:t xml:space="preserve">1. Le fémur de 3 500 ans ne vient pas de la baie des Assassins.</w:t>
      </w:r>
      <w:r>
        <w:t xml:space="preserve"> </w:t>
      </w:r>
      <w:r>
        <w:t xml:space="preserve">La version 1 racontait qu’une équipe avait daté sur place, dans la baie des Assassins, un fémur d’hippopotame à marques de hachoir. C’est l’inverse : le fémur effectivement fouillé là-bas</w:t>
      </w:r>
      <w:r>
        <w:t xml:space="preserve"> </w:t>
      </w:r>
      <w:r>
        <w:rPr>
          <w:bCs/>
          <w:b/>
        </w:rPr>
        <w:t xml:space="preserve">a échoué à la datation</w:t>
      </w:r>
      <w:r>
        <w:t xml:space="preserve">, le collagène étant détruit. Les deux fémurs réellement datés (~3 500 et ~1 600 ans) sont d’anciens spécimens de collection du Muséum de Paris, venus de</w:t>
      </w:r>
      <w:r>
        <w:t xml:space="preserve"> </w:t>
      </w:r>
      <w:r>
        <w:rPr>
          <w:bCs/>
          <w:b/>
        </w:rPr>
        <w:t xml:space="preserve">Lamboara</w:t>
      </w:r>
      <w:r>
        <w:t xml:space="preserve">. Erreur d’autant plus embarrassante que c’était le pivot argumentatif de tout l’acte IV.</w:t>
      </w:r>
    </w:p>
    <w:p>
      <w:pPr>
        <w:pStyle w:val="BodyText"/>
      </w:pPr>
      <w:r>
        <w:rPr>
          <w:bCs/>
          <w:b/>
        </w:rPr>
        <w:t xml:space="preserve">2. Armand Rasoamiaramanana est un homme, et il a maintenant un nom.</w:t>
      </w:r>
      <w:r>
        <w:t xml:space="preserve"> </w:t>
      </w:r>
      <w:r>
        <w:t xml:space="preserve">La version 1 écrivait « une paléontologue malgache est troisième autrice ». Il est directeur du laboratoire de paléontologie et biostratigraphie de l’Université d’Antananarivo, et l’un des trois responsables de la fouille de 2008. Se tromper sur le genre du seul Malgache signataire de l’article fondateur, dans la séquence même consacrée à la souveraineté scientifique, aurait été la faute qui fait le tweet.</w:t>
      </w:r>
    </w:p>
    <w:p>
      <w:pPr>
        <w:pStyle w:val="BodyText"/>
      </w:pPr>
      <w:r>
        <w:rPr>
          <w:bCs/>
          <w:b/>
        </w:rPr>
        <w:t xml:space="preserve">3. L’os fait 61 centimètres, pas 30.</w:t>
      </w:r>
      <w:r>
        <w:t xml:space="preserve"> </w:t>
      </w:r>
      <w:r>
        <w:t xml:space="preserve">La première phrase de l’épisode donnait une mesure inventée, fausse du simple au double, dans un épisode qui fait de la vérifiabilité son argument. Corrigée en « la largeur de vos épaules » — ce qui supprime au passage la troisième mesure chiffrée du cold open, interdite par le cahier des charges.</w:t>
      </w:r>
    </w:p>
    <w:bookmarkEnd w:id="59"/>
    <w:bookmarkStart w:id="60" w:name="les-corrections-factuelles"/>
    <w:p>
      <w:pPr>
        <w:pStyle w:val="Heading2"/>
      </w:pPr>
      <w:r>
        <w:t xml:space="preserve">Les corrections factuelles</w:t>
      </w:r>
    </w:p>
    <w:p>
      <w:pPr>
        <w:numPr>
          <w:ilvl w:val="0"/>
          <w:numId w:val="1005"/>
        </w:numPr>
        <w:pStyle w:val="Compact"/>
      </w:pPr>
      <w:r>
        <w:t xml:space="preserve">« À la fin de la dernière période glaciaire » → « au tout début de l’Holocène ». 10 500 ans, c’est</w:t>
      </w:r>
      <w:r>
        <w:t xml:space="preserve"> </w:t>
      </w:r>
      <w:r>
        <w:rPr>
          <w:bCs/>
          <w:b/>
        </w:rPr>
        <w:t xml:space="preserve">après</w:t>
      </w:r>
      <w:r>
        <w:t xml:space="preserve"> </w:t>
      </w:r>
      <w:r>
        <w:t xml:space="preserve">le Pléistocène.</w:t>
      </w:r>
    </w:p>
    <w:p>
      <w:pPr>
        <w:numPr>
          <w:ilvl w:val="0"/>
          <w:numId w:val="1005"/>
        </w:numPr>
        <w:pStyle w:val="Compact"/>
      </w:pPr>
      <w:r>
        <w:t xml:space="preserve">« Ils ne parlent pas de colonisation » → faux, le mot figure dans leur résumé. Remplacé par ce qu’ils écrivent vraiment : des passages ponctuels plutôt qu’un peuplement permanent.</w:t>
      </w:r>
    </w:p>
    <w:p>
      <w:pPr>
        <w:numPr>
          <w:ilvl w:val="0"/>
          <w:numId w:val="1005"/>
        </w:numPr>
        <w:pStyle w:val="Compact"/>
      </w:pPr>
      <w:r>
        <w:t xml:space="preserve">« Six mille ans avant la date que tout le monde tenait pour acquise » → contradiction arithmétique avec le titre de l’épisode. Les 6 000 ans se comptent par rapport à la plus ancienne trace archéologique alors admise, pas par rapport à la chronologie courte.</w:t>
      </w:r>
    </w:p>
    <w:p>
      <w:pPr>
        <w:numPr>
          <w:ilvl w:val="0"/>
          <w:numId w:val="1005"/>
        </w:numPr>
        <w:pStyle w:val="Compact"/>
      </w:pPr>
      <w:r>
        <w:t xml:space="preserve">« Des revues payantes » → deux des articles étaient en accès libre dès le premier jour. La vraie barrière était la langue. La séquence est plus forte ainsi.</w:t>
      </w:r>
    </w:p>
    <w:p>
      <w:pPr>
        <w:numPr>
          <w:ilvl w:val="0"/>
          <w:numId w:val="1005"/>
        </w:numPr>
        <w:pStyle w:val="Compact"/>
      </w:pPr>
      <w:r>
        <w:t xml:space="preserve">« Microscope à balayage laser » → microscope numérique 3D.</w:t>
      </w:r>
    </w:p>
    <w:p>
      <w:pPr>
        <w:numPr>
          <w:ilvl w:val="0"/>
          <w:numId w:val="1005"/>
        </w:numPr>
        <w:pStyle w:val="Compact"/>
      </w:pPr>
      <w:r>
        <w:t xml:space="preserve">Citation de Ventura Pérez : la troisième phrase était du discours indirect du magazine. Coupée de la citation, rendue au narrateur.</w:t>
      </w:r>
    </w:p>
    <w:p>
      <w:pPr>
        <w:numPr>
          <w:ilvl w:val="0"/>
          <w:numId w:val="1005"/>
        </w:numPr>
        <w:pStyle w:val="Compact"/>
      </w:pPr>
      <w:r>
        <w:t xml:space="preserve">« Dix ans plus tard » à Ilakaka → sept ans (1998 → 2005).</w:t>
      </w:r>
    </w:p>
    <w:p>
      <w:pPr>
        <w:numPr>
          <w:ilvl w:val="0"/>
          <w:numId w:val="1005"/>
        </w:numPr>
        <w:pStyle w:val="Compact"/>
      </w:pPr>
      <w:r>
        <w:t xml:space="preserve">« Puits sans étayage » → les puits sont étayés de branchages. Détail inventé.</w:t>
      </w:r>
    </w:p>
    <w:p>
      <w:pPr>
        <w:numPr>
          <w:ilvl w:val="0"/>
          <w:numId w:val="1005"/>
        </w:numPr>
        <w:pStyle w:val="Compact"/>
      </w:pPr>
      <w:r>
        <w:t xml:space="preserve">« Six spécimens, deux sites » → quatre localités connues, une inconnue, trois espèces.</w:t>
      </w:r>
    </w:p>
    <w:p>
      <w:pPr>
        <w:numPr>
          <w:ilvl w:val="0"/>
          <w:numId w:val="1005"/>
        </w:numPr>
        <w:pStyle w:val="Compact"/>
      </w:pPr>
      <w:r>
        <w:t xml:space="preserve">« Près de huit millimètres » → « sept, huit millimètres » (6,8 et 7,6).</w:t>
      </w:r>
    </w:p>
    <w:p>
      <w:pPr>
        <w:numPr>
          <w:ilvl w:val="0"/>
          <w:numId w:val="1005"/>
        </w:numPr>
        <w:pStyle w:val="Compact"/>
      </w:pPr>
      <w:r>
        <w:t xml:space="preserve">Le 9 % vaut pour</w:t>
      </w:r>
      <w:r>
        <w:t xml:space="preserve"> </w:t>
      </w:r>
      <w:r>
        <w:rPr>
          <w:bCs/>
          <w:b/>
        </w:rPr>
        <w:t xml:space="preserve">un</w:t>
      </w:r>
      <w:r>
        <w:t xml:space="preserve"> </w:t>
      </w:r>
      <w:r>
        <w:t xml:space="preserve">des trois sites, pas pour les trois.</w:t>
      </w:r>
    </w:p>
    <w:p>
      <w:pPr>
        <w:numPr>
          <w:ilvl w:val="0"/>
          <w:numId w:val="1005"/>
        </w:numPr>
        <w:pStyle w:val="Compact"/>
      </w:pPr>
      <w:r>
        <w:t xml:space="preserve">« Une équipe qui n’appartient à aucun des deux camps d’origine » → « ni au camp de Hansford ni à celui d’Anderson » : Kristina Douglass en fait partie, c’est le troisième groupe, pas une équipe neutre.</w:t>
      </w:r>
    </w:p>
    <w:p>
      <w:pPr>
        <w:numPr>
          <w:ilvl w:val="0"/>
          <w:numId w:val="1005"/>
        </w:numPr>
        <w:pStyle w:val="Compact"/>
      </w:pPr>
      <w:r>
        <w:t xml:space="preserve">« Cette date est difficile à contester » → « ces os étaient contestés, les nouvelles datations ont confirmé leur ancienneté ».</w:t>
      </w:r>
    </w:p>
    <w:p>
      <w:pPr>
        <w:numPr>
          <w:ilvl w:val="0"/>
          <w:numId w:val="1005"/>
        </w:numPr>
        <w:pStyle w:val="Compact"/>
      </w:pPr>
      <w:r>
        <w:t xml:space="preserve">« Photographiés avant d’y toucher » → « photographiés en alignement anatomique peu après les avoir dégagés ». La formulation d’origine surestimait la force de l’argument.</w:t>
      </w:r>
    </w:p>
    <w:p>
      <w:pPr>
        <w:numPr>
          <w:ilvl w:val="0"/>
          <w:numId w:val="1005"/>
        </w:numPr>
        <w:pStyle w:val="Compact"/>
      </w:pPr>
      <w:r>
        <w:t xml:space="preserve">« Aucun foyer » sorti de l’attribution aux auteurs : ils écrivent « aucun outil, aucun artefact, aucun reste humain ». L’absence de foyer est un constat séparé.</w:t>
      </w:r>
    </w:p>
    <w:p>
      <w:pPr>
        <w:numPr>
          <w:ilvl w:val="0"/>
          <w:numId w:val="1005"/>
        </w:numPr>
        <w:pStyle w:val="Compact"/>
      </w:pPr>
      <w:r>
        <w:t xml:space="preserve">« Le plus vieil indice… » → « ce qui est aujourd’hui présenté comme le plus vieil indice ».</w:t>
      </w:r>
    </w:p>
    <w:p>
      <w:pPr>
        <w:numPr>
          <w:ilvl w:val="0"/>
          <w:numId w:val="1005"/>
        </w:numPr>
        <w:pStyle w:val="Compact"/>
      </w:pPr>
      <w:r>
        <w:t xml:space="preserve">« L’année suivante » / « cette année-là, deux textes » → « à peu près au même moment ». Le fascicule de</w:t>
      </w:r>
      <w:r>
        <w:t xml:space="preserve"> </w:t>
      </w:r>
      <w:r>
        <w:rPr>
          <w:iCs/>
          <w:i/>
        </w:rPr>
        <w:t xml:space="preserve">JICA</w:t>
      </w:r>
      <w:r>
        <w:t xml:space="preserve"> </w:t>
      </w:r>
      <w:r>
        <w:t xml:space="preserve">porte deux années selon les sources ; tant que ce n’est pas tranché sur pièce, on applique le repli.</w:t>
      </w:r>
    </w:p>
    <w:bookmarkEnd w:id="60"/>
    <w:bookmarkStart w:id="61" w:name="X5f7aabad424f3eedcdc295b9d1c252b3590ee2e"/>
    <w:p>
      <w:pPr>
        <w:pStyle w:val="Heading2"/>
      </w:pPr>
      <w:r>
        <w:t xml:space="preserve">Les corrections de conformité et de rythme</w:t>
      </w:r>
    </w:p>
    <w:p>
      <w:pPr>
        <w:numPr>
          <w:ilvl w:val="0"/>
          <w:numId w:val="1006"/>
        </w:numPr>
        <w:pStyle w:val="Compact"/>
      </w:pPr>
      <w:r>
        <w:t xml:space="preserve">La promesse de l’épisode reprenait mot pour mot une formulation interdite (« deux camps ont mis dix ans à s’apercevoir… »). Réécrite.</w:t>
      </w:r>
    </w:p>
    <w:p>
      <w:pPr>
        <w:numPr>
          <w:ilvl w:val="0"/>
          <w:numId w:val="1006"/>
        </w:numPr>
        <w:pStyle w:val="Compact"/>
      </w:pPr>
      <w:r>
        <w:t xml:space="preserve">« On détache les orteils, un par un » — seul geste humain resté à l’indicatif de récit non attribué. Corrigé en « Pour les auteurs : des orteils détachés, un par un ».</w:t>
      </w:r>
    </w:p>
    <w:p>
      <w:pPr>
        <w:numPr>
          <w:ilvl w:val="0"/>
          <w:numId w:val="1006"/>
        </w:numPr>
        <w:pStyle w:val="Compact"/>
      </w:pPr>
      <w:r>
        <w:t xml:space="preserve">« Le modèle qui domine aujourd’hui » (4.2) contredisait la chute à quatre-vingt-dix secondes de distance. Corrigé en « un troisième modèle, porté par une partie des spécialistes », avec « dont l’ancienneté reste ouverte ».</w:t>
      </w:r>
    </w:p>
    <w:p>
      <w:pPr>
        <w:numPr>
          <w:ilvl w:val="0"/>
          <w:numId w:val="1006"/>
        </w:numPr>
        <w:pStyle w:val="Compact"/>
      </w:pPr>
      <w:r>
        <w:t xml:space="preserve">Le verrou de 3.4 restauré dans sa formulation exacte : « Cet argument est réel. Mais il s’use. »</w:t>
      </w:r>
    </w:p>
    <w:p>
      <w:pPr>
        <w:numPr>
          <w:ilvl w:val="0"/>
          <w:numId w:val="1006"/>
        </w:numPr>
        <w:pStyle w:val="Compact"/>
      </w:pPr>
      <w:r>
        <w:t xml:space="preserve">Huitième voix secondaire supprimée : V3b et V3c fusionnées en une seule lecture. Fin de la collision à 17:10 / 17:30.</w:t>
      </w:r>
    </w:p>
    <w:p>
      <w:pPr>
        <w:numPr>
          <w:ilvl w:val="0"/>
          <w:numId w:val="1006"/>
        </w:numPr>
        <w:pStyle w:val="Compact"/>
      </w:pPr>
      <w:r>
        <w:t xml:space="preserve">La bande-annonce de l’épisode 3 détachée après l’ours, pour que la dernière phrase du récit reste « si quelqu’un est passé, personne n’est resté ». Et reformulée : on ne « cherche » pas les Vazimba, on prie sur leurs tombeaux.</w:t>
      </w:r>
    </w:p>
    <w:p>
      <w:pPr>
        <w:numPr>
          <w:ilvl w:val="0"/>
          <w:numId w:val="1006"/>
        </w:numPr>
        <w:pStyle w:val="Compact"/>
      </w:pPr>
      <w:r>
        <w:t xml:space="preserve">Bascule dégraissée : les deux dates brutes de laboratoire supprimées, l’explicitation de « avant le présent » ajoutée là où le cahier des charges la demandait.</w:t>
      </w:r>
    </w:p>
    <w:p>
      <w:pPr>
        <w:numPr>
          <w:ilvl w:val="0"/>
          <w:numId w:val="1006"/>
        </w:numPr>
        <w:pStyle w:val="Compact"/>
      </w:pPr>
      <w:r>
        <w:t xml:space="preserve">Actes III et IV allégés, et une centaine de mots de gras retirés partout ailleurs. La lecture mesurée passe de 25 min 35 à 24 min 40 de texte dit ; l’épisode est calé sur 25 minutes, générique compris.</w:t>
      </w:r>
    </w:p>
    <w:p>
      <w:pPr>
        <w:numPr>
          <w:ilvl w:val="0"/>
          <w:numId w:val="1006"/>
        </w:numPr>
        <w:pStyle w:val="Compact"/>
      </w:pPr>
      <w:r>
        <w:t xml:space="preserve">Phrases raccourcies aux quatre endroits signalés comme imprononçables ; « pré-Clovis », terme d’initié, remplacé par sa glose.</w:t>
      </w:r>
    </w:p>
    <w:p>
      <w:pPr>
        <w:numPr>
          <w:ilvl w:val="0"/>
          <w:numId w:val="1006"/>
        </w:numPr>
        <w:pStyle w:val="Compact"/>
      </w:pPr>
      <w:r>
        <w:t xml:space="preserve">« L’os n’a pas changé. La question, si » → « la question, elle, a changé » : l’ellipse ne passe pas à l’oral.</w:t>
      </w:r>
    </w:p>
    <w:p>
      <w:pPr>
        <w:numPr>
          <w:ilvl w:val="0"/>
          <w:numId w:val="1006"/>
        </w:numPr>
        <w:pStyle w:val="Compact"/>
      </w:pPr>
      <w:r>
        <w:t xml:space="preserve">« Cent quatre-vingt-dix-neuf datations » → « près de deux cents » : imprononçable proprement, et collision sonore avec « neuf chercheurs » trois mots plus tôt.</w:t>
      </w:r>
    </w:p>
    <w:bookmarkEnd w:id="61"/>
    <w:bookmarkStart w:id="62" w:name="X8111fd3b314b4e01158a47437dcabc43664adae"/>
    <w:p>
      <w:pPr>
        <w:pStyle w:val="Heading2"/>
      </w:pPr>
      <w:r>
        <w:t xml:space="preserve">Les corrections venues de l’écoute malgache</w:t>
      </w:r>
    </w:p>
    <w:p>
      <w:pPr>
        <w:numPr>
          <w:ilvl w:val="0"/>
          <w:numId w:val="1007"/>
        </w:numPr>
        <w:pStyle w:val="Compact"/>
      </w:pPr>
      <w:r>
        <w:rPr>
          <w:bCs/>
          <w:b/>
        </w:rPr>
        <w:t xml:space="preserve">Les chercheurs sont nommés.</w:t>
      </w:r>
      <w:r>
        <w:t xml:space="preserve"> </w:t>
      </w:r>
      <w:r>
        <w:t xml:space="preserve">La version 1 ne prononçait aucun nom propre — tout en fixant la prononciation de six noms anglo-saxons dans ses notes de production. Dans un épisode qui reproche aux autres de ne pas citer les Malgaches, c’était intenable.</w:t>
      </w:r>
    </w:p>
    <w:p>
      <w:pPr>
        <w:numPr>
          <w:ilvl w:val="0"/>
          <w:numId w:val="1007"/>
        </w:numPr>
        <w:pStyle w:val="Compact"/>
      </w:pPr>
      <w:r>
        <w:rPr>
          <w:bCs/>
          <w:b/>
        </w:rPr>
        <w:t xml:space="preserve">« Les dix-huit groupes de Madagascar y sont représentés »</w:t>
      </w:r>
      <w:r>
        <w:t xml:space="preserve"> </w:t>
      </w:r>
      <w:r>
        <w:t xml:space="preserve">supprimé : c’est un découpage administratif d’époque coloniale recopié depuis un siècle dans les brochures. Remplacé par « on y vient de toute l’île ».</w:t>
      </w:r>
    </w:p>
    <w:p>
      <w:pPr>
        <w:numPr>
          <w:ilvl w:val="0"/>
          <w:numId w:val="1007"/>
        </w:numPr>
        <w:pStyle w:val="Compact"/>
      </w:pPr>
      <w:r>
        <w:rPr>
          <w:bCs/>
          <w:b/>
        </w:rPr>
        <w:t xml:space="preserve">Ilakaka décrite par ce qui s’y trouve</w:t>
      </w:r>
      <w:r>
        <w:t xml:space="preserve">, pas seulement par ce qui y manque. La version 1 alignait quatre absences — la grammaire du reportage étranger. Les bars, les églises, les comptoirs, l’argent qui circule la nuit ont été ajoutés.</w:t>
      </w:r>
    </w:p>
    <w:p>
      <w:pPr>
        <w:numPr>
          <w:ilvl w:val="0"/>
          <w:numId w:val="1007"/>
        </w:numPr>
        <w:pStyle w:val="Compact"/>
      </w:pPr>
      <w:r>
        <w:rPr>
          <w:bCs/>
          <w:b/>
        </w:rPr>
        <w:t xml:space="preserve">Le mineur retrouve une place.</w:t>
      </w:r>
      <w:r>
        <w:t xml:space="preserve"> </w:t>
      </w:r>
      <w:r>
        <w:t xml:space="preserve">« Je ne sais pas son nom. Et je n’ai trouvé nulle part trace de ce qu’il est devenu. » C’est la question à laquelle personne d’autre qu’un Malgache ne pense.</w:t>
      </w:r>
    </w:p>
    <w:p>
      <w:pPr>
        <w:numPr>
          <w:ilvl w:val="0"/>
          <w:numId w:val="1007"/>
        </w:numPr>
        <w:pStyle w:val="Compact"/>
      </w:pPr>
      <w:r>
        <w:rPr>
          <w:bCs/>
          <w:b/>
        </w:rPr>
        <w:t xml:space="preserve">Le nom malgache de la rivière</w:t>
      </w:r>
      <w:r>
        <w:t xml:space="preserve"> </w:t>
      </w:r>
      <w:r>
        <w:t xml:space="preserve">devient une question ouverte à l’antenne, au lieu d’une admiration du mystère du nom anglais.</w:t>
      </w:r>
    </w:p>
    <w:p>
      <w:pPr>
        <w:numPr>
          <w:ilvl w:val="0"/>
          <w:numId w:val="1007"/>
        </w:numPr>
        <w:pStyle w:val="Compact"/>
      </w:pPr>
      <w:r>
        <w:rPr>
          <w:bCs/>
          <w:b/>
        </w:rPr>
        <w:t xml:space="preserve">Les os ne sont plus une catégorie neutre.</w:t>
      </w:r>
      <w:r>
        <w:t xml:space="preserve"> </w:t>
      </w:r>
      <w:r>
        <w:t xml:space="preserve">« Ce sont des os d’animaux — mais dans ce pays, aucun os n’est un objet ordinaire. » Plus la question du régime d’autorisation de sortie, posée sans accusation, avec la mention que la réponse est à vingt minutes.</w:t>
      </w:r>
    </w:p>
    <w:p>
      <w:pPr>
        <w:numPr>
          <w:ilvl w:val="0"/>
          <w:numId w:val="1007"/>
        </w:numPr>
        <w:pStyle w:val="Compact"/>
      </w:pPr>
      <w:r>
        <w:rPr>
          <w:bCs/>
          <w:b/>
        </w:rPr>
        <w:t xml:space="preserve">« Cette île » → « ce pays », « ici ».</w:t>
      </w:r>
      <w:r>
        <w:t xml:space="preserve"> </w:t>
      </w:r>
      <w:r>
        <w:t xml:space="preserve">« Cette île », c’est le point de vue du satellite — exactement celui que l’épisode reproche aux autres.</w:t>
      </w:r>
    </w:p>
    <w:p>
      <w:pPr>
        <w:numPr>
          <w:ilvl w:val="0"/>
          <w:numId w:val="1007"/>
        </w:numPr>
        <w:pStyle w:val="Compact"/>
      </w:pPr>
      <w:r>
        <w:t xml:space="preserve">Trois adjectifs de rédacteur supprimés (« vertigineux », « redoutable », « l’art de douter » en titre de chapitre) ; injonctions à l’auditeur ramenées de huit à quatre.</w:t>
      </w:r>
    </w:p>
    <w:p>
      <w:pPr>
        <w:numPr>
          <w:ilvl w:val="0"/>
          <w:numId w:val="1007"/>
        </w:numPr>
        <w:pStyle w:val="Compact"/>
      </w:pPr>
      <w:r>
        <w:rPr>
          <w:bCs/>
          <w:b/>
        </w:rPr>
        <w:t xml:space="preserve">« Trois faits, sans commentaire »</w:t>
      </w:r>
      <w:r>
        <w:t xml:space="preserve"> </w:t>
      </w:r>
      <w:r>
        <w:t xml:space="preserve">suivi d’un commentaire : l’annonce a été supprimée.</w:t>
      </w:r>
    </w:p>
    <w:bookmarkEnd w:id="62"/>
    <w:bookmarkEnd w:id="63"/>
    <w:bookmarkStart w:id="69" w:name="avant-denregistrer"/>
    <w:p>
      <w:pPr>
        <w:pStyle w:val="Heading1"/>
      </w:pPr>
      <w:r>
        <w:t xml:space="preserve">Avant d’enregistrer</w:t>
      </w:r>
    </w:p>
    <w:bookmarkStart w:id="64" w:name="lentretien-malgache-bloquant"/>
    <w:p>
      <w:pPr>
        <w:pStyle w:val="Heading2"/>
      </w:pPr>
      <w:r>
        <w:t xml:space="preserve">1. L’entretien malgache — BLOQUANT</w:t>
      </w:r>
    </w:p>
    <w:p>
      <w:pPr>
        <w:pStyle w:val="FirstParagraph"/>
      </w:pPr>
      <w:r>
        <w:rPr>
          <w:bCs/>
          <w:b/>
        </w:rPr>
        <w:t xml:space="preserve">Séquence 4.3. Sans lui, l’épisode ne sort pas.</w:t>
      </w:r>
    </w:p>
    <w:p>
      <w:pPr>
        <w:pStyle w:val="BodyText"/>
      </w:pPr>
      <w:r>
        <w:t xml:space="preserve">Il faut une voix malgache vivante,</w:t>
      </w:r>
      <w:r>
        <w:t xml:space="preserve"> </w:t>
      </w:r>
      <w:r>
        <w:rPr>
          <w:bCs/>
          <w:b/>
        </w:rPr>
        <w:t xml:space="preserve">nommée</w:t>
      </w:r>
      <w:r>
        <w:t xml:space="preserve">, enregistrée, qui parle de</w:t>
      </w:r>
      <w:r>
        <w:t xml:space="preserve"> </w:t>
      </w:r>
      <w:r>
        <w:rPr>
          <w:bCs/>
          <w:b/>
        </w:rPr>
        <w:t xml:space="preserve">ce débat-ci</w:t>
      </w:r>
      <w:r>
        <w:t xml:space="preserve">. Pas une citation d’archive, pas un chroniqueur, pas une note lue par le narrateur. Un chercheur ou une chercheuse d’ici, qui dit ce qu’il ou elle pense de cette date. Quatre-vingt-dix à cent vingt secondes.</w:t>
      </w:r>
    </w:p>
    <w:p>
      <w:pPr>
        <w:pStyle w:val="BodyText"/>
      </w:pPr>
      <w:r>
        <w:t xml:space="preserve">Le contenu n’est pas prescrit. Elle peut dire qu’elle n’en sait rien, qu’elle penche pour la chronologie courte, que la controverse l’ennuie. Ce qui compte, c’est qu’un être humain malgache existe dans cet épisode</w:t>
      </w:r>
      <w:r>
        <w:t xml:space="preserve"> </w:t>
      </w:r>
      <w:r>
        <w:rPr>
          <w:bCs/>
          <w:b/>
        </w:rPr>
        <w:t xml:space="preserve">au présent, comme sujet du savoir</w:t>
      </w:r>
      <w:r>
        <w:t xml:space="preserve"> </w:t>
      </w:r>
      <w:r>
        <w:t xml:space="preserve">— et pas seulement au passé, comme fournisseur d’os.</w:t>
      </w:r>
    </w:p>
    <w:p>
      <w:pPr>
        <w:pStyle w:val="BodyText"/>
      </w:pPr>
      <w:r>
        <w:rPr>
          <w:bCs/>
          <w:b/>
        </w:rPr>
        <w:t xml:space="preserve">Le test :</w:t>
      </w:r>
      <w:r>
        <w:t xml:space="preserve"> </w:t>
      </w:r>
      <w:r>
        <w:t xml:space="preserve">si ce script peut être produit intégralement sans qu’un seul appel ait été passé à Madagascar, il est disqualifié.</w:t>
      </w:r>
    </w:p>
    <w:p>
      <w:pPr>
        <w:pStyle w:val="BodyText"/>
      </w:pPr>
      <w:r>
        <w:rPr>
          <w:bCs/>
          <w:b/>
        </w:rPr>
        <w:t xml:space="preserve">Pistes concrètes</w:t>
      </w:r>
      <w:r>
        <w:t xml:space="preserve">, par ordre d’accessibilité :</w:t>
      </w:r>
    </w:p>
    <w:p>
      <w:pPr>
        <w:numPr>
          <w:ilvl w:val="0"/>
          <w:numId w:val="1008"/>
        </w:numPr>
        <w:pStyle w:val="Compact"/>
      </w:pPr>
      <w:r>
        <w:rPr>
          <w:bCs/>
          <w:b/>
        </w:rPr>
        <w:t xml:space="preserve">Armand Rasoamiaramanana</w:t>
      </w:r>
      <w:r>
        <w:t xml:space="preserve">, laboratoire de paléontologie et biostratigraphie de l’Université d’Antananarivo.</w:t>
      </w:r>
      <w:r>
        <w:t xml:space="preserve"> </w:t>
      </w:r>
      <w:r>
        <w:rPr>
          <w:bCs/>
          <w:b/>
        </w:rPr>
        <w:t xml:space="preserve">C’est la première porte à laquelle frapper</w:t>
      </w:r>
      <w:r>
        <w:t xml:space="preserve"> </w:t>
      </w:r>
      <w:r>
        <w:t xml:space="preserve">: il est codirecteur de la fouille de 2008 et troisième auteur de l’article. Personne au monde n’est mieux placé, et il est dans la même ville que vous.</w:t>
      </w:r>
    </w:p>
    <w:p>
      <w:pPr>
        <w:numPr>
          <w:ilvl w:val="0"/>
          <w:numId w:val="1008"/>
        </w:numPr>
        <w:pStyle w:val="Compact"/>
      </w:pPr>
      <w:r>
        <w:rPr>
          <w:bCs/>
          <w:b/>
        </w:rPr>
        <w:t xml:space="preserve">Harilanto Razafindrazaka</w:t>
      </w:r>
      <w:r>
        <w:t xml:space="preserve">, qui dirige la mission archéologique France-Madagascar depuis 2023 et travaille sur les strates anciennes des Hautes Terres. Coautrice de l’étude génomique de référence sur les Malgaches. Son travail fait le pont avec l’épisode 3 sur les Vazimba.</w:t>
      </w:r>
    </w:p>
    <w:p>
      <w:pPr>
        <w:numPr>
          <w:ilvl w:val="0"/>
          <w:numId w:val="1008"/>
        </w:numPr>
        <w:pStyle w:val="Compact"/>
      </w:pPr>
      <w:r>
        <w:rPr>
          <w:bCs/>
          <w:b/>
        </w:rPr>
        <w:t xml:space="preserve">Chantal Radimilahy</w:t>
      </w:r>
      <w:r>
        <w:t xml:space="preserve"> </w:t>
      </w:r>
      <w:r>
        <w:t xml:space="preserve">et</w:t>
      </w:r>
      <w:r>
        <w:t xml:space="preserve"> </w:t>
      </w:r>
      <w:r>
        <w:rPr>
          <w:bCs/>
          <w:b/>
        </w:rPr>
        <w:t xml:space="preserve">Jean-Aimé Rakotoarisoa</w:t>
      </w:r>
      <w:r>
        <w:t xml:space="preserve">, cosignataires de textes centraux de ce dossier — dont l’article adverse.</w:t>
      </w:r>
    </w:p>
    <w:p>
      <w:pPr>
        <w:numPr>
          <w:ilvl w:val="0"/>
          <w:numId w:val="1008"/>
        </w:numPr>
        <w:pStyle w:val="Compact"/>
      </w:pPr>
      <w:r>
        <w:rPr>
          <w:bCs/>
          <w:b/>
        </w:rPr>
        <w:t xml:space="preserve">Tanambelo Rasolondrainy</w:t>
      </w:r>
      <w:r>
        <w:t xml:space="preserve"> </w:t>
      </w:r>
      <w:r>
        <w:t xml:space="preserve">et</w:t>
      </w:r>
      <w:r>
        <w:t xml:space="preserve"> </w:t>
      </w:r>
      <w:r>
        <w:rPr>
          <w:bCs/>
          <w:b/>
        </w:rPr>
        <w:t xml:space="preserve">Barthélémy Manjakahery</w:t>
      </w:r>
      <w:r>
        <w:t xml:space="preserve">, université de Toliara, les plus proches des sites du Sud-Ouest.</w:t>
      </w:r>
      <w:r>
        <w:t xml:space="preserve"> </w:t>
      </w:r>
      <w:r>
        <w:rPr>
          <w:bCs/>
          <w:b/>
        </w:rPr>
        <w:t xml:space="preserve">Si vous pouvez avoir une voix du Sud plutôt qu’une voix de Tana, prenez-la</w:t>
      </w:r>
      <w:r>
        <w:t xml:space="preserve"> </w:t>
      </w:r>
      <w:r>
        <w:t xml:space="preserve">: l’épisode avoue lui-même que l’os sort de l’Ihorombe et que le narrateur parle depuis les Hautes Terres.</w:t>
      </w:r>
    </w:p>
    <w:p>
      <w:pPr>
        <w:pStyle w:val="FirstParagraph"/>
      </w:pPr>
      <w:r>
        <w:rPr>
          <w:bCs/>
          <w:b/>
        </w:rPr>
        <w:t xml:space="preserve">Une question à ne pas poser :</w:t>
      </w:r>
      <w:r>
        <w:t xml:space="preserve"> </w:t>
      </w:r>
      <w:r>
        <w:t xml:space="preserve">« Est-ce que vous croyez à la date de dix mille cinq cents ans ? » Elle appelle un oui ou un non.</w:t>
      </w:r>
    </w:p>
    <w:p>
      <w:pPr>
        <w:pStyle w:val="BodyText"/>
      </w:pPr>
      <w:r>
        <w:rPr>
          <w:bCs/>
          <w:b/>
        </w:rPr>
        <w:t xml:space="preserve">Trois questions qui marchent mieux :</w:t>
      </w:r>
    </w:p>
    <w:p>
      <w:pPr>
        <w:numPr>
          <w:ilvl w:val="0"/>
          <w:numId w:val="1009"/>
        </w:numPr>
        <w:pStyle w:val="Compact"/>
      </w:pPr>
      <w:r>
        <w:t xml:space="preserve">Quand vous lisez un article qui déplace de six mille ans l’histoire de votre pays, et que vous n’êtes pas dans l’équipe qui l’a écrit — qu’est-ce que vous ressentez d’abord ?</w:t>
      </w:r>
    </w:p>
    <w:p>
      <w:pPr>
        <w:numPr>
          <w:ilvl w:val="0"/>
          <w:numId w:val="1009"/>
        </w:numPr>
        <w:pStyle w:val="Compact"/>
      </w:pPr>
      <w:r>
        <w:t xml:space="preserve">Qu’est-ce qui manque, concrètement, pour trancher ? Et qu’est-ce qui empêche de le chercher ?</w:t>
      </w:r>
    </w:p>
    <w:p>
      <w:pPr>
        <w:numPr>
          <w:ilvl w:val="0"/>
          <w:numId w:val="1009"/>
        </w:numPr>
        <w:pStyle w:val="Compact"/>
      </w:pPr>
      <w:r>
        <w:t xml:space="preserve">Est-ce que ça change quelque chose, pour un Malgache, de savoir si quelqu’un est passé ici il y a dix mille ans ?</w:t>
      </w:r>
    </w:p>
    <w:bookmarkEnd w:id="64"/>
    <w:bookmarkStart w:id="65" w:name="deux-appels-à-passer-obligatoires"/>
    <w:p>
      <w:pPr>
        <w:pStyle w:val="Heading2"/>
      </w:pPr>
      <w:r>
        <w:t xml:space="preserve">2. Deux appels à passer — obligatoires</w:t>
      </w:r>
    </w:p>
    <w:p>
      <w:pPr>
        <w:pStyle w:val="FirstParagraph"/>
      </w:pPr>
      <w:r>
        <w:t xml:space="preserve">Ce ne sont pas des vérifications de confort. Le dossier de recherche a échoué à les faire par les sources écrites ; il faut décrocher un téléphone.</w:t>
      </w:r>
    </w:p>
    <w:p>
      <w:pPr>
        <w:pStyle w:val="BodyText"/>
      </w:pPr>
      <w:r>
        <w:rPr>
          <w:bCs/>
          <w:b/>
        </w:rPr>
        <w:t xml:space="preserve">a) Le nom malgache de la rivière.</w:t>
      </w:r>
      <w:r>
        <w:t xml:space="preserve"> </w:t>
      </w:r>
      <w:r>
        <w:t xml:space="preserve">Le script pose la question à l’antenne (« je n’ai pas réussi à trouver comment cette rivière s’appelle en malgache »).</w:t>
      </w:r>
      <w:r>
        <w:t xml:space="preserve"> </w:t>
      </w:r>
      <w:r>
        <w:rPr>
          <w:bCs/>
          <w:b/>
        </w:rPr>
        <w:t xml:space="preserve">Cette phrase n’est honnête que si vous avez réellement cherché.</w:t>
      </w:r>
      <w:r>
        <w:t xml:space="preserve"> </w:t>
      </w:r>
      <w:r>
        <w:t xml:space="preserve">Un appel à la commune d’Andiolava, au district d’Ihosy, ou à quelqu’un d’Ilakaka, et vous aurez la réponse — ou la confirmation que personne ne la donne. Les deux issues sont bonnes pour l’épisode. L’absence d’appel, non.</w:t>
      </w:r>
    </w:p>
    <w:p>
      <w:pPr>
        <w:pStyle w:val="BodyText"/>
      </w:pPr>
      <w:r>
        <w:rPr>
          <w:bCs/>
          <w:b/>
        </w:rPr>
        <w:t xml:space="preserve">b)</w:t>
      </w:r>
      <w:r>
        <w:rPr>
          <w:bCs/>
          <w:b/>
        </w:rPr>
        <w:t xml:space="preserve"> </w:t>
      </w:r>
      <w:r>
        <w:rPr>
          <w:iCs/>
          <w:i/>
          <w:bCs/>
          <w:b/>
        </w:rPr>
        <w:t xml:space="preserve">Vorompatra</w:t>
      </w:r>
      <w:r>
        <w:rPr>
          <w:bCs/>
          <w:b/>
        </w:rPr>
        <w:t xml:space="preserve">.</w:t>
      </w:r>
      <w:r>
        <w:t xml:space="preserve"> </w:t>
      </w:r>
      <w:r>
        <w:t xml:space="preserve">Même logique : l’Académie malgache est à Antananarivo, et les gens de l’Androy disent encore le mot. Si une autorité tranche entre « l’oiseau des Ampatres » et « l’oiseau des marais », le script doit le dire. Sinon, la formule actuelle tient.</w:t>
      </w:r>
    </w:p>
    <w:p>
      <w:pPr>
        <w:pStyle w:val="BodyText"/>
      </w:pPr>
      <w:r>
        <w:rPr>
          <w:iCs/>
          <w:i/>
        </w:rPr>
        <w:t xml:space="preserve">(Une troisième piste, facultative : l’étymologie de</w:t>
      </w:r>
      <w:r>
        <w:t xml:space="preserve"> </w:t>
      </w:r>
      <w:r>
        <w:t xml:space="preserve">Taolambiby</w:t>
      </w:r>
      <w:r>
        <w:rPr>
          <w:iCs/>
          <w:i/>
        </w:rPr>
        <w:t xml:space="preserve">, le nom d’un site du Sud-Ouest, qui semble se décomposer en</w:t>
      </w:r>
      <w:r>
        <w:t xml:space="preserve"> </w:t>
      </w:r>
      <w:r>
        <w:t xml:space="preserve">taolana</w:t>
      </w:r>
      <w:r>
        <w:t xml:space="preserve"> </w:t>
      </w:r>
      <w:r>
        <w:rPr>
          <w:iCs/>
          <w:i/>
        </w:rPr>
        <w:t xml:space="preserve">— os — et</w:t>
      </w:r>
      <w:r>
        <w:t xml:space="preserve"> </w:t>
      </w:r>
      <w:r>
        <w:t xml:space="preserve">biby</w:t>
      </w:r>
      <w:r>
        <w:t xml:space="preserve"> </w:t>
      </w:r>
      <w:r>
        <w:rPr>
          <w:iCs/>
          <w:i/>
        </w:rPr>
        <w:t xml:space="preserve">— bête. Si un linguiste le confirme, cela ferait une ligne magnifique : le nom était là avant l’archéologie. Sinon, on n’en parle pas.)</w:t>
      </w:r>
    </w:p>
    <w:bookmarkEnd w:id="65"/>
    <w:bookmarkStart w:id="66" w:name="X6cea1f0f99862512042863a34720acee8191a31"/>
    <w:p>
      <w:pPr>
        <w:pStyle w:val="Heading2"/>
      </w:pPr>
      <w:r>
        <w:t xml:space="preserve">3. Ce qu’il ne faut jamais laisser passer au montage</w:t>
      </w:r>
    </w:p>
    <w:p>
      <w:pPr>
        <w:pStyle w:val="FirstParagraph"/>
      </w:pPr>
      <w:r>
        <w:t xml:space="preserve">Trois séquences sont</w:t>
      </w:r>
      <w:r>
        <w:t xml:space="preserve"> </w:t>
      </w:r>
      <w:r>
        <w:rPr>
          <w:bCs/>
          <w:b/>
        </w:rPr>
        <w:t xml:space="preserve">inamovibles</w:t>
      </w:r>
      <w:r>
        <w:t xml:space="preserve">. Les couper fait tomber ce qui suit :</w:t>
      </w:r>
    </w:p>
    <w:p>
      <w:pPr>
        <w:numPr>
          <w:ilvl w:val="0"/>
          <w:numId w:val="1010"/>
        </w:numPr>
        <w:pStyle w:val="Compact"/>
      </w:pPr>
      <w:r>
        <w:rPr>
          <w:bCs/>
          <w:b/>
        </w:rPr>
        <w:t xml:space="preserve">3.4, le verrou.</w:t>
      </w:r>
      <w:r>
        <w:t xml:space="preserve"> </w:t>
      </w:r>
      <w:r>
        <w:t xml:space="preserve">Rampe de lancement de l’acte IV. La couper fait tomber 4.1.</w:t>
      </w:r>
    </w:p>
    <w:p>
      <w:pPr>
        <w:numPr>
          <w:ilvl w:val="0"/>
          <w:numId w:val="1010"/>
        </w:numPr>
        <w:pStyle w:val="Compact"/>
      </w:pPr>
      <w:r>
        <w:rPr>
          <w:bCs/>
          <w:b/>
        </w:rPr>
        <w:t xml:space="preserve">3.3, le paiement de la dette.</w:t>
      </w:r>
      <w:r>
        <w:t xml:space="preserve"> </w:t>
      </w:r>
      <w:r>
        <w:t xml:space="preserve">La couper rend le cold open incompréhensible rétroactivement.</w:t>
      </w:r>
    </w:p>
    <w:p>
      <w:pPr>
        <w:numPr>
          <w:ilvl w:val="0"/>
          <w:numId w:val="1010"/>
        </w:numPr>
        <w:pStyle w:val="Compact"/>
      </w:pPr>
      <w:r>
        <w:rPr>
          <w:bCs/>
          <w:b/>
        </w:rPr>
        <w:t xml:space="preserve">4.4, la fin sur « il n’existe pas de position malgache ».</w:t>
      </w:r>
      <w:r>
        <w:t xml:space="preserve"> </w:t>
      </w:r>
      <w:r>
        <w:t xml:space="preserve">Sans elle, la séquence sur le Smithsonian et sur la langue devient un grief, et l’épisode change de nature.</w:t>
      </w:r>
    </w:p>
    <w:bookmarkEnd w:id="66"/>
    <w:bookmarkStart w:id="67" w:name="les-deux-phrases-qui-doivent-survivre"/>
    <w:p>
      <w:pPr>
        <w:pStyle w:val="Heading2"/>
      </w:pPr>
      <w:r>
        <w:t xml:space="preserve">4. Les deux phrases qui doivent survivre</w:t>
      </w:r>
    </w:p>
    <w:p>
      <w:pPr>
        <w:numPr>
          <w:ilvl w:val="0"/>
          <w:numId w:val="1011"/>
        </w:numPr>
        <w:pStyle w:val="Compact"/>
      </w:pPr>
      <w:r>
        <w:rPr>
          <w:bCs/>
          <w:b/>
        </w:rPr>
        <w:t xml:space="preserve">Passer n’est pas s’installer.</w:t>
      </w:r>
    </w:p>
    <w:p>
      <w:pPr>
        <w:numPr>
          <w:ilvl w:val="0"/>
          <w:numId w:val="1011"/>
        </w:numPr>
        <w:pStyle w:val="Compact"/>
      </w:pPr>
      <w:r>
        <w:t xml:space="preserve">Le poids réel des trois positions —</w:t>
      </w:r>
      <w:r>
        <w:t xml:space="preserve"> </w:t>
      </w:r>
      <w:r>
        <w:rPr>
          <w:bCs/>
          <w:b/>
        </w:rPr>
        <w:t xml:space="preserve">jamais de cinquante-cinquante.</w:t>
      </w:r>
    </w:p>
    <w:bookmarkEnd w:id="67"/>
    <w:bookmarkStart w:id="68" w:name="le-test-de-sortie"/>
    <w:p>
      <w:pPr>
        <w:pStyle w:val="Heading2"/>
      </w:pPr>
      <w:r>
        <w:t xml:space="preserve">5. Le test de sortie</w:t>
      </w:r>
    </w:p>
    <w:p>
      <w:pPr>
        <w:pStyle w:val="FirstParagraph"/>
      </w:pPr>
      <w:r>
        <w:t xml:space="preserve">Faites écouter l’épisode à quelqu’un qui ne connaît pas le sujet. Demandez-lui, en éteignant, ce qu’il a appris — en une phrase.</w:t>
      </w:r>
    </w:p>
    <w:p>
      <w:pPr>
        <w:pStyle w:val="BodyText"/>
      </w:pPr>
      <w:r>
        <w:t xml:space="preserve">Si la phrase est « personne ne sait », il faut remonter.</w:t>
      </w:r>
    </w:p>
    <w:p>
      <w:pPr>
        <w:pStyle w:val="BodyText"/>
      </w:pPr>
      <w:r>
        <w:t xml:space="preserve">Si la phrase est « quelqu’un est peut-être passé, mais personne ne s’est installé avant mille ans », c’est bon.</w:t>
      </w:r>
    </w:p>
    <w:bookmarkEnd w:id="68"/>
    <w:bookmarkEnd w:id="69"/>
    <w:bookmarkStart w:id="76" w:name="métadonnées-de-diffusion"/>
    <w:p>
      <w:pPr>
        <w:pStyle w:val="Heading1"/>
      </w:pPr>
      <w:r>
        <w:t xml:space="preserve">Métadonnées de diffusion</w:t>
      </w:r>
    </w:p>
    <w:bookmarkStart w:id="70" w:name="titre"/>
    <w:p>
      <w:pPr>
        <w:pStyle w:val="Heading2"/>
      </w:pPr>
      <w:r>
        <w:t xml:space="preserve">Titre</w:t>
      </w:r>
    </w:p>
    <w:p>
      <w:pPr>
        <w:pStyle w:val="FirstParagraph"/>
      </w:pPr>
      <w:r>
        <w:rPr>
          <w:bCs/>
          <w:b/>
        </w:rPr>
        <w:t xml:space="preserve">Neuf mille ans d’écart</w:t>
      </w:r>
      <w:r>
        <w:t xml:space="preserve"> </w:t>
      </w:r>
      <w:r>
        <w:rPr>
          <w:iCs/>
          <w:i/>
        </w:rPr>
        <w:t xml:space="preserve">Seconde ligne : Quand l’homme est-il arrivé à Madagascar ?</w:t>
      </w:r>
    </w:p>
    <w:bookmarkEnd w:id="70"/>
    <w:bookmarkStart w:id="71" w:name="Xb57a2bef0aa28e999c23c3d634f82f6729bad50"/>
    <w:p>
      <w:pPr>
        <w:pStyle w:val="Heading2"/>
      </w:pPr>
      <w:r>
        <w:t xml:space="preserve">Description courte (Spotify, Apple — 300 signes)</w:t>
      </w:r>
    </w:p>
    <w:p>
      <w:pPr>
        <w:pStyle w:val="BlockText"/>
      </w:pPr>
      <w:r>
        <w:t xml:space="preserve">Un os de patte d’oiseau géant, une entaille de quatre centimètres, et neuf mille ans de désaccord. Madagascar est la quatrième plus grande île du monde. C’est aussi la plus mal datée. Examen de la pièce la plus discutée de l’archéologie malgache — et de la différence entre passer et s’installer.</w:t>
      </w:r>
    </w:p>
    <w:bookmarkEnd w:id="71"/>
    <w:bookmarkStart w:id="72" w:name="X087671b3fa47857d40fb44dda3ac25c27f927a1"/>
    <w:p>
      <w:pPr>
        <w:pStyle w:val="Heading2"/>
      </w:pPr>
      <w:r>
        <w:t xml:space="preserve">Description longue (YouTube, site, plateforme)</w:t>
      </w:r>
    </w:p>
    <w:p>
      <w:pPr>
        <w:pStyle w:val="BlockText"/>
      </w:pPr>
      <w:r>
        <w:t xml:space="preserve">En 2006, un chercheur de saphir descend dans un puits près d’Ilakaka, dans le sud de Madagascar. À une dizaine de mètres, il ne trouve pas de pierre : il trouve une couche d’ossements. Douze ans plus tard, deux os de ce gisement deviennent l’objet le plus discuté de toute l’archéologie malgache.</w:t>
      </w:r>
    </w:p>
    <w:p>
      <w:pPr>
        <w:pStyle w:val="BlockText"/>
      </w:pPr>
      <w:r>
        <w:t xml:space="preserve">Ils portent des marques. Ils ont plus de dix mille cinq cents ans. Et s’ils ont été découpés par une main humaine, alors toute l’histoire du peuplement du pays est à réécrire.</w:t>
      </w:r>
    </w:p>
    <w:p>
      <w:pPr>
        <w:pStyle w:val="BlockText"/>
      </w:pPr>
      <w:r>
        <w:t xml:space="preserve">Une équipe l’affirme. Une autre répond que ces marques sont peut-être les traces de leurs propres pioches. Un troisième groupe propose de séparer deux questions que dix ans de controverse avaient confondues.</w:t>
      </w:r>
    </w:p>
    <w:p>
      <w:pPr>
        <w:pStyle w:val="BlockText"/>
      </w:pPr>
      <w:r>
        <w:t xml:space="preserve">Dans cet épisode, nous n’allons pas trancher une date. Nous allons examiner une pièce — et découvrir que « passer » et « s’installer » ne demandent pas les mêmes preuves.</w:t>
      </w:r>
    </w:p>
    <w:p>
      <w:pPr>
        <w:pStyle w:val="BlockText"/>
      </w:pPr>
      <w:r>
        <w:t xml:space="preserve">Épisode 2 de la saison 1, « Avant les royaumes ».</w:t>
      </w:r>
    </w:p>
    <w:p>
      <w:pPr>
        <w:pStyle w:val="BlockText"/>
      </w:pPr>
      <w:r>
        <w:t xml:space="preserve">Sources principales : Hansford</w:t>
      </w:r>
      <w:r>
        <w:t xml:space="preserve"> </w:t>
      </w:r>
      <w:r>
        <w:rPr>
          <w:iCs/>
          <w:i/>
        </w:rPr>
        <w:t xml:space="preserve">et al.</w:t>
      </w:r>
      <w:r>
        <w:t xml:space="preserve">,</w:t>
      </w:r>
      <w:r>
        <w:t xml:space="preserve"> </w:t>
      </w:r>
      <w:r>
        <w:rPr>
          <w:iCs/>
          <w:i/>
        </w:rPr>
        <w:t xml:space="preserve">Science Advances</w:t>
      </w:r>
      <w:r>
        <w:t xml:space="preserve">, 2018 · Anderson</w:t>
      </w:r>
      <w:r>
        <w:t xml:space="preserve"> </w:t>
      </w:r>
      <w:r>
        <w:rPr>
          <w:iCs/>
          <w:i/>
        </w:rPr>
        <w:t xml:space="preserve">et al.</w:t>
      </w:r>
      <w:r>
        <w:t xml:space="preserve">,</w:t>
      </w:r>
      <w:r>
        <w:t xml:space="preserve"> </w:t>
      </w:r>
      <w:r>
        <w:rPr>
          <w:iCs/>
          <w:i/>
        </w:rPr>
        <w:t xml:space="preserve">PLOS ONE</w:t>
      </w:r>
      <w:r>
        <w:t xml:space="preserve">, 2018 · Mitchell,</w:t>
      </w:r>
      <w:r>
        <w:t xml:space="preserve"> </w:t>
      </w:r>
      <w:r>
        <w:rPr>
          <w:iCs/>
          <w:i/>
        </w:rPr>
        <w:t xml:space="preserve">Journal of Island and Coastal Archaeology</w:t>
      </w:r>
      <w:r>
        <w:t xml:space="preserve">, 2019 · Douglass</w:t>
      </w:r>
      <w:r>
        <w:t xml:space="preserve"> </w:t>
      </w:r>
      <w:r>
        <w:rPr>
          <w:iCs/>
          <w:i/>
        </w:rPr>
        <w:t xml:space="preserve">et al.</w:t>
      </w:r>
      <w:r>
        <w:t xml:space="preserve">,</w:t>
      </w:r>
      <w:r>
        <w:t xml:space="preserve"> </w:t>
      </w:r>
      <w:r>
        <w:rPr>
          <w:iCs/>
          <w:i/>
        </w:rPr>
        <w:t xml:space="preserve">Quaternary Science Reviews</w:t>
      </w:r>
      <w:r>
        <w:t xml:space="preserve">, 2019 · Hansford</w:t>
      </w:r>
      <w:r>
        <w:t xml:space="preserve"> </w:t>
      </w:r>
      <w:r>
        <w:rPr>
          <w:iCs/>
          <w:i/>
        </w:rPr>
        <w:t xml:space="preserve">et al.</w:t>
      </w:r>
      <w:r>
        <w:t xml:space="preserve">,</w:t>
      </w:r>
      <w:r>
        <w:t xml:space="preserve"> </w:t>
      </w:r>
      <w:r>
        <w:rPr>
          <w:iCs/>
          <w:i/>
        </w:rPr>
        <w:t xml:space="preserve">JICA</w:t>
      </w:r>
      <w:r>
        <w:t xml:space="preserve">, 2020 · Hixon</w:t>
      </w:r>
      <w:r>
        <w:t xml:space="preserve"> </w:t>
      </w:r>
      <w:r>
        <w:rPr>
          <w:iCs/>
          <w:i/>
        </w:rPr>
        <w:t xml:space="preserve">et al.</w:t>
      </w:r>
      <w:r>
        <w:t xml:space="preserve">,</w:t>
      </w:r>
      <w:r>
        <w:t xml:space="preserve"> </w:t>
      </w:r>
      <w:r>
        <w:rPr>
          <w:iCs/>
          <w:i/>
        </w:rPr>
        <w:t xml:space="preserve">Scientific Reports</w:t>
      </w:r>
      <w:r>
        <w:t xml:space="preserve">, 2022 · Godfrey</w:t>
      </w:r>
      <w:r>
        <w:t xml:space="preserve"> </w:t>
      </w:r>
      <w:r>
        <w:rPr>
          <w:iCs/>
          <w:i/>
        </w:rPr>
        <w:t xml:space="preserve">et al.</w:t>
      </w:r>
      <w:r>
        <w:t xml:space="preserve">,</w:t>
      </w:r>
      <w:r>
        <w:t xml:space="preserve"> </w:t>
      </w:r>
      <w:r>
        <w:rPr>
          <w:iCs/>
          <w:i/>
        </w:rPr>
        <w:t xml:space="preserve">Cambridge Prisms: Extinction</w:t>
      </w:r>
      <w:r>
        <w:t xml:space="preserve">, 2025. Les citations ont été traduites de l’anglais.</w:t>
      </w:r>
    </w:p>
    <w:bookmarkEnd w:id="72"/>
    <w:bookmarkStart w:id="73" w:name="chapitrage"/>
    <w:p>
      <w:pPr>
        <w:pStyle w:val="Heading2"/>
      </w:pPr>
      <w:r>
        <w:t xml:space="preserve">Chapitrage</w:t>
      </w:r>
    </w:p>
    <w:p>
      <w:pPr>
        <w:pStyle w:val="SourceCode"/>
      </w:pPr>
      <w:r>
        <w:rPr>
          <w:rStyle w:val="VerbatimChar"/>
        </w:rPr>
        <w:t xml:space="preserve">00:00  Un os, une entaille</w:t>
      </w:r>
      <w:r>
        <w:br/>
      </w:r>
      <w:r>
        <w:rPr>
          <w:rStyle w:val="VerbatimChar"/>
        </w:rPr>
        <w:t xml:space="preserve">01:40  Neuf mille ans d'écart</w:t>
      </w:r>
      <w:r>
        <w:br/>
      </w:r>
      <w:r>
        <w:rPr>
          <w:rStyle w:val="VerbatimChar"/>
        </w:rPr>
        <w:t xml:space="preserve">02:50  Le trou d'Ilakaka</w:t>
      </w:r>
      <w:r>
        <w:br/>
      </w:r>
      <w:r>
        <w:rPr>
          <w:rStyle w:val="VerbatimChar"/>
        </w:rPr>
        <w:t xml:space="preserve">04:20  La fouille de 2008</w:t>
      </w:r>
      <w:r>
        <w:br/>
      </w:r>
      <w:r>
        <w:rPr>
          <w:rStyle w:val="VerbatimChar"/>
        </w:rPr>
        <w:t xml:space="preserve">05:30  Le monde d'avant</w:t>
      </w:r>
      <w:r>
        <w:br/>
      </w:r>
      <w:r>
        <w:rPr>
          <w:rStyle w:val="VerbatimChar"/>
        </w:rPr>
        <w:t xml:space="preserve">06:30  Le vorompatra</w:t>
      </w:r>
      <w:r>
        <w:br/>
      </w:r>
      <w:r>
        <w:rPr>
          <w:rStyle w:val="VerbatimChar"/>
        </w:rPr>
        <w:t xml:space="preserve">08:10  La date</w:t>
      </w:r>
      <w:r>
        <w:br/>
      </w:r>
      <w:r>
        <w:rPr>
          <w:rStyle w:val="VerbatimChar"/>
        </w:rPr>
        <w:t xml:space="preserve">08:50  Sous le microscope</w:t>
      </w:r>
      <w:r>
        <w:br/>
      </w:r>
      <w:r>
        <w:rPr>
          <w:rStyle w:val="VerbatimChar"/>
        </w:rPr>
        <w:t xml:space="preserve">09:40  Les trois gestes</w:t>
      </w:r>
      <w:r>
        <w:br/>
      </w:r>
      <w:r>
        <w:rPr>
          <w:rStyle w:val="VerbatimChar"/>
        </w:rPr>
        <w:t xml:space="preserve">11:10  Une femelle en ponte</w:t>
      </w:r>
      <w:r>
        <w:br/>
      </w:r>
      <w:r>
        <w:rPr>
          <w:rStyle w:val="VerbatimChar"/>
        </w:rPr>
        <w:t xml:space="preserve">11:50  Septembre 2018</w:t>
      </w:r>
      <w:r>
        <w:br/>
      </w:r>
      <w:r>
        <w:rPr>
          <w:rStyle w:val="VerbatimChar"/>
        </w:rPr>
        <w:t xml:space="preserve">13:10  La taphonomie</w:t>
      </w:r>
      <w:r>
        <w:br/>
      </w:r>
      <w:r>
        <w:rPr>
          <w:rStyle w:val="VerbatimChar"/>
        </w:rPr>
        <w:t xml:space="preserve">15:00  Les trois critères</w:t>
      </w:r>
      <w:r>
        <w:br/>
      </w:r>
      <w:r>
        <w:rPr>
          <w:rStyle w:val="VerbatimChar"/>
        </w:rPr>
        <w:t xml:space="preserve">16:30  L'objet répond</w:t>
      </w:r>
      <w:r>
        <w:br/>
      </w:r>
      <w:r>
        <w:rPr>
          <w:rStyle w:val="VerbatimChar"/>
        </w:rPr>
        <w:t xml:space="preserve">17:40  Trois étages</w:t>
      </w:r>
      <w:r>
        <w:br/>
      </w:r>
      <w:r>
        <w:rPr>
          <w:rStyle w:val="VerbatimChar"/>
        </w:rPr>
        <w:t xml:space="preserve">18:40  Deux verdicts, un même os</w:t>
      </w:r>
      <w:r>
        <w:br/>
      </w:r>
      <w:r>
        <w:rPr>
          <w:rStyle w:val="VerbatimChar"/>
        </w:rPr>
        <w:t xml:space="preserve">19:55  L'os n'est plus seul</w:t>
      </w:r>
      <w:r>
        <w:br/>
      </w:r>
      <w:r>
        <w:rPr>
          <w:rStyle w:val="VerbatimChar"/>
        </w:rPr>
        <w:t xml:space="preserve">21:00  Une voix d'Antananarivo</w:t>
      </w:r>
      <w:r>
        <w:br/>
      </w:r>
      <w:r>
        <w:rPr>
          <w:rStyle w:val="VerbatimChar"/>
        </w:rPr>
        <w:t xml:space="preserve">22:30  À qui appartient cette histoire</w:t>
      </w:r>
      <w:r>
        <w:br/>
      </w:r>
      <w:r>
        <w:rPr>
          <w:rStyle w:val="VerbatimChar"/>
        </w:rPr>
        <w:t xml:space="preserve">23:50  Ce qu'il faudrait pour savoir</w:t>
      </w:r>
    </w:p>
    <w:bookmarkEnd w:id="73"/>
    <w:bookmarkStart w:id="74" w:name="mots-clés"/>
    <w:p>
      <w:pPr>
        <w:pStyle w:val="Heading2"/>
      </w:pPr>
      <w:r>
        <w:t xml:space="preserve">Mots-clés</w:t>
      </w:r>
    </w:p>
    <w:p>
      <w:pPr>
        <w:pStyle w:val="FirstParagraph"/>
      </w:pPr>
      <w:r>
        <w:t xml:space="preserve">madagascar, histoire de madagascar, archéologie, peuplement, oiseau-éléphant, aepyornis, vorompatra, préhistoire, océan indien, ilakaka, controverse scientifique, datation carbone, podcast histoire, documentaire</w:t>
      </w:r>
    </w:p>
    <w:bookmarkEnd w:id="74"/>
    <w:bookmarkStart w:id="75" w:name="ours-de-fin"/>
    <w:p>
      <w:pPr>
        <w:pStyle w:val="Heading2"/>
      </w:pPr>
      <w:r>
        <w:t xml:space="preserve">Ours de fin</w:t>
      </w:r>
    </w:p>
    <w:p>
      <w:pPr>
        <w:pStyle w:val="BlockText"/>
      </w:pPr>
      <w:r>
        <w:rPr>
          <w:iCs/>
          <w:i/>
        </w:rPr>
        <w:t xml:space="preserve">Histoire de Madagascar</w:t>
      </w:r>
      <w:r>
        <w:t xml:space="preserve"> </w:t>
      </w:r>
      <w:r>
        <w:t xml:space="preserve">— épisode 2, « Neuf mille ans d’écart ». Écriture et narration : [nom]. Avec la voix de [nom de l’invité]. Les citations de chercheurs ont été traduites de l’anglais. Les sources de cet épisode sont listées dans la description.</w:t>
      </w:r>
    </w:p>
    <w:bookmarkEnd w:id="75"/>
    <w:bookmarkEnd w:id="76"/>
    <w:bookmarkStart w:id="77" w:name="bibliographie-de-lépisode"/>
    <w:p>
      <w:pPr>
        <w:pStyle w:val="Heading1"/>
      </w:pPr>
      <w:r>
        <w:t xml:space="preserve">Bibliographie de l’épisode</w:t>
      </w:r>
    </w:p>
    <w:p>
      <w:pPr>
        <w:pStyle w:val="FirstParagraph"/>
      </w:pPr>
      <w:r>
        <w:rPr>
          <w:bCs/>
          <w:b/>
        </w:rPr>
        <w:t xml:space="preserve">Les six textes centraux</w:t>
      </w:r>
    </w:p>
    <w:p>
      <w:pPr>
        <w:numPr>
          <w:ilvl w:val="0"/>
          <w:numId w:val="1012"/>
        </w:numPr>
        <w:pStyle w:val="Compact"/>
      </w:pPr>
      <w:r>
        <w:t xml:space="preserve">Hansford, J. P., Wright, P. C., Rasoamiaramanana, A., Pérez, V. R., Godfrey, L. R., Errickson, D., Thompson, T., Turvey, S. T. (2018), « Early Holocene human presence in Madagascar evidenced by exploitation of avian megafauna »,</w:t>
      </w:r>
      <w:r>
        <w:t xml:space="preserve"> </w:t>
      </w:r>
      <w:r>
        <w:rPr>
          <w:iCs/>
          <w:i/>
        </w:rPr>
        <w:t xml:space="preserve">Science Advances</w:t>
      </w:r>
      <w:r>
        <w:t xml:space="preserve"> </w:t>
      </w:r>
      <w:r>
        <w:t xml:space="preserve">4(9), 12 septembre 2018. — L’étude fondatrice. Accès libre.</w:t>
      </w:r>
    </w:p>
    <w:p>
      <w:pPr>
        <w:numPr>
          <w:ilvl w:val="0"/>
          <w:numId w:val="1012"/>
        </w:numPr>
        <w:pStyle w:val="Compact"/>
      </w:pPr>
      <w:r>
        <w:t xml:space="preserve">Anderson, A., Clark, G., Haberle, S., Higham, T., Nowak-Kemp, M., Prendergast, A., Radimilahy, C., Rakotozafy, L. M., Ramilisonina, Schwenninger, J.-L., Virah-Sawmy, M., Camens, A. (2018), « New evidence of megafaunal bone damage indicates late colonization of Madagascar »,</w:t>
      </w:r>
      <w:r>
        <w:t xml:space="preserve"> </w:t>
      </w:r>
      <w:r>
        <w:rPr>
          <w:iCs/>
          <w:i/>
        </w:rPr>
        <w:t xml:space="preserve">PLOS ONE</w:t>
      </w:r>
      <w:r>
        <w:t xml:space="preserve"> </w:t>
      </w:r>
      <w:r>
        <w:t xml:space="preserve">13(10), e0204368, 10 octobre 2018. — La contre-attaque taphonomique. Accès libre.</w:t>
      </w:r>
    </w:p>
    <w:p>
      <w:pPr>
        <w:numPr>
          <w:ilvl w:val="0"/>
          <w:numId w:val="1012"/>
        </w:numPr>
        <w:pStyle w:val="Compact"/>
      </w:pPr>
      <w:r>
        <w:t xml:space="preserve">Mitchell, P. (2019), « Settling Madagascar: When Did People First Colonize the World’s Largest Island? »,</w:t>
      </w:r>
      <w:r>
        <w:t xml:space="preserve"> </w:t>
      </w:r>
      <w:r>
        <w:rPr>
          <w:iCs/>
          <w:i/>
        </w:rPr>
        <w:t xml:space="preserve">Journal of Island and Coastal Archaeology</w:t>
      </w:r>
      <w:r>
        <w:t xml:space="preserve"> </w:t>
      </w:r>
      <w:r>
        <w:t xml:space="preserve">15(4), 576-595. — La réfutation par les critères des revendications extraordinaires.</w:t>
      </w:r>
    </w:p>
    <w:p>
      <w:pPr>
        <w:numPr>
          <w:ilvl w:val="0"/>
          <w:numId w:val="1012"/>
        </w:numPr>
        <w:pStyle w:val="Compact"/>
      </w:pPr>
      <w:r>
        <w:t xml:space="preserve">Douglass, K., Hixon, S., Wright, H. T., Godfrey, L. R., Crowley, B. E., Manjakahery, B., Rasolondrainy, T., Crossland, Z., Radimilahy, C. (2019), « A critical review of radiocarbon dates clarifies the human settlement of Madagascar »,</w:t>
      </w:r>
      <w:r>
        <w:t xml:space="preserve"> </w:t>
      </w:r>
      <w:r>
        <w:rPr>
          <w:iCs/>
          <w:i/>
        </w:rPr>
        <w:t xml:space="preserve">Quaternary Science Reviews</w:t>
      </w:r>
      <w:r>
        <w:t xml:space="preserve"> </w:t>
      </w:r>
      <w:r>
        <w:t xml:space="preserve">221, 105878. — 199 datations, 64 sites.</w:t>
      </w:r>
    </w:p>
    <w:p>
      <w:pPr>
        <w:numPr>
          <w:ilvl w:val="0"/>
          <w:numId w:val="1012"/>
        </w:numPr>
        <w:pStyle w:val="Compact"/>
      </w:pPr>
      <w:r>
        <w:t xml:space="preserve">Hansford, J. P., Wright, P. C., Pérez, V. R., Muldoon, K. M., Turvey, S. T., Godfrey, L. R. (2020), « Evidence for Early Human Arrival in Madagascar is Robust: A Response to Mitchell »,</w:t>
      </w:r>
      <w:r>
        <w:t xml:space="preserve"> </w:t>
      </w:r>
      <w:r>
        <w:rPr>
          <w:iCs/>
          <w:i/>
        </w:rPr>
        <w:t xml:space="preserve">JICA</w:t>
      </w:r>
      <w:r>
        <w:t xml:space="preserve"> </w:t>
      </w:r>
      <w:r>
        <w:t xml:space="preserve">15(4). — PDF en accès libre (UCL Discovery).</w:t>
      </w:r>
    </w:p>
    <w:p>
      <w:pPr>
        <w:numPr>
          <w:ilvl w:val="0"/>
          <w:numId w:val="1012"/>
        </w:numPr>
        <w:pStyle w:val="Compact"/>
      </w:pPr>
      <w:r>
        <w:t xml:space="preserve">Godfrey, L. R.</w:t>
      </w:r>
      <w:r>
        <w:t xml:space="preserve"> </w:t>
      </w:r>
      <w:r>
        <w:rPr>
          <w:iCs/>
          <w:i/>
        </w:rPr>
        <w:t xml:space="preserve">et al.</w:t>
      </w:r>
      <w:r>
        <w:t xml:space="preserve"> </w:t>
      </w:r>
      <w:r>
        <w:t xml:space="preserve">(2025), « Patterns of late Holocene and historical extinctions on Madagascar »,</w:t>
      </w:r>
      <w:r>
        <w:t xml:space="preserve"> </w:t>
      </w:r>
      <w:r>
        <w:rPr>
          <w:iCs/>
          <w:i/>
        </w:rPr>
        <w:t xml:space="preserve">Cambridge Prisms: Extinction</w:t>
      </w:r>
      <w:r>
        <w:t xml:space="preserve"> </w:t>
      </w:r>
      <w:r>
        <w:t xml:space="preserve">3, e9. — La synthèse la plus récente.</w:t>
      </w:r>
    </w:p>
    <w:p>
      <w:pPr>
        <w:pStyle w:val="FirstParagraph"/>
      </w:pPr>
      <w:r>
        <w:rPr>
          <w:bCs/>
          <w:b/>
        </w:rPr>
        <w:t xml:space="preserve">Le site, l’animal, la suite</w:t>
      </w:r>
    </w:p>
    <w:p>
      <w:pPr>
        <w:numPr>
          <w:ilvl w:val="0"/>
          <w:numId w:val="1013"/>
        </w:numPr>
        <w:pStyle w:val="Compact"/>
      </w:pPr>
      <w:r>
        <w:t xml:space="preserve">Muldoon, K. M., Crowley, B. E.</w:t>
      </w:r>
      <w:r>
        <w:t xml:space="preserve"> </w:t>
      </w:r>
      <w:r>
        <w:rPr>
          <w:iCs/>
          <w:i/>
        </w:rPr>
        <w:t xml:space="preserve">et al.</w:t>
      </w:r>
      <w:r>
        <w:t xml:space="preserve"> </w:t>
      </w:r>
      <w:r>
        <w:t xml:space="preserve">(2012), « Early Holocene fauna from a new subfossil site: A first assessment from Christmas River »,</w:t>
      </w:r>
      <w:r>
        <w:t xml:space="preserve"> </w:t>
      </w:r>
      <w:r>
        <w:rPr>
          <w:iCs/>
          <w:i/>
        </w:rPr>
        <w:t xml:space="preserve">Madagascar Conservation &amp; Development</w:t>
      </w:r>
      <w:r>
        <w:t xml:space="preserve"> </w:t>
      </w:r>
      <w:r>
        <w:t xml:space="preserve">7(1).</w:t>
      </w:r>
    </w:p>
    <w:p>
      <w:pPr>
        <w:numPr>
          <w:ilvl w:val="0"/>
          <w:numId w:val="1013"/>
        </w:numPr>
        <w:pStyle w:val="Compact"/>
      </w:pPr>
      <w:r>
        <w:t xml:space="preserve">Hansford, J. P., Turvey, S. T. (2018), « Unexpected diversity within the extinct elephant birds and a new identity for the world’s largest bird »,</w:t>
      </w:r>
      <w:r>
        <w:t xml:space="preserve"> </w:t>
      </w:r>
      <w:r>
        <w:rPr>
          <w:iCs/>
          <w:i/>
        </w:rPr>
        <w:t xml:space="preserve">Royal Society Open Science</w:t>
      </w:r>
      <w:r>
        <w:t xml:space="preserve"> </w:t>
      </w:r>
      <w:r>
        <w:t xml:space="preserve">5(9), 181295. — Source des mensurations osseuses.</w:t>
      </w:r>
    </w:p>
    <w:p>
      <w:pPr>
        <w:numPr>
          <w:ilvl w:val="0"/>
          <w:numId w:val="1013"/>
        </w:numPr>
        <w:pStyle w:val="Compact"/>
      </w:pPr>
      <w:r>
        <w:t xml:space="preserve">Torres, C. R., Clarke, J. A. (2018), « Nocturnal giants: evolution of the sensory ecology in elephant birds »,</w:t>
      </w:r>
      <w:r>
        <w:t xml:space="preserve"> </w:t>
      </w:r>
      <w:r>
        <w:rPr>
          <w:iCs/>
          <w:i/>
        </w:rPr>
        <w:t xml:space="preserve">Proceedings of the Royal Society B</w:t>
      </w:r>
      <w:r>
        <w:t xml:space="preserve"> </w:t>
      </w:r>
      <w:r>
        <w:t xml:space="preserve">285(1890).</w:t>
      </w:r>
    </w:p>
    <w:p>
      <w:pPr>
        <w:numPr>
          <w:ilvl w:val="0"/>
          <w:numId w:val="1013"/>
        </w:numPr>
        <w:pStyle w:val="Compact"/>
      </w:pPr>
      <w:r>
        <w:t xml:space="preserve">Hixon, S. W., Douglass, K. G.</w:t>
      </w:r>
      <w:r>
        <w:t xml:space="preserve"> </w:t>
      </w:r>
      <w:r>
        <w:rPr>
          <w:iCs/>
          <w:i/>
        </w:rPr>
        <w:t xml:space="preserve">et al.</w:t>
      </w:r>
      <w:r>
        <w:t xml:space="preserve"> </w:t>
      </w:r>
      <w:r>
        <w:t xml:space="preserve">(2022), « Cutmarked bone of drought-tolerant extinct megafauna deposited with traces of fire, human foraging, and introduced animals in SW Madagascar »,</w:t>
      </w:r>
      <w:r>
        <w:t xml:space="preserve"> </w:t>
      </w:r>
      <w:r>
        <w:rPr>
          <w:iCs/>
          <w:i/>
        </w:rPr>
        <w:t xml:space="preserve">Scientific Reports</w:t>
      </w:r>
      <w:r>
        <w:t xml:space="preserve"> </w:t>
      </w:r>
      <w:r>
        <w:t xml:space="preserve">12.</w:t>
      </w:r>
    </w:p>
    <w:p>
      <w:pPr>
        <w:numPr>
          <w:ilvl w:val="0"/>
          <w:numId w:val="1013"/>
        </w:numPr>
        <w:pStyle w:val="Compact"/>
      </w:pPr>
      <w:r>
        <w:t xml:space="preserve">Pierron, D., Heiske, M., Razafindrazaka, H.</w:t>
      </w:r>
      <w:r>
        <w:t xml:space="preserve"> </w:t>
      </w:r>
      <w:r>
        <w:rPr>
          <w:iCs/>
          <w:i/>
        </w:rPr>
        <w:t xml:space="preserve">et al.</w:t>
      </w:r>
      <w:r>
        <w:t xml:space="preserve"> </w:t>
      </w:r>
      <w:r>
        <w:t xml:space="preserve">(2017), « Genomic landscape of human diversity across Madagascar »,</w:t>
      </w:r>
      <w:r>
        <w:t xml:space="preserve"> </w:t>
      </w:r>
      <w:r>
        <w:rPr>
          <w:iCs/>
          <w:i/>
        </w:rPr>
        <w:t xml:space="preserve">PNAS</w:t>
      </w:r>
      <w:r>
        <w:t xml:space="preserve">.</w:t>
      </w:r>
    </w:p>
    <w:p>
      <w:pPr>
        <w:pStyle w:val="FirstParagraph"/>
      </w:pPr>
      <w:r>
        <w:rPr>
          <w:bCs/>
          <w:b/>
        </w:rPr>
        <w:t xml:space="preserve">Communiqués et presse — origine des citations lues</w:t>
      </w:r>
    </w:p>
    <w:p>
      <w:pPr>
        <w:numPr>
          <w:ilvl w:val="0"/>
          <w:numId w:val="1014"/>
        </w:numPr>
        <w:pStyle w:val="Compact"/>
      </w:pPr>
      <w:r>
        <w:t xml:space="preserve">Zoological Society of London / EurekAlert, 12 septembre 2018 (Hansford, Wright).</w:t>
      </w:r>
    </w:p>
    <w:p>
      <w:pPr>
        <w:numPr>
          <w:ilvl w:val="0"/>
          <w:numId w:val="1014"/>
        </w:numPr>
        <w:pStyle w:val="Compact"/>
      </w:pPr>
      <w:r>
        <w:rPr>
          <w:iCs/>
          <w:i/>
        </w:rPr>
        <w:t xml:space="preserve">UMass Magazine</w:t>
      </w:r>
      <w:r>
        <w:t xml:space="preserve">, printemps 2019 (Pérez).</w:t>
      </w:r>
    </w:p>
    <w:p>
      <w:pPr>
        <w:numPr>
          <w:ilvl w:val="0"/>
          <w:numId w:val="1014"/>
        </w:numPr>
        <w:pStyle w:val="Compact"/>
      </w:pPr>
      <w:r>
        <w:t xml:space="preserve">Oxford University Research Archive — résumé de Mitchell 2019.</w:t>
      </w:r>
    </w:p>
    <w:p>
      <w:pPr>
        <w:numPr>
          <w:ilvl w:val="0"/>
          <w:numId w:val="1014"/>
        </w:numPr>
        <w:pStyle w:val="Compact"/>
      </w:pPr>
      <w:r>
        <w:rPr>
          <w:iCs/>
          <w:i/>
        </w:rPr>
        <w:t xml:space="preserve">L’Express de Madagascar</w:t>
      </w:r>
      <w:r>
        <w:t xml:space="preserve">, 13 mars 2019 — la reprise malgache.</w:t>
      </w:r>
    </w:p>
    <w:p>
      <w:pPr>
        <w:numPr>
          <w:ilvl w:val="0"/>
          <w:numId w:val="1014"/>
        </w:numPr>
        <w:pStyle w:val="Compact"/>
      </w:pPr>
      <w:r>
        <w:t xml:space="preserve">Public Eye, « The curse of the sapphire » — enquête de terrain sur Ilakaka.</w:t>
      </w:r>
    </w:p>
    <w:p>
      <w:r>
        <w:pict>
          <v:rect style="width:0;height:1.5pt" o:hralign="center" o:hrstd="t" o:hr="t"/>
        </w:pict>
      </w:r>
    </w:p>
    <w:p>
      <w:pPr>
        <w:pStyle w:val="FirstParagraph"/>
      </w:pPr>
      <w:r>
        <w:rPr>
          <w:iCs/>
          <w:i/>
        </w:rPr>
        <w:t xml:space="preserve">Dossier d’épisode, version 2 — 19 août 2026. Le script est prêt à enregistrer dès l’obtention de l’entretien de la séquence 4.3 et des deux appels de vérification.</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DE MADAGASCAR — Épisode 2</dc:title>
  <dc:creator/>
  <cp:keywords/>
  <dcterms:created xsi:type="dcterms:W3CDTF">2026-08-19T20:38:23Z</dcterms:created>
  <dcterms:modified xsi:type="dcterms:W3CDTF">2026-08-19T20:38:23Z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 Neuf mille ans d’écart » — Dossier de production complet (version 2, corrigée)</vt:lpwstr>
  </property>
</Properties>
</file>