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HISTOIRE</w:t>
      </w:r>
      <w:r>
        <w:t xml:space="preserve"> </w:t>
      </w:r>
      <w:r>
        <w:t xml:space="preserve">DE</w:t>
      </w:r>
      <w:r>
        <w:t xml:space="preserve"> </w:t>
      </w:r>
      <w:r>
        <w:t xml:space="preserve">MADAGASCAR</w:t>
      </w:r>
      <w:r>
        <w:t xml:space="preserve"> </w:t>
      </w:r>
      <w:r>
        <w:t xml:space="preserve">—</w:t>
      </w:r>
      <w:r>
        <w:t xml:space="preserve"> </w:t>
      </w:r>
      <w:r>
        <w:t xml:space="preserve">Dossier</w:t>
      </w:r>
      <w:r>
        <w:t xml:space="preserve"> </w:t>
      </w:r>
      <w:r>
        <w:t xml:space="preserve">maître</w:t>
      </w:r>
      <w:r>
        <w:t xml:space="preserve"> </w:t>
      </w:r>
      <w:r>
        <w:t xml:space="preserve">du</w:t>
      </w:r>
      <w:r>
        <w:t xml:space="preserve"> </w:t>
      </w:r>
      <w:r>
        <w:t xml:space="preserve">podcast</w:t>
      </w:r>
    </w:p>
    <w:p>
      <w:pPr>
        <w:pStyle w:val="Subtitle"/>
      </w:pPr>
      <w:r>
        <w:t xml:space="preserve">Document</w:t>
      </w:r>
      <w:r>
        <w:t xml:space="preserve"> </w:t>
      </w:r>
      <w:r>
        <w:t xml:space="preserve">de</w:t>
      </w:r>
      <w:r>
        <w:t xml:space="preserve"> </w:t>
      </w:r>
      <w:r>
        <w:t xml:space="preserve">travail,</w:t>
      </w:r>
      <w:r>
        <w:t xml:space="preserve"> </w:t>
      </w:r>
      <w:r>
        <w:t xml:space="preserve">version</w:t>
      </w:r>
      <w:r>
        <w:t xml:space="preserve"> </w:t>
      </w:r>
      <w:r>
        <w:t xml:space="preserve">1</w:t>
      </w:r>
      <w:r>
        <w:t xml:space="preserve"> </w:t>
      </w:r>
      <w:r>
        <w:t xml:space="preserve">—</w:t>
      </w:r>
      <w:r>
        <w:t xml:space="preserve"> </w:t>
      </w:r>
      <w:r>
        <w:t xml:space="preserve">19</w:t>
      </w:r>
      <w:r>
        <w:t xml:space="preserve"> </w:t>
      </w:r>
      <w:r>
        <w:t xml:space="preserve">août</w:t>
      </w:r>
      <w:r>
        <w:t xml:space="preserve"> </w:t>
      </w:r>
      <w:r>
        <w:t xml:space="preserve">2026</w:t>
      </w:r>
    </w:p>
    <w:bookmarkStart w:id="23" w:name="comment-utiliser-ce-dossier"/>
    <w:p>
      <w:pPr>
        <w:pStyle w:val="Heading1"/>
      </w:pPr>
      <w:r>
        <w:t xml:space="preserve">Comment utiliser ce dossier</w:t>
      </w:r>
    </w:p>
    <w:p>
      <w:pPr>
        <w:pStyle w:val="FirstParagraph"/>
      </w:pPr>
      <w:r>
        <w:t xml:space="preserve">Ce document n’est pas un script. C’est la</w:t>
      </w:r>
      <w:r>
        <w:t xml:space="preserve"> </w:t>
      </w:r>
      <w:r>
        <w:rPr>
          <w:bCs/>
          <w:b/>
        </w:rPr>
        <w:t xml:space="preserve">base documentaire</w:t>
      </w:r>
      <w:r>
        <w:t xml:space="preserve"> </w:t>
      </w:r>
      <w:r>
        <w:t xml:space="preserve">dans laquelle tu iras puiser pour écrire chaque épisode. Il est construit pour qu’aucune phrase prononcée à l’antenne ne le soit sans que tu saches d’où elle vient et à quel point elle est solide.</w:t>
      </w:r>
    </w:p>
    <w:bookmarkStart w:id="20" w:name="les-quatre-niveaux-de-certitude"/>
    <w:p>
      <w:pPr>
        <w:pStyle w:val="Heading2"/>
      </w:pPr>
      <w:r>
        <w:t xml:space="preserve">Les quatre niveaux de certitude</w:t>
      </w:r>
    </w:p>
    <w:p>
      <w:pPr>
        <w:pStyle w:val="FirstParagraph"/>
      </w:pPr>
      <w:r>
        <w:t xml:space="preserve">Chaque fait de la chronologie porte une étiquette. Elle détermine</w:t>
      </w:r>
      <w:r>
        <w:t xml:space="preserve"> </w:t>
      </w:r>
      <w:r>
        <w:rPr>
          <w:bCs/>
          <w:b/>
        </w:rPr>
        <w:t xml:space="preserve">la manière dont tu dois le formuler à l’antenne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Étiquette</w:t>
            </w:r>
          </w:p>
        </w:tc>
        <w:tc>
          <w:tcPr/>
          <w:p>
            <w:pPr>
              <w:pStyle w:val="Compact"/>
              <w:jc w:val="left"/>
            </w:pPr>
            <w:r>
              <w:t xml:space="preserve">Ce que ça veut dire</w:t>
            </w:r>
          </w:p>
        </w:tc>
        <w:tc>
          <w:tcPr/>
          <w:p>
            <w:pPr>
              <w:pStyle w:val="Compact"/>
              <w:jc w:val="left"/>
            </w:pPr>
            <w:r>
              <w:t xml:space="preserve">Formulation à l’antenne</w:t>
            </w:r>
          </w:p>
        </w:tc>
      </w:tr>
      <w:tr>
        <w:tc>
          <w:tcPr/>
          <w:p>
            <w:pPr>
              <w:pStyle w:val="Compact"/>
              <w:jc w:val="left"/>
            </w:pPr>
            <w:r>
              <w:rPr>
                <w:bCs/>
                <w:b/>
              </w:rPr>
              <w:t xml:space="preserve">[SÛR]</w:t>
            </w:r>
          </w:p>
        </w:tc>
        <w:tc>
          <w:tcPr/>
          <w:p>
            <w:pPr>
              <w:pStyle w:val="Compact"/>
              <w:jc w:val="left"/>
            </w:pPr>
            <w:r>
              <w:t xml:space="preserve">Documenté par plusieurs sources indépendantes, non contesté</w:t>
            </w:r>
          </w:p>
        </w:tc>
        <w:tc>
          <w:tcPr/>
          <w:p>
            <w:pPr>
              <w:pStyle w:val="Compact"/>
              <w:jc w:val="left"/>
            </w:pPr>
            <w:r>
              <w:t xml:space="preserve">Affirmatif : « Le 30 septembre 1895, les troupes françaises entrent dans Antananarivo. »</w:t>
            </w:r>
          </w:p>
        </w:tc>
      </w:tr>
      <w:tr>
        <w:tc>
          <w:tcPr/>
          <w:p>
            <w:pPr>
              <w:pStyle w:val="Compact"/>
              <w:jc w:val="left"/>
            </w:pPr>
            <w:r>
              <w:rPr>
                <w:bCs/>
                <w:b/>
              </w:rPr>
              <w:t xml:space="preserve">[PROBABLE]</w:t>
            </w:r>
          </w:p>
        </w:tc>
        <w:tc>
          <w:tcPr/>
          <w:p>
            <w:pPr>
              <w:pStyle w:val="Compact"/>
              <w:jc w:val="left"/>
            </w:pPr>
            <w:r>
              <w:t xml:space="preserve">Position majoritaire des chercheurs, mais reposant sur des indices indirects</w:t>
            </w:r>
          </w:p>
        </w:tc>
        <w:tc>
          <w:tcPr/>
          <w:p>
            <w:pPr>
              <w:pStyle w:val="Compact"/>
              <w:jc w:val="left"/>
            </w:pPr>
            <w:r>
              <w:t xml:space="preserve">Nuancé : « Les historiens s’accordent aujourd’hui pour situer… »</w:t>
            </w:r>
          </w:p>
        </w:tc>
      </w:tr>
      <w:tr>
        <w:tc>
          <w:tcPr/>
          <w:p>
            <w:pPr>
              <w:pStyle w:val="Compact"/>
              <w:jc w:val="left"/>
            </w:pPr>
            <w:r>
              <w:rPr>
                <w:bCs/>
                <w:b/>
              </w:rPr>
              <w:t xml:space="preserve">[CONTROVERSÉ]</w:t>
            </w:r>
          </w:p>
        </w:tc>
        <w:tc>
          <w:tcPr/>
          <w:p>
            <w:pPr>
              <w:pStyle w:val="Compact"/>
              <w:jc w:val="left"/>
            </w:pPr>
            <w:r>
              <w:t xml:space="preserve">Deux ou plusieurs thèses s’affrontent, aucune n’a gagné</w:t>
            </w:r>
          </w:p>
        </w:tc>
        <w:tc>
          <w:tcPr/>
          <w:p>
            <w:pPr>
              <w:pStyle w:val="Compact"/>
              <w:jc w:val="left"/>
            </w:pPr>
            <w:r>
              <w:t xml:space="preserve">Le débat lui-même devient le récit : « Et c’est ici que les archéologues se déchirent. »</w:t>
            </w:r>
          </w:p>
        </w:tc>
      </w:tr>
      <w:tr>
        <w:tc>
          <w:tcPr/>
          <w:p>
            <w:pPr>
              <w:pStyle w:val="Compact"/>
              <w:jc w:val="left"/>
            </w:pPr>
            <w:r>
              <w:rPr>
                <w:bCs/>
                <w:b/>
              </w:rPr>
              <w:t xml:space="preserve">[TRADITION]</w:t>
            </w:r>
          </w:p>
        </w:tc>
        <w:tc>
          <w:tcPr/>
          <w:p>
            <w:pPr>
              <w:pStyle w:val="Compact"/>
              <w:jc w:val="left"/>
            </w:pPr>
            <w:r>
              <w:t xml:space="preserve">Provient de la tradition orale malgache, non vérifiable par l’archéologie</w:t>
            </w:r>
          </w:p>
        </w:tc>
        <w:tc>
          <w:tcPr/>
          <w:p>
            <w:pPr>
              <w:pStyle w:val="Compact"/>
              <w:jc w:val="left"/>
            </w:pPr>
            <w:r>
              <w:t xml:space="preserve">Attribué : « La tradition merina raconte que… » — jamais « il s’est passé que… »</w:t>
            </w:r>
          </w:p>
        </w:tc>
      </w:tr>
    </w:tbl>
    <w:p>
      <w:pPr>
        <w:pStyle w:val="BodyText"/>
      </w:pPr>
      <w:r>
        <w:t xml:space="preserve">Un principe simple :</w:t>
      </w:r>
      <w:r>
        <w:t xml:space="preserve"> </w:t>
      </w:r>
      <w:r>
        <w:rPr>
          <w:bCs/>
          <w:b/>
        </w:rPr>
        <w:t xml:space="preserve">[CONTROVERSÉ] n’est pas un problème, c’est un cadeau.</w:t>
      </w:r>
      <w:r>
        <w:t xml:space="preserve"> </w:t>
      </w:r>
      <w:r>
        <w:t xml:space="preserve">Un désaccord entre chercheurs est presque toujours un meilleur moment de radio qu’un fait acquis. Ne les gomme pas, mets-les en scène.</w:t>
      </w:r>
    </w:p>
    <w:bookmarkEnd w:id="20"/>
    <w:bookmarkStart w:id="21" w:name="la-règle-des-sources"/>
    <w:p>
      <w:pPr>
        <w:pStyle w:val="Heading2"/>
      </w:pPr>
      <w:r>
        <w:t xml:space="preserve">La règle des sources</w:t>
      </w:r>
    </w:p>
    <w:p>
      <w:pPr>
        <w:pStyle w:val="FirstParagraph"/>
      </w:pPr>
      <w:r>
        <w:t xml:space="preserve">Trois catégories de sources apparaissent dans ce dossier :</w:t>
      </w:r>
    </w:p>
    <w:p>
      <w:pPr>
        <w:numPr>
          <w:ilvl w:val="0"/>
          <w:numId w:val="1001"/>
        </w:numPr>
        <w:pStyle w:val="Compact"/>
      </w:pPr>
      <w:r>
        <w:rPr>
          <w:bCs/>
          <w:b/>
        </w:rPr>
        <w:t xml:space="preserve">Académiques</w:t>
      </w:r>
      <w:r>
        <w:t xml:space="preserve"> </w:t>
      </w:r>
      <w:r>
        <w:t xml:space="preserve">(revues à comité de lecture, Persée, Cairn, PNAS, presses universitaires) — citables telles quelles.</w:t>
      </w:r>
    </w:p>
    <w:p>
      <w:pPr>
        <w:numPr>
          <w:ilvl w:val="0"/>
          <w:numId w:val="1001"/>
        </w:numPr>
        <w:pStyle w:val="Compact"/>
      </w:pPr>
      <w:r>
        <w:rPr>
          <w:bCs/>
          <w:b/>
        </w:rPr>
        <w:t xml:space="preserve">Presse et institutions</w:t>
      </w:r>
      <w:r>
        <w:t xml:space="preserve"> </w:t>
      </w:r>
      <w:r>
        <w:t xml:space="preserve">(AFP, RFI, Banque mondiale, ONU, Élysée) — fiables pour les faits, à attribuer explicitement pour les chiffres sensibles.</w:t>
      </w:r>
    </w:p>
    <w:p>
      <w:pPr>
        <w:numPr>
          <w:ilvl w:val="0"/>
          <w:numId w:val="1001"/>
        </w:numPr>
        <w:pStyle w:val="Compact"/>
      </w:pPr>
      <w:r>
        <w:rPr>
          <w:bCs/>
          <w:b/>
        </w:rPr>
        <w:t xml:space="preserve">Encyclopédiques et vulgarisation</w:t>
      </w:r>
      <w:r>
        <w:t xml:space="preserve"> </w:t>
      </w:r>
      <w:r>
        <w:t xml:space="preserve">(Wikipédia, blogs spécialisés) — points d’entrée uniquement.</w:t>
      </w:r>
      <w:r>
        <w:t xml:space="preserve"> </w:t>
      </w:r>
      <w:r>
        <w:rPr>
          <w:bCs/>
          <w:b/>
        </w:rPr>
        <w:t xml:space="preserve">Ne jamais citer à l’antenne un fait qui ne repose que là-dessus.</w:t>
      </w:r>
    </w:p>
    <w:bookmarkEnd w:id="21"/>
    <w:bookmarkStart w:id="22" w:name="ce-que-ce-dossier-corrige"/>
    <w:p>
      <w:pPr>
        <w:pStyle w:val="Heading2"/>
      </w:pPr>
      <w:r>
        <w:t xml:space="preserve">Ce que ce dossier corrige</w:t>
      </w:r>
    </w:p>
    <w:p>
      <w:pPr>
        <w:pStyle w:val="FirstParagraph"/>
      </w:pPr>
      <w:r>
        <w:t xml:space="preserve">Le document de départ est une bonne matière première, mais il contenait plusieurs fragilités que ce dossier corrige. Elles sont listées en fin de document (section « Corrections à apporter au document source ») — lis cette section avant d’écrire quoi que ce soit.</w:t>
      </w:r>
    </w:p>
    <w:bookmarkEnd w:id="22"/>
    <w:bookmarkEnd w:id="23"/>
    <w:bookmarkStart w:id="25" w:name="fiche-didentité-du-podcast"/>
    <w:p>
      <w:pPr>
        <w:pStyle w:val="Heading1"/>
      </w:pPr>
      <w:r>
        <w:t xml:space="preserve">Fiche d’identité du podcast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Paramètre</w:t>
            </w:r>
          </w:p>
        </w:tc>
        <w:tc>
          <w:tcPr/>
          <w:p>
            <w:pPr>
              <w:pStyle w:val="Compact"/>
              <w:jc w:val="left"/>
            </w:pPr>
            <w:r>
              <w:t xml:space="preserve">Choix retenu</w:t>
            </w:r>
          </w:p>
        </w:tc>
      </w:tr>
      <w:tr>
        <w:tc>
          <w:tcPr/>
          <w:p>
            <w:pPr>
              <w:pStyle w:val="Compact"/>
              <w:jc w:val="left"/>
            </w:pPr>
            <w:r>
              <w:rPr>
                <w:bCs/>
                <w:b/>
              </w:rPr>
              <w:t xml:space="preserve">Langue</w:t>
            </w:r>
          </w:p>
        </w:tc>
        <w:tc>
          <w:tcPr/>
          <w:p>
            <w:pPr>
              <w:pStyle w:val="Compact"/>
              <w:jc w:val="left"/>
            </w:pPr>
            <w:r>
              <w:t xml:space="preserve">Français, avec les termes malgaches conservés dans leur langue (fanompoana, hasina, kabary, razana, fihavanana…)</w:t>
            </w:r>
          </w:p>
        </w:tc>
      </w:tr>
      <w:tr>
        <w:tc>
          <w:tcPr/>
          <w:p>
            <w:pPr>
              <w:pStyle w:val="Compact"/>
              <w:jc w:val="left"/>
            </w:pPr>
            <w:r>
              <w:rPr>
                <w:bCs/>
                <w:b/>
              </w:rPr>
              <w:t xml:space="preserve">Format</w:t>
            </w:r>
          </w:p>
        </w:tc>
        <w:tc>
          <w:tcPr/>
          <w:p>
            <w:pPr>
              <w:pStyle w:val="Compact"/>
              <w:jc w:val="left"/>
            </w:pPr>
            <w:r>
              <w:t xml:space="preserve">Narration principale + voix secondaires : citations d’époque lues, extraits de sources, éventuellement un intervenant</w:t>
            </w:r>
          </w:p>
        </w:tc>
      </w:tr>
      <w:tr>
        <w:tc>
          <w:tcPr/>
          <w:p>
            <w:pPr>
              <w:pStyle w:val="Compact"/>
              <w:jc w:val="left"/>
            </w:pPr>
            <w:r>
              <w:rPr>
                <w:bCs/>
                <w:b/>
              </w:rPr>
              <w:t xml:space="preserve">Diffusion</w:t>
            </w:r>
          </w:p>
        </w:tc>
        <w:tc>
          <w:tcPr/>
          <w:p>
            <w:pPr>
              <w:pStyle w:val="Compact"/>
              <w:jc w:val="left"/>
            </w:pPr>
            <w:r>
              <w:t xml:space="preserve">Ta plateforme de streaming malgache</w:t>
            </w:r>
            <w:r>
              <w:t xml:space="preserve"> </w:t>
            </w:r>
            <w:r>
              <w:rPr>
                <w:bCs/>
                <w:b/>
              </w:rPr>
              <w:t xml:space="preserve">et</w:t>
            </w:r>
            <w:r>
              <w:t xml:space="preserve"> </w:t>
            </w:r>
            <w:r>
              <w:t xml:space="preserve">les plateformes publiques (Spotify, YouTube, Apple Podcasts)</w:t>
            </w:r>
          </w:p>
        </w:tc>
      </w:tr>
      <w:tr>
        <w:tc>
          <w:tcPr/>
          <w:p>
            <w:pPr>
              <w:pStyle w:val="Compact"/>
              <w:jc w:val="left"/>
            </w:pPr>
            <w:r>
              <w:rPr>
                <w:bCs/>
                <w:b/>
              </w:rPr>
              <w:t xml:space="preserve">Structure</w:t>
            </w:r>
          </w:p>
        </w:tc>
        <w:tc>
          <w:tcPr/>
          <w:p>
            <w:pPr>
              <w:pStyle w:val="Compact"/>
              <w:jc w:val="left"/>
            </w:pPr>
            <w:r>
              <w:t xml:space="preserve">6 saisons, environ 30 épisodes</w:t>
            </w:r>
          </w:p>
        </w:tc>
      </w:tr>
    </w:tbl>
    <w:bookmarkStart w:id="24" w:name="conséquences-éditoriales-de-ces-choix"/>
    <w:p>
      <w:pPr>
        <w:pStyle w:val="Heading2"/>
      </w:pPr>
      <w:r>
        <w:t xml:space="preserve">Conséquences éditoriales de ces choix</w:t>
      </w:r>
    </w:p>
    <w:p>
      <w:pPr>
        <w:pStyle w:val="FirstParagraph"/>
      </w:pPr>
      <w:r>
        <w:rPr>
          <w:bCs/>
          <w:b/>
        </w:rPr>
        <w:t xml:space="preserve">Le bilinguisme partiel.</w:t>
      </w:r>
      <w:r>
        <w:t xml:space="preserve"> </w:t>
      </w:r>
      <w:r>
        <w:t xml:space="preserve">Chaque terme malgache doit être introduit une fois, clairement, puis réutilisé librement. Le glossaire en fin de dossier donne pour chacun une définition courte prête à être lue. Règle : un terme malgache non expliqué dans les 10 secondes qui suivent est un terme perdu pour l’auditeur non malgachophone.</w:t>
      </w:r>
    </w:p>
    <w:p>
      <w:pPr>
        <w:pStyle w:val="BodyText"/>
      </w:pPr>
      <w:r>
        <w:rPr>
          <w:bCs/>
          <w:b/>
        </w:rPr>
        <w:t xml:space="preserve">Les voix secondaires.</w:t>
      </w:r>
      <w:r>
        <w:t xml:space="preserve"> </w:t>
      </w:r>
      <w:r>
        <w:t xml:space="preserve">Le format « narration + extraits » impose de repérer, période par période, des</w:t>
      </w:r>
      <w:r>
        <w:t xml:space="preserve"> </w:t>
      </w:r>
      <w:r>
        <w:rPr>
          <w:bCs/>
          <w:b/>
        </w:rPr>
        <w:t xml:space="preserve">textes réellement citables</w:t>
      </w:r>
      <w:r>
        <w:t xml:space="preserve">. Ce dossier signale les citations d’époque disponibles et leur source exacte. Attention : la plupart des sources écrites du XVIIe au XIXe siècle sont européennes (Flacourt, missionnaires britanniques, militaires français). Les faire lire sans les situer reviendrait à raconter Madagascar avec la voix de ceux qui la conquéraient.</w:t>
      </w:r>
      <w:r>
        <w:t xml:space="preserve"> </w:t>
      </w:r>
      <w:r>
        <w:rPr>
          <w:bCs/>
          <w:b/>
        </w:rPr>
        <w:t xml:space="preserve">Chaque citation européenne doit être introduite par qui parle et pourquoi il écrit.</w:t>
      </w:r>
    </w:p>
    <w:p>
      <w:pPr>
        <w:pStyle w:val="BodyText"/>
      </w:pPr>
      <w:r>
        <w:rPr>
          <w:bCs/>
          <w:b/>
        </w:rPr>
        <w:t xml:space="preserve">La double diffusion.</w:t>
      </w:r>
      <w:r>
        <w:t xml:space="preserve"> </w:t>
      </w:r>
      <w:r>
        <w:t xml:space="preserve">Prévoir dès l’écriture deux versions du générique et de l’ours : une pour ta plateforme (où l’auditeur sait déjà où il est), une pour les plateformes publiques (où il faut se présenter en 15 secondes). Prévoir aussi des descriptions d’épisode de 300 à 500 signes, avec les mots-clés « Madagascar », « histoire », « océan Indien », « colonisation », qui sont les portes d’entrée du référencement.</w:t>
      </w:r>
    </w:p>
    <w:bookmarkEnd w:id="24"/>
    <w:bookmarkEnd w:id="25"/>
    <w:bookmarkStart w:id="33" w:name="plan-des-saisons-révisé"/>
    <w:p>
      <w:pPr>
        <w:pStyle w:val="Heading1"/>
      </w:pPr>
      <w:r>
        <w:t xml:space="preserve">Plan des saisons révisé</w:t>
      </w:r>
    </w:p>
    <w:p>
      <w:pPr>
        <w:pStyle w:val="FirstParagraph"/>
      </w:pPr>
      <w:r>
        <w:t xml:space="preserve">Le plan de départ était bon. Voici la version révisée, avec les corrections structurelles expliquées.</w:t>
      </w:r>
    </w:p>
    <w:bookmarkStart w:id="26" w:name="saison-1-avant-les-royaumes-5-épisodes"/>
    <w:p>
      <w:pPr>
        <w:pStyle w:val="Heading2"/>
      </w:pPr>
      <w:r>
        <w:t xml:space="preserve">Saison 1 — Avant les royaumes (5 épisodes)</w:t>
      </w:r>
    </w:p>
    <w:p>
      <w:pPr>
        <w:numPr>
          <w:ilvl w:val="0"/>
          <w:numId w:val="1002"/>
        </w:numPr>
        <w:pStyle w:val="Compact"/>
      </w:pPr>
      <w:r>
        <w:rPr>
          <w:bCs/>
          <w:b/>
        </w:rPr>
        <w:t xml:space="preserve">L’île née du Gondwana</w:t>
      </w:r>
      <w:r>
        <w:t xml:space="preserve"> </w:t>
      </w:r>
      <w:r>
        <w:t xml:space="preserve">— 88 millions d’années de solitude, et pourquoi ça compte pour l’histoire humaine</w:t>
      </w:r>
    </w:p>
    <w:p>
      <w:pPr>
        <w:numPr>
          <w:ilvl w:val="0"/>
          <w:numId w:val="1002"/>
        </w:numPr>
        <w:pStyle w:val="Compact"/>
      </w:pPr>
      <w:r>
        <w:rPr>
          <w:bCs/>
          <w:b/>
        </w:rPr>
        <w:t xml:space="preserve">Le grand débat : quand l’homme est-il arrivé ?</w:t>
      </w:r>
      <w:r>
        <w:t xml:space="preserve"> </w:t>
      </w:r>
      <w:r>
        <w:t xml:space="preserve">— l’os d’oiseau-éléphant et la guerre des archéologues</w:t>
      </w:r>
    </w:p>
    <w:p>
      <w:pPr>
        <w:numPr>
          <w:ilvl w:val="0"/>
          <w:numId w:val="1002"/>
        </w:numPr>
        <w:pStyle w:val="Compact"/>
      </w:pPr>
      <w:r>
        <w:rPr>
          <w:bCs/>
          <w:b/>
        </w:rPr>
        <w:t xml:space="preserve">Les navigateurs venus de l’autre bout du monde</w:t>
      </w:r>
      <w:r>
        <w:t xml:space="preserve"> </w:t>
      </w:r>
      <w:r>
        <w:t xml:space="preserve">— la traversée austronésienne, la preuve par la langue</w:t>
      </w:r>
    </w:p>
    <w:p>
      <w:pPr>
        <w:numPr>
          <w:ilvl w:val="0"/>
          <w:numId w:val="1002"/>
        </w:numPr>
        <w:pStyle w:val="Compact"/>
      </w:pPr>
      <w:r>
        <w:rPr>
          <w:bCs/>
          <w:b/>
        </w:rPr>
        <w:t xml:space="preserve">L’Afrique arrive aussi</w:t>
      </w:r>
      <w:r>
        <w:t xml:space="preserve"> </w:t>
      </w:r>
      <w:r>
        <w:t xml:space="preserve">— la composante bantoue, et pourquoi la génétique raconte deux histoires différentes selon qu’on suit les pères ou les mères</w:t>
      </w:r>
    </w:p>
    <w:p>
      <w:pPr>
        <w:numPr>
          <w:ilvl w:val="0"/>
          <w:numId w:val="1002"/>
        </w:numPr>
        <w:pStyle w:val="Compact"/>
      </w:pPr>
      <w:r>
        <w:rPr>
          <w:bCs/>
          <w:b/>
        </w:rPr>
        <w:t xml:space="preserve">Les Vazimba : mythe ou peuple oublié ?</w:t>
      </w:r>
      <w:r>
        <w:t xml:space="preserve"> </w:t>
      </w:r>
      <w:r>
        <w:t xml:space="preserve">— ce que la tradition dit, ce que les fouilles trouvent</w:t>
      </w:r>
    </w:p>
    <w:bookmarkEnd w:id="26"/>
    <w:bookmarkStart w:id="27" w:name="Xb314998e5367a72080bb5173a10bbdaf5ec2586"/>
    <w:p>
      <w:pPr>
        <w:pStyle w:val="Heading2"/>
      </w:pPr>
      <w:r>
        <w:t xml:space="preserve">Saison 2 — La naissance de Madagascar (5 épisodes)</w:t>
      </w:r>
    </w:p>
    <w:p>
      <w:pPr>
        <w:numPr>
          <w:ilvl w:val="0"/>
          <w:numId w:val="1003"/>
        </w:numPr>
        <w:pStyle w:val="Compact"/>
      </w:pPr>
      <w:r>
        <w:rPr>
          <w:bCs/>
          <w:b/>
        </w:rPr>
        <w:t xml:space="preserve">Mahilaka, la ville oubliée</w:t>
      </w:r>
      <w:r>
        <w:t xml:space="preserve"> </w:t>
      </w:r>
      <w:r>
        <w:t xml:space="preserve">— Madagascar dans le grand commerce de l’océan Indien</w:t>
      </w:r>
    </w:p>
    <w:p>
      <w:pPr>
        <w:numPr>
          <w:ilvl w:val="0"/>
          <w:numId w:val="1003"/>
        </w:numPr>
        <w:pStyle w:val="Compact"/>
      </w:pPr>
      <w:r>
        <w:rPr>
          <w:bCs/>
          <w:b/>
        </w:rPr>
        <w:t xml:space="preserve">L’islam des côtes</w:t>
      </w:r>
      <w:r>
        <w:t xml:space="preserve"> </w:t>
      </w:r>
      <w:r>
        <w:t xml:space="preserve">— Antalaotra, Antemoro, et l’écriture sorabe</w:t>
      </w:r>
    </w:p>
    <w:p>
      <w:pPr>
        <w:numPr>
          <w:ilvl w:val="0"/>
          <w:numId w:val="1003"/>
        </w:numPr>
        <w:pStyle w:val="Compact"/>
      </w:pPr>
      <w:r>
        <w:rPr>
          <w:bCs/>
          <w:b/>
        </w:rPr>
        <w:t xml:space="preserve">Les Sakalava</w:t>
      </w:r>
      <w:r>
        <w:t xml:space="preserve"> </w:t>
      </w:r>
      <w:r>
        <w:t xml:space="preserve">— comment on fabrique un royaume avec des fusils et des reliques</w:t>
      </w:r>
    </w:p>
    <w:p>
      <w:pPr>
        <w:numPr>
          <w:ilvl w:val="0"/>
          <w:numId w:val="1003"/>
        </w:numPr>
        <w:pStyle w:val="Compact"/>
      </w:pPr>
      <w:r>
        <w:rPr>
          <w:bCs/>
          <w:b/>
        </w:rPr>
        <w:t xml:space="preserve">Les pirates</w:t>
      </w:r>
      <w:r>
        <w:t xml:space="preserve"> </w:t>
      </w:r>
      <w:r>
        <w:t xml:space="preserve">— Sainte-Marie, Ratsimilaho, et le canular de Libertalia</w:t>
      </w:r>
    </w:p>
    <w:p>
      <w:pPr>
        <w:numPr>
          <w:ilvl w:val="0"/>
          <w:numId w:val="1003"/>
        </w:numPr>
        <w:pStyle w:val="Compact"/>
      </w:pPr>
      <w:r>
        <w:rPr>
          <w:bCs/>
          <w:b/>
        </w:rPr>
        <w:t xml:space="preserve">Andrianampoinimerina</w:t>
      </w:r>
      <w:r>
        <w:t xml:space="preserve"> </w:t>
      </w:r>
      <w:r>
        <w:t xml:space="preserve">— l’unificateur des Hautes Terres</w:t>
      </w:r>
    </w:p>
    <w:bookmarkEnd w:id="27"/>
    <w:bookmarkStart w:id="28" w:name="Xa9b2868526dc3e145dd4755ce8f95c74a628c4b"/>
    <w:p>
      <w:pPr>
        <w:pStyle w:val="Heading2"/>
      </w:pPr>
      <w:r>
        <w:t xml:space="preserve">Saison 3 — Le royaume face au monde (5 épisodes)</w:t>
      </w:r>
    </w:p>
    <w:p>
      <w:pPr>
        <w:numPr>
          <w:ilvl w:val="0"/>
          <w:numId w:val="1004"/>
        </w:numPr>
        <w:pStyle w:val="Compact"/>
      </w:pPr>
      <w:r>
        <w:rPr>
          <w:bCs/>
          <w:b/>
        </w:rPr>
        <w:t xml:space="preserve">Radama Ier</w:t>
      </w:r>
      <w:r>
        <w:t xml:space="preserve"> </w:t>
      </w:r>
      <w:r>
        <w:t xml:space="preserve">— le roi qui a signé avec les Anglais et donné un alphabet à sa langue</w:t>
      </w:r>
    </w:p>
    <w:p>
      <w:pPr>
        <w:numPr>
          <w:ilvl w:val="0"/>
          <w:numId w:val="1004"/>
        </w:numPr>
        <w:pStyle w:val="Compact"/>
      </w:pPr>
      <w:r>
        <w:rPr>
          <w:bCs/>
          <w:b/>
        </w:rPr>
        <w:t xml:space="preserve">Ranavalona Ire</w:t>
      </w:r>
      <w:r>
        <w:t xml:space="preserve"> </w:t>
      </w:r>
      <w:r>
        <w:t xml:space="preserve">— la reine que l’Europe a peinte en monstre</w:t>
      </w:r>
    </w:p>
    <w:p>
      <w:pPr>
        <w:numPr>
          <w:ilvl w:val="0"/>
          <w:numId w:val="1004"/>
        </w:numPr>
        <w:pStyle w:val="Compact"/>
      </w:pPr>
      <w:r>
        <w:rPr>
          <w:bCs/>
          <w:b/>
        </w:rPr>
        <w:t xml:space="preserve">Jean Laborde et l’usine de Mantasoa</w:t>
      </w:r>
      <w:r>
        <w:t xml:space="preserve"> </w:t>
      </w:r>
      <w:r>
        <w:t xml:space="preserve">— quand Madagascar a voulu sa révolution industrielle</w:t>
      </w:r>
    </w:p>
    <w:p>
      <w:pPr>
        <w:numPr>
          <w:ilvl w:val="0"/>
          <w:numId w:val="1004"/>
        </w:numPr>
        <w:pStyle w:val="Compact"/>
      </w:pPr>
      <w:r>
        <w:rPr>
          <w:bCs/>
          <w:b/>
        </w:rPr>
        <w:t xml:space="preserve">Rainilaiarivony</w:t>
      </w:r>
      <w:r>
        <w:t xml:space="preserve"> </w:t>
      </w:r>
      <w:r>
        <w:t xml:space="preserve">— l’homme qui a épousé trois reines et gouverné trente ans</w:t>
      </w:r>
    </w:p>
    <w:p>
      <w:pPr>
        <w:numPr>
          <w:ilvl w:val="0"/>
          <w:numId w:val="1004"/>
        </w:numPr>
        <w:pStyle w:val="Compact"/>
      </w:pPr>
      <w:r>
        <w:rPr>
          <w:bCs/>
          <w:b/>
        </w:rPr>
        <w:t xml:space="preserve">1895</w:t>
      </w:r>
      <w:r>
        <w:t xml:space="preserve"> </w:t>
      </w:r>
      <w:r>
        <w:t xml:space="preserve">— la conquête gagnée par les moustiques</w:t>
      </w:r>
    </w:p>
    <w:bookmarkEnd w:id="28"/>
    <w:bookmarkStart w:id="29" w:name="saison-4-madagascar-française-5-épisodes"/>
    <w:p>
      <w:pPr>
        <w:pStyle w:val="Heading2"/>
      </w:pPr>
      <w:r>
        <w:t xml:space="preserve">Saison 4 — Madagascar française (5 épisodes)</w:t>
      </w:r>
    </w:p>
    <w:p>
      <w:pPr>
        <w:numPr>
          <w:ilvl w:val="0"/>
          <w:numId w:val="1005"/>
        </w:numPr>
        <w:pStyle w:val="Compact"/>
      </w:pPr>
      <w:r>
        <w:rPr>
          <w:bCs/>
          <w:b/>
        </w:rPr>
        <w:t xml:space="preserve">Les Menalamba</w:t>
      </w:r>
      <w:r>
        <w:t xml:space="preserve"> </w:t>
      </w:r>
      <w:r>
        <w:t xml:space="preserve">— la résistance qui n’a jamais figuré dans les manuels</w:t>
      </w:r>
    </w:p>
    <w:p>
      <w:pPr>
        <w:numPr>
          <w:ilvl w:val="0"/>
          <w:numId w:val="1005"/>
        </w:numPr>
        <w:pStyle w:val="Compact"/>
      </w:pPr>
      <w:r>
        <w:rPr>
          <w:bCs/>
          <w:b/>
        </w:rPr>
        <w:t xml:space="preserve">Gallieni et la fabrique des ethnies</w:t>
      </w:r>
      <w:r>
        <w:t xml:space="preserve"> </w:t>
      </w:r>
      <w:r>
        <w:t xml:space="preserve">— comment une administration invente des peuples</w:t>
      </w:r>
    </w:p>
    <w:p>
      <w:pPr>
        <w:numPr>
          <w:ilvl w:val="0"/>
          <w:numId w:val="1005"/>
        </w:numPr>
        <w:pStyle w:val="Compact"/>
      </w:pPr>
      <w:r>
        <w:rPr>
          <w:bCs/>
          <w:b/>
        </w:rPr>
        <w:t xml:space="preserve">Le travail forcé</w:t>
      </w:r>
      <w:r>
        <w:t xml:space="preserve"> </w:t>
      </w:r>
      <w:r>
        <w:t xml:space="preserve">— du fanompoana royal au SMOTIG colonial, la continuité gênante</w:t>
      </w:r>
    </w:p>
    <w:p>
      <w:pPr>
        <w:numPr>
          <w:ilvl w:val="0"/>
          <w:numId w:val="1005"/>
        </w:numPr>
        <w:pStyle w:val="Compact"/>
      </w:pPr>
      <w:r>
        <w:rPr>
          <w:bCs/>
          <w:b/>
        </w:rPr>
        <w:t xml:space="preserve">1947</w:t>
      </w:r>
      <w:r>
        <w:t xml:space="preserve"> </w:t>
      </w:r>
      <w:r>
        <w:t xml:space="preserve">— l’insurrection, et la bataille des chiffres qui dure encore</w:t>
      </w:r>
    </w:p>
    <w:p>
      <w:pPr>
        <w:numPr>
          <w:ilvl w:val="0"/>
          <w:numId w:val="1005"/>
        </w:numPr>
        <w:pStyle w:val="Compact"/>
      </w:pPr>
      <w:r>
        <w:rPr>
          <w:bCs/>
          <w:b/>
        </w:rPr>
        <w:t xml:space="preserve">26 juin 1960</w:t>
      </w:r>
      <w:r>
        <w:t xml:space="preserve"> </w:t>
      </w:r>
      <w:r>
        <w:t xml:space="preserve">— une indépendance négociée</w:t>
      </w:r>
    </w:p>
    <w:bookmarkEnd w:id="29"/>
    <w:bookmarkStart w:id="30" w:name="saison-5-lindépendance-5-épisodes"/>
    <w:p>
      <w:pPr>
        <w:pStyle w:val="Heading2"/>
      </w:pPr>
      <w:r>
        <w:t xml:space="preserve">Saison 5 — L’indépendance (5 épisodes)</w:t>
      </w:r>
    </w:p>
    <w:p>
      <w:pPr>
        <w:numPr>
          <w:ilvl w:val="0"/>
          <w:numId w:val="1006"/>
        </w:numPr>
        <w:pStyle w:val="Compact"/>
      </w:pPr>
      <w:r>
        <w:rPr>
          <w:bCs/>
          <w:b/>
        </w:rPr>
        <w:t xml:space="preserve">Tsiranana</w:t>
      </w:r>
      <w:r>
        <w:t xml:space="preserve"> </w:t>
      </w:r>
      <w:r>
        <w:t xml:space="preserve">— la République qui parlait français</w:t>
      </w:r>
    </w:p>
    <w:p>
      <w:pPr>
        <w:numPr>
          <w:ilvl w:val="0"/>
          <w:numId w:val="1006"/>
        </w:numPr>
        <w:pStyle w:val="Compact"/>
      </w:pPr>
      <w:r>
        <w:rPr>
          <w:bCs/>
          <w:b/>
        </w:rPr>
        <w:t xml:space="preserve">1972</w:t>
      </w:r>
      <w:r>
        <w:t xml:space="preserve"> </w:t>
      </w:r>
      <w:r>
        <w:t xml:space="preserve">— la révolution des étudiants</w:t>
      </w:r>
    </w:p>
    <w:p>
      <w:pPr>
        <w:numPr>
          <w:ilvl w:val="0"/>
          <w:numId w:val="1006"/>
        </w:numPr>
        <w:pStyle w:val="Compact"/>
      </w:pPr>
      <w:r>
        <w:rPr>
          <w:bCs/>
          <w:b/>
        </w:rPr>
        <w:t xml:space="preserve">Six jours</w:t>
      </w:r>
      <w:r>
        <w:t xml:space="preserve"> </w:t>
      </w:r>
      <w:r>
        <w:t xml:space="preserve">— l’assassinat de Ratsimandrava, le mystère jamais résolu</w:t>
      </w:r>
    </w:p>
    <w:p>
      <w:pPr>
        <w:numPr>
          <w:ilvl w:val="0"/>
          <w:numId w:val="1006"/>
        </w:numPr>
        <w:pStyle w:val="Compact"/>
      </w:pPr>
      <w:r>
        <w:rPr>
          <w:bCs/>
          <w:b/>
        </w:rPr>
        <w:t xml:space="preserve">Ratsiraka et le Livre rouge</w:t>
      </w:r>
      <w:r>
        <w:t xml:space="preserve"> </w:t>
      </w:r>
      <w:r>
        <w:t xml:space="preserve">— Madagascar socialiste</w:t>
      </w:r>
    </w:p>
    <w:p>
      <w:pPr>
        <w:numPr>
          <w:ilvl w:val="0"/>
          <w:numId w:val="1006"/>
        </w:numPr>
        <w:pStyle w:val="Compact"/>
      </w:pPr>
      <w:r>
        <w:rPr>
          <w:bCs/>
          <w:b/>
        </w:rPr>
        <w:t xml:space="preserve">Ravalomanana, Daewoo, et la chute</w:t>
      </w:r>
      <w:r>
        <w:t xml:space="preserve"> </w:t>
      </w:r>
      <w:r>
        <w:t xml:space="preserve">— 2002, 2009</w:t>
      </w:r>
    </w:p>
    <w:bookmarkEnd w:id="30"/>
    <w:bookmarkStart w:id="31" w:name="X86d2e5fd1e43accffe39920037e98f4ec2399ea"/>
    <w:p>
      <w:pPr>
        <w:pStyle w:val="Heading2"/>
      </w:pPr>
      <w:r>
        <w:t xml:space="preserve">Saison 6 — Madagascar aujourd’hui (5 épisodes)</w:t>
      </w:r>
    </w:p>
    <w:p>
      <w:pPr>
        <w:numPr>
          <w:ilvl w:val="0"/>
          <w:numId w:val="1007"/>
        </w:numPr>
        <w:pStyle w:val="Compact"/>
      </w:pPr>
      <w:r>
        <w:rPr>
          <w:bCs/>
          <w:b/>
        </w:rPr>
        <w:t xml:space="preserve">La décennie perdue</w:t>
      </w:r>
      <w:r>
        <w:t xml:space="preserve"> </w:t>
      </w:r>
      <w:r>
        <w:t xml:space="preserve">— transition, bois de rose, appauvrissement</w:t>
      </w:r>
    </w:p>
    <w:p>
      <w:pPr>
        <w:numPr>
          <w:ilvl w:val="0"/>
          <w:numId w:val="1007"/>
        </w:numPr>
        <w:pStyle w:val="Compact"/>
      </w:pPr>
      <w:r>
        <w:rPr>
          <w:bCs/>
          <w:b/>
        </w:rPr>
        <w:t xml:space="preserve">Le kere</w:t>
      </w:r>
      <w:r>
        <w:t xml:space="preserve"> </w:t>
      </w:r>
      <w:r>
        <w:t xml:space="preserve">— la famine du Sud et le débat sur le climat</w:t>
      </w:r>
    </w:p>
    <w:p>
      <w:pPr>
        <w:numPr>
          <w:ilvl w:val="0"/>
          <w:numId w:val="1007"/>
        </w:numPr>
        <w:pStyle w:val="Compact"/>
      </w:pPr>
      <w:r>
        <w:rPr>
          <w:bCs/>
          <w:b/>
        </w:rPr>
        <w:t xml:space="preserve">2023</w:t>
      </w:r>
      <w:r>
        <w:t xml:space="preserve"> </w:t>
      </w:r>
      <w:r>
        <w:t xml:space="preserve">— une élection sans adversaires</w:t>
      </w:r>
    </w:p>
    <w:p>
      <w:pPr>
        <w:numPr>
          <w:ilvl w:val="0"/>
          <w:numId w:val="1007"/>
        </w:numPr>
        <w:pStyle w:val="Compact"/>
      </w:pPr>
      <w:r>
        <w:rPr>
          <w:bCs/>
          <w:b/>
        </w:rPr>
        <w:t xml:space="preserve">Septembre 2025</w:t>
      </w:r>
      <w:r>
        <w:t xml:space="preserve"> </w:t>
      </w:r>
      <w:r>
        <w:t xml:space="preserve">— la Gen Z, le drapeau de One Piece et la chute</w:t>
      </w:r>
    </w:p>
    <w:p>
      <w:pPr>
        <w:numPr>
          <w:ilvl w:val="0"/>
          <w:numId w:val="1007"/>
        </w:numPr>
        <w:pStyle w:val="Compact"/>
      </w:pPr>
      <w:r>
        <w:rPr>
          <w:bCs/>
          <w:b/>
        </w:rPr>
        <w:t xml:space="preserve">Madagascar 2026</w:t>
      </w:r>
      <w:r>
        <w:t xml:space="preserve"> </w:t>
      </w:r>
      <w:r>
        <w:t xml:space="preserve">— où va la Refondation ?</w:t>
      </w:r>
    </w:p>
    <w:bookmarkEnd w:id="31"/>
    <w:bookmarkStart w:id="32" w:name="X33c70e50d537f665c5147584e2320a1654a2998"/>
    <w:p>
      <w:pPr>
        <w:pStyle w:val="Heading2"/>
      </w:pPr>
      <w:r>
        <w:t xml:space="preserve">Les trois corrections apportées au plan de départ</w:t>
      </w:r>
    </w:p>
    <w:p>
      <w:pPr>
        <w:pStyle w:val="FirstParagraph"/>
      </w:pPr>
      <w:r>
        <w:rPr>
          <w:bCs/>
          <w:b/>
        </w:rPr>
        <w:t xml:space="preserve">1. Le débat sur le peuplement devient un épisode entier (ép. 2).</w:t>
      </w:r>
      <w:r>
        <w:t xml:space="preserve"> </w:t>
      </w:r>
      <w:r>
        <w:t xml:space="preserve">Dans le plan de départ, il était noyé dans « Les premiers hommes ». C’est pourtant le meilleur sujet de toute la saison 1 : un os, une entaille, et deux camps de scientifiques qui s’accusent mutuellement d’erreur méthodologique. C’est du récit policier.</w:t>
      </w:r>
    </w:p>
    <w:p>
      <w:pPr>
        <w:pStyle w:val="BodyText"/>
      </w:pPr>
      <w:r>
        <w:rPr>
          <w:bCs/>
          <w:b/>
        </w:rPr>
        <w:t xml:space="preserve">2. Un épisode « travail forcé » traverse les périodes (ép. 18).</w:t>
      </w:r>
      <w:r>
        <w:t xml:space="preserve"> </w:t>
      </w:r>
      <w:r>
        <w:t xml:space="preserve">Le fanompoana d’Andrianampoinimerina et le SMOTIG de 1926 sont racontés séparément dans le plan initial, ce qui masque le fait le plus dérangeant de l’histoire malgache : l’administration coloniale a réutilisé une institution royale préexistante. C’est exactement le genre de continuité qu’un podcast peut montrer et qu’un manuel ne montre jamais.</w:t>
      </w:r>
    </w:p>
    <w:p>
      <w:pPr>
        <w:pStyle w:val="BodyText"/>
      </w:pPr>
      <w:r>
        <w:rPr>
          <w:bCs/>
          <w:b/>
        </w:rPr>
        <w:t xml:space="preserve">3. Jean Laborde et Mantasoa obtiennent leur épisode (ép. 13).</w:t>
      </w:r>
      <w:r>
        <w:t xml:space="preserve"> </w:t>
      </w:r>
      <w:r>
        <w:t xml:space="preserve">Un naufragé français qui construit des hauts fourneaux, une verrerie et une fabrique de canons pour une reine qui refuse l’Europe : c’est le meilleur paradoxe de tout le XIXe siècle malgache, et le plus visuel.</w:t>
      </w:r>
    </w:p>
    <w:bookmarkEnd w:id="32"/>
    <w:bookmarkEnd w:id="33"/>
    <w:bookmarkStart w:id="45" w:name="période-1-des-origines-au-xe-siècle"/>
    <w:p>
      <w:pPr>
        <w:pStyle w:val="Heading1"/>
      </w:pPr>
      <w:r>
        <w:t xml:space="preserve">PÉRIODE 1 — Des origines au Xe siècle</w:t>
      </w:r>
    </w:p>
    <w:p>
      <w:pPr>
        <w:pStyle w:val="FirstParagraph"/>
      </w:pPr>
      <w:r>
        <w:rPr>
          <w:iCs/>
          <w:i/>
        </w:rPr>
        <w:t xml:space="preserve">Épisodes 1 à 5</w:t>
      </w:r>
    </w:p>
    <w:bookmarkStart w:id="34" w:name="chronologie"/>
    <w:p>
      <w:pPr>
        <w:pStyle w:val="Heading2"/>
      </w:pPr>
      <w:r>
        <w:t xml:space="preserve">Chronologie</w:t>
      </w:r>
    </w:p>
    <w:p>
      <w:pPr>
        <w:numPr>
          <w:ilvl w:val="0"/>
          <w:numId w:val="1008"/>
        </w:numPr>
        <w:pStyle w:val="Compact"/>
      </w:pPr>
      <w:r>
        <w:rPr>
          <w:bCs/>
          <w:b/>
        </w:rPr>
        <w:t xml:space="preserve">~160 millions d’années</w:t>
      </w:r>
      <w:r>
        <w:t xml:space="preserve"> </w:t>
      </w:r>
      <w:r>
        <w:t xml:space="preserve">— Madagascar, encore soudé à l’Inde, aux Seychelles et à l’Antarctique, se sépare de l’Afrique le long de la ride de Davie.</w:t>
      </w:r>
      <w:r>
        <w:t xml:space="preserve"> </w:t>
      </w:r>
      <w:r>
        <w:rPr>
          <w:bCs/>
          <w:b/>
        </w:rPr>
        <w:t xml:space="preserve">[SÛR]</w:t>
      </w:r>
    </w:p>
    <w:p>
      <w:pPr>
        <w:numPr>
          <w:ilvl w:val="0"/>
          <w:numId w:val="1008"/>
        </w:numPr>
        <w:pStyle w:val="Compact"/>
      </w:pPr>
      <w:r>
        <w:rPr>
          <w:bCs/>
          <w:b/>
        </w:rPr>
        <w:t xml:space="preserve">~88-84 millions d’années</w:t>
      </w:r>
      <w:r>
        <w:t xml:space="preserve"> </w:t>
      </w:r>
      <w:r>
        <w:t xml:space="preserve">— Rupture finale avec le bloc Inde-Seychelles. L’île devient un laboratoire d’évolution isolé : près de 90 % d’endémisme végétal, radiation des lémuriens, des tenrecs, des caméléons.</w:t>
      </w:r>
      <w:r>
        <w:t xml:space="preserve"> </w:t>
      </w:r>
      <w:r>
        <w:rPr>
          <w:bCs/>
          <w:b/>
        </w:rPr>
        <w:t xml:space="preserve">[SÛR]</w:t>
      </w:r>
    </w:p>
    <w:p>
      <w:pPr>
        <w:numPr>
          <w:ilvl w:val="0"/>
          <w:numId w:val="1008"/>
        </w:numPr>
        <w:pStyle w:val="Compact"/>
      </w:pPr>
      <w:r>
        <w:rPr>
          <w:bCs/>
          <w:b/>
        </w:rPr>
        <w:t xml:space="preserve">~10 500 BP</w:t>
      </w:r>
      <w:r>
        <w:t xml:space="preserve"> </w:t>
      </w:r>
      <w:r>
        <w:t xml:space="preserve">— Os d’</w:t>
      </w:r>
      <w:r>
        <w:rPr>
          <w:iCs/>
          <w:i/>
        </w:rPr>
        <w:t xml:space="preserve">Aepyornis</w:t>
      </w:r>
      <w:r>
        <w:t xml:space="preserve"> </w:t>
      </w:r>
      <w:r>
        <w:t xml:space="preserve">et de</w:t>
      </w:r>
      <w:r>
        <w:t xml:space="preserve"> </w:t>
      </w:r>
      <w:r>
        <w:rPr>
          <w:iCs/>
          <w:i/>
        </w:rPr>
        <w:t xml:space="preserve">Mullerornis</w:t>
      </w:r>
      <w:r>
        <w:t xml:space="preserve"> </w:t>
      </w:r>
      <w:r>
        <w:t xml:space="preserve">portant des marques de découpe et des fractures d’impact, site de Christmas River / Lamboharana (sud-centre). Datés au radiocarbone dans trois laboratoires indépendants. Hansford</w:t>
      </w:r>
      <w:r>
        <w:t xml:space="preserve"> </w:t>
      </w:r>
      <w:r>
        <w:rPr>
          <w:iCs/>
          <w:i/>
        </w:rPr>
        <w:t xml:space="preserve">et al.</w:t>
      </w:r>
      <w:r>
        <w:t xml:space="preserve">,</w:t>
      </w:r>
      <w:r>
        <w:t xml:space="preserve"> </w:t>
      </w:r>
      <w:r>
        <w:rPr>
          <w:iCs/>
          <w:i/>
        </w:rPr>
        <w:t xml:space="preserve">Science Advances</w:t>
      </w:r>
      <w:r>
        <w:t xml:space="preserve">, 2018.</w:t>
      </w:r>
      <w:r>
        <w:t xml:space="preserve"> </w:t>
      </w:r>
      <w:r>
        <w:rPr>
          <w:bCs/>
          <w:b/>
        </w:rPr>
        <w:t xml:space="preserve">[CONTROVERSÉ]</w:t>
      </w:r>
    </w:p>
    <w:p>
      <w:pPr>
        <w:numPr>
          <w:ilvl w:val="0"/>
          <w:numId w:val="1008"/>
        </w:numPr>
        <w:pStyle w:val="Compact"/>
      </w:pPr>
      <w:r>
        <w:rPr>
          <w:bCs/>
          <w:b/>
        </w:rPr>
        <w:t xml:space="preserve">~2000 BP</w:t>
      </w:r>
      <w:r>
        <w:t xml:space="preserve"> </w:t>
      </w:r>
      <w:r>
        <w:t xml:space="preserve">— Os d’hippopotame subfossile avec marque de découpe à Taolambiby (Sud-Ouest). Gommery</w:t>
      </w:r>
      <w:r>
        <w:t xml:space="preserve"> </w:t>
      </w:r>
      <w:r>
        <w:rPr>
          <w:iCs/>
          <w:i/>
        </w:rPr>
        <w:t xml:space="preserve">et al.</w:t>
      </w:r>
      <w:r>
        <w:t xml:space="preserve">, 2011.</w:t>
      </w:r>
      <w:r>
        <w:t xml:space="preserve"> </w:t>
      </w:r>
      <w:r>
        <w:rPr>
          <w:bCs/>
          <w:b/>
        </w:rPr>
        <w:t xml:space="preserve">[CONTROVERSÉ]</w:t>
      </w:r>
    </w:p>
    <w:p>
      <w:pPr>
        <w:numPr>
          <w:ilvl w:val="0"/>
          <w:numId w:val="1008"/>
        </w:numPr>
        <w:pStyle w:val="Compact"/>
      </w:pPr>
      <w:r>
        <w:rPr>
          <w:bCs/>
          <w:b/>
        </w:rPr>
        <w:t xml:space="preserve">Ier millénaire av. J.-C. – Ier millénaire apr. J.-C.</w:t>
      </w:r>
      <w:r>
        <w:t xml:space="preserve"> </w:t>
      </w:r>
      <w:r>
        <w:t xml:space="preserve">— Présences sporadiques probables de groupes chasseurs-pêcheurs-cueilleurs sur les côtes et dans le Nord (Lakaton’i Anja). Densité très faible, pas de structures agricoles.</w:t>
      </w:r>
      <w:r>
        <w:t xml:space="preserve"> </w:t>
      </w:r>
      <w:r>
        <w:rPr>
          <w:bCs/>
          <w:b/>
        </w:rPr>
        <w:t xml:space="preserve">[PROBABLE]</w:t>
      </w:r>
    </w:p>
    <w:p>
      <w:pPr>
        <w:numPr>
          <w:ilvl w:val="0"/>
          <w:numId w:val="1008"/>
        </w:numPr>
        <w:pStyle w:val="Compact"/>
      </w:pPr>
      <w:r>
        <w:rPr>
          <w:bCs/>
          <w:b/>
        </w:rPr>
        <w:t xml:space="preserve">VIIe-Xe siècle</w:t>
      </w:r>
      <w:r>
        <w:t xml:space="preserve"> </w:t>
      </w:r>
      <w:r>
        <w:t xml:space="preserve">— Fenêtre estimée par la génomique (Pierron</w:t>
      </w:r>
      <w:r>
        <w:t xml:space="preserve"> </w:t>
      </w:r>
      <w:r>
        <w:rPr>
          <w:iCs/>
          <w:i/>
        </w:rPr>
        <w:t xml:space="preserve">et al.</w:t>
      </w:r>
      <w:r>
        <w:t xml:space="preserve">, PNAS 2017) pour le métissage austronésien-bantou fondateur de la population malgache actuelle.</w:t>
      </w:r>
      <w:r>
        <w:t xml:space="preserve"> </w:t>
      </w:r>
      <w:r>
        <w:rPr>
          <w:bCs/>
          <w:b/>
        </w:rPr>
        <w:t xml:space="preserve">[PROBABLE]</w:t>
      </w:r>
    </w:p>
    <w:p>
      <w:pPr>
        <w:numPr>
          <w:ilvl w:val="0"/>
          <w:numId w:val="1008"/>
        </w:numPr>
        <w:pStyle w:val="Compact"/>
      </w:pPr>
      <w:r>
        <w:rPr>
          <w:bCs/>
          <w:b/>
        </w:rPr>
        <w:t xml:space="preserve">VIIe-XIe siècle</w:t>
      </w:r>
      <w:r>
        <w:t xml:space="preserve"> </w:t>
      </w:r>
      <w:r>
        <w:t xml:space="preserve">— Riz asiatique, banane, taro et igname attestés dans les assemblages archéobotaniques de Madagascar et des Comores. Première signature matérielle de l’expansion austronésienne vers l’ouest de l’océan Indien (Crowther</w:t>
      </w:r>
      <w:r>
        <w:t xml:space="preserve"> </w:t>
      </w:r>
      <w:r>
        <w:rPr>
          <w:iCs/>
          <w:i/>
        </w:rPr>
        <w:t xml:space="preserve">et al.</w:t>
      </w:r>
      <w:r>
        <w:t xml:space="preserve">, PNAS 2016).</w:t>
      </w:r>
      <w:r>
        <w:t xml:space="preserve"> </w:t>
      </w:r>
      <w:r>
        <w:rPr>
          <w:bCs/>
          <w:b/>
        </w:rPr>
        <w:t xml:space="preserve">[SÛR]</w:t>
      </w:r>
      <w:r>
        <w:t xml:space="preserve"> </w:t>
      </w:r>
      <w:r>
        <w:t xml:space="preserve">pour la présence des cultigènes ;</w:t>
      </w:r>
      <w:r>
        <w:t xml:space="preserve"> </w:t>
      </w:r>
      <w:r>
        <w:rPr>
          <w:bCs/>
          <w:b/>
        </w:rPr>
        <w:t xml:space="preserve">[PROBABLE]</w:t>
      </w:r>
      <w:r>
        <w:t xml:space="preserve"> </w:t>
      </w:r>
      <w:r>
        <w:t xml:space="preserve">pour le lien avec la première vague de peuplement.</w:t>
      </w:r>
    </w:p>
    <w:p>
      <w:pPr>
        <w:numPr>
          <w:ilvl w:val="0"/>
          <w:numId w:val="1008"/>
        </w:numPr>
        <w:pStyle w:val="Compact"/>
      </w:pPr>
      <w:r>
        <w:rPr>
          <w:bCs/>
          <w:b/>
        </w:rPr>
        <w:t xml:space="preserve">IXe-Xe siècle</w:t>
      </w:r>
      <w:r>
        <w:t xml:space="preserve"> </w:t>
      </w:r>
      <w:r>
        <w:t xml:space="preserve">— Occupation d’Irodo (Nord-Est) : habitat, poterie, travail du fer. Un des ensembles les mieux datés d’un peuplement agricole précoce.</w:t>
      </w:r>
      <w:r>
        <w:t xml:space="preserve"> </w:t>
      </w:r>
      <w:r>
        <w:rPr>
          <w:bCs/>
          <w:b/>
        </w:rPr>
        <w:t xml:space="preserve">[SÛR]</w:t>
      </w:r>
    </w:p>
    <w:p>
      <w:pPr>
        <w:numPr>
          <w:ilvl w:val="0"/>
          <w:numId w:val="1008"/>
        </w:numPr>
        <w:pStyle w:val="Compact"/>
      </w:pPr>
      <w:r>
        <w:rPr>
          <w:bCs/>
          <w:b/>
        </w:rPr>
        <w:t xml:space="preserve">Xe-XIe siècle</w:t>
      </w:r>
      <w:r>
        <w:t xml:space="preserve"> </w:t>
      </w:r>
      <w:r>
        <w:t xml:space="preserve">— Peuplement de Talaky (embouchure du Manambovo, Sud) : coquilles d’œufs d’</w:t>
      </w:r>
      <w:r>
        <w:rPr>
          <w:iCs/>
          <w:i/>
        </w:rPr>
        <w:t xml:space="preserve">Aepyornis</w:t>
      </w:r>
      <w:r>
        <w:t xml:space="preserve"> </w:t>
      </w:r>
      <w:r>
        <w:t xml:space="preserve">mêlées à des tessons, pêche à la ligne.</w:t>
      </w:r>
      <w:r>
        <w:t xml:space="preserve"> </w:t>
      </w:r>
      <w:r>
        <w:rPr>
          <w:bCs/>
          <w:b/>
        </w:rPr>
        <w:t xml:space="preserve">[SÛR]</w:t>
      </w:r>
    </w:p>
    <w:p>
      <w:pPr>
        <w:numPr>
          <w:ilvl w:val="0"/>
          <w:numId w:val="1008"/>
        </w:numPr>
        <w:pStyle w:val="Compact"/>
      </w:pPr>
      <w:r>
        <w:rPr>
          <w:bCs/>
          <w:b/>
        </w:rPr>
        <w:t xml:space="preserve">~1000</w:t>
      </w:r>
      <w:r>
        <w:t xml:space="preserve"> </w:t>
      </w:r>
      <w:r>
        <w:t xml:space="preserve">— Seuil retenu par le courant « prudent » de l’archéologie (Mitchell 2019, Anderson</w:t>
      </w:r>
      <w:r>
        <w:t xml:space="preserve"> </w:t>
      </w:r>
      <w:r>
        <w:rPr>
          <w:iCs/>
          <w:i/>
        </w:rPr>
        <w:t xml:space="preserve">et al.</w:t>
      </w:r>
      <w:r>
        <w:t xml:space="preserve"> </w:t>
      </w:r>
      <w:r>
        <w:t xml:space="preserve">2018) pour une occupation permanente, agricole et démographiquement visible sur l’ensemble de l’île.</w:t>
      </w:r>
      <w:r>
        <w:t xml:space="preserve"> </w:t>
      </w:r>
      <w:r>
        <w:rPr>
          <w:bCs/>
          <w:b/>
        </w:rPr>
        <w:t xml:space="preserve">[PROBABLE]</w:t>
      </w:r>
    </w:p>
    <w:p>
      <w:pPr>
        <w:numPr>
          <w:ilvl w:val="0"/>
          <w:numId w:val="1008"/>
        </w:numPr>
        <w:pStyle w:val="Compact"/>
      </w:pPr>
      <w:r>
        <w:rPr>
          <w:bCs/>
          <w:b/>
        </w:rPr>
        <w:t xml:space="preserve">VIIIe-XVIe siècle</w:t>
      </w:r>
      <w:r>
        <w:t xml:space="preserve"> </w:t>
      </w:r>
      <w:r>
        <w:t xml:space="preserve">— Extinction progressive de la mégafaune :</w:t>
      </w:r>
      <w:r>
        <w:t xml:space="preserve"> </w:t>
      </w:r>
      <w:r>
        <w:rPr>
          <w:iCs/>
          <w:i/>
        </w:rPr>
        <w:t xml:space="preserve">Aepyornis</w:t>
      </w:r>
      <w:r>
        <w:t xml:space="preserve">, hippopotames nains, lémuriens géants.</w:t>
      </w:r>
      <w:r>
        <w:t xml:space="preserve"> </w:t>
      </w:r>
      <w:r>
        <w:rPr>
          <w:bCs/>
          <w:b/>
        </w:rPr>
        <w:t xml:space="preserve">[SÛR]</w:t>
      </w:r>
    </w:p>
    <w:bookmarkEnd w:id="34"/>
    <w:bookmarkStart w:id="35" w:name="personnages-chercheurs-pas-rois"/>
    <w:p>
      <w:pPr>
        <w:pStyle w:val="Heading2"/>
      </w:pPr>
      <w:r>
        <w:t xml:space="preserve">Personnages (chercheurs, pas rois)</w:t>
      </w:r>
    </w:p>
    <w:p>
      <w:pPr>
        <w:pStyle w:val="FirstParagraph"/>
      </w:pPr>
      <w:r>
        <w:t xml:space="preserve">Cette période n’a pas de personnages historiques.</w:t>
      </w:r>
      <w:r>
        <w:t xml:space="preserve"> </w:t>
      </w:r>
      <w:r>
        <w:rPr>
          <w:bCs/>
          <w:b/>
        </w:rPr>
        <w:t xml:space="preserve">Ses personnages sont les chercheurs qui s’affrontent</w:t>
      </w:r>
      <w:r>
        <w:t xml:space="preserve"> </w:t>
      </w:r>
      <w:r>
        <w:t xml:space="preserve">— et c’est ce qui la rend racontable.</w:t>
      </w:r>
    </w:p>
    <w:p>
      <w:pPr>
        <w:numPr>
          <w:ilvl w:val="0"/>
          <w:numId w:val="1009"/>
        </w:numPr>
        <w:pStyle w:val="Compact"/>
      </w:pPr>
      <w:r>
        <w:rPr>
          <w:bCs/>
          <w:b/>
        </w:rPr>
        <w:t xml:space="preserve">James Hansford</w:t>
      </w:r>
      <w:r>
        <w:t xml:space="preserve"> </w:t>
      </w:r>
      <w:r>
        <w:t xml:space="preserve">(Zoological Society of London) — auteur principal de l’étude de 2018 sur Christmas River, défenseur de la présence humaine à 10 500 BP.</w:t>
      </w:r>
    </w:p>
    <w:p>
      <w:pPr>
        <w:numPr>
          <w:ilvl w:val="0"/>
          <w:numId w:val="1009"/>
        </w:numPr>
        <w:pStyle w:val="Compact"/>
      </w:pPr>
      <w:r>
        <w:rPr>
          <w:bCs/>
          <w:b/>
        </w:rPr>
        <w:t xml:space="preserve">Samuel Turvey</w:t>
      </w:r>
      <w:r>
        <w:t xml:space="preserve"> </w:t>
      </w:r>
      <w:r>
        <w:t xml:space="preserve">(ZSL) — coauteur, a défendu point par point la robustesse de la datation face aux critiques (réponse de 2020).</w:t>
      </w:r>
    </w:p>
    <w:p>
      <w:pPr>
        <w:numPr>
          <w:ilvl w:val="0"/>
          <w:numId w:val="1009"/>
        </w:numPr>
        <w:pStyle w:val="Compact"/>
      </w:pPr>
      <w:r>
        <w:rPr>
          <w:bCs/>
          <w:b/>
        </w:rPr>
        <w:t xml:space="preserve">Peter Mitchell</w:t>
      </w:r>
      <w:r>
        <w:t xml:space="preserve"> </w:t>
      </w:r>
      <w:r>
        <w:t xml:space="preserve">(Oxford) — auteur de la révision critique des datations radiocarbone (</w:t>
      </w:r>
      <w:r>
        <w:rPr>
          <w:iCs/>
          <w:i/>
        </w:rPr>
        <w:t xml:space="preserve">Quaternary Science Reviews</w:t>
      </w:r>
      <w:r>
        <w:t xml:space="preserve">, 2019), chef de file du camp « prudent ».</w:t>
      </w:r>
    </w:p>
    <w:p>
      <w:pPr>
        <w:numPr>
          <w:ilvl w:val="0"/>
          <w:numId w:val="1009"/>
        </w:numPr>
        <w:pStyle w:val="Compact"/>
      </w:pPr>
      <w:r>
        <w:rPr>
          <w:bCs/>
          <w:b/>
        </w:rPr>
        <w:t xml:space="preserve">Atholl Anderson</w:t>
      </w:r>
      <w:r>
        <w:t xml:space="preserve"> </w:t>
      </w:r>
      <w:r>
        <w:t xml:space="preserve">— plaide pour une colonisation tardive, autour de l’an 1000 ; suggère que les marques pourraient être d’origine non humaine (taphonomie, outils de fouille modernes).</w:t>
      </w:r>
    </w:p>
    <w:p>
      <w:pPr>
        <w:numPr>
          <w:ilvl w:val="0"/>
          <w:numId w:val="1009"/>
        </w:numPr>
        <w:pStyle w:val="Compact"/>
      </w:pPr>
      <w:r>
        <w:rPr>
          <w:bCs/>
          <w:b/>
        </w:rPr>
        <w:t xml:space="preserve">Alexander Adelaar</w:t>
      </w:r>
      <w:r>
        <w:t xml:space="preserve"> </w:t>
      </w:r>
      <w:r>
        <w:t xml:space="preserve">(Melbourne) — a établi le rattachement du malgache aux langues barito du sud de Bornéo, en particulier le ma’anyan.</w:t>
      </w:r>
    </w:p>
    <w:p>
      <w:pPr>
        <w:numPr>
          <w:ilvl w:val="0"/>
          <w:numId w:val="1009"/>
        </w:numPr>
        <w:pStyle w:val="Compact"/>
      </w:pPr>
      <w:r>
        <w:rPr>
          <w:bCs/>
          <w:b/>
        </w:rPr>
        <w:t xml:space="preserve">Otto Christian Dahl</w:t>
      </w:r>
      <w:r>
        <w:t xml:space="preserve"> </w:t>
      </w:r>
      <w:r>
        <w:t xml:space="preserve">— linguiste norvégien, a identifié le lien malgache-barito dès 1951.</w:t>
      </w:r>
    </w:p>
    <w:p>
      <w:pPr>
        <w:numPr>
          <w:ilvl w:val="0"/>
          <w:numId w:val="1009"/>
        </w:numPr>
        <w:pStyle w:val="Compact"/>
      </w:pPr>
      <w:r>
        <w:rPr>
          <w:bCs/>
          <w:b/>
        </w:rPr>
        <w:t xml:space="preserve">Murray Cox</w:t>
      </w:r>
      <w:r>
        <w:t xml:space="preserve"> </w:t>
      </w:r>
      <w:r>
        <w:t xml:space="preserve">— auteur de l’étude de 2012 sur les « trente femmes fondatrices ».</w:t>
      </w:r>
    </w:p>
    <w:p>
      <w:pPr>
        <w:numPr>
          <w:ilvl w:val="0"/>
          <w:numId w:val="1009"/>
        </w:numPr>
        <w:pStyle w:val="Compact"/>
      </w:pPr>
      <w:r>
        <w:rPr>
          <w:bCs/>
          <w:b/>
        </w:rPr>
        <w:t xml:space="preserve">Denis Pierron</w:t>
      </w:r>
      <w:r>
        <w:t xml:space="preserve"> </w:t>
      </w:r>
      <w:r>
        <w:t xml:space="preserve">— auteur de l’étude génomique de référence (PNAS, 2017).</w:t>
      </w:r>
    </w:p>
    <w:p>
      <w:pPr>
        <w:numPr>
          <w:ilvl w:val="0"/>
          <w:numId w:val="1009"/>
        </w:numPr>
        <w:pStyle w:val="Compact"/>
      </w:pPr>
      <w:r>
        <w:rPr>
          <w:bCs/>
          <w:b/>
        </w:rPr>
        <w:t xml:space="preserve">Alison Crowther / Nicole Boivin</w:t>
      </w:r>
      <w:r>
        <w:t xml:space="preserve"> </w:t>
      </w:r>
      <w:r>
        <w:t xml:space="preserve">— archéobotanistes, étude de 2016 sur les cultigènes austronésiens.</w:t>
      </w:r>
    </w:p>
    <w:p>
      <w:pPr>
        <w:numPr>
          <w:ilvl w:val="0"/>
          <w:numId w:val="1009"/>
        </w:numPr>
        <w:pStyle w:val="Compact"/>
      </w:pPr>
      <w:r>
        <w:rPr>
          <w:bCs/>
          <w:b/>
        </w:rPr>
        <w:t xml:space="preserve">Philippe Beaujard</w:t>
      </w:r>
      <w:r>
        <w:t xml:space="preserve"> </w:t>
      </w:r>
      <w:r>
        <w:t xml:space="preserve">— historien des réseaux d’échange de l’océan Indien ; défend l’idée d’une arrivée par étapes plutôt que par traversée directe.</w:t>
      </w:r>
    </w:p>
    <w:p>
      <w:pPr>
        <w:numPr>
          <w:ilvl w:val="0"/>
          <w:numId w:val="1009"/>
        </w:numPr>
        <w:pStyle w:val="Compact"/>
      </w:pPr>
      <w:r>
        <w:rPr>
          <w:bCs/>
          <w:b/>
        </w:rPr>
        <w:t xml:space="preserve">Chantal Radimilahy</w:t>
      </w:r>
      <w:r>
        <w:t xml:space="preserve"> </w:t>
      </w:r>
      <w:r>
        <w:t xml:space="preserve">— archéologue malgache, fouilles fondatrices de Mahilaka.</w:t>
      </w:r>
    </w:p>
    <w:p>
      <w:pPr>
        <w:numPr>
          <w:ilvl w:val="0"/>
          <w:numId w:val="1009"/>
        </w:numPr>
        <w:pStyle w:val="Compact"/>
      </w:pPr>
      <w:r>
        <w:rPr>
          <w:bCs/>
          <w:b/>
        </w:rPr>
        <w:t xml:space="preserve">Harilanto Razafindrazaka</w:t>
      </w:r>
      <w:r>
        <w:t xml:space="preserve"> </w:t>
      </w:r>
      <w:r>
        <w:t xml:space="preserve">— directrice scientifique de la Mission archéologique France-Madagascar (MAFMAD, 2023-2029), fouilles en cours sur les Hautes Terres.</w:t>
      </w:r>
    </w:p>
    <w:p>
      <w:pPr>
        <w:numPr>
          <w:ilvl w:val="0"/>
          <w:numId w:val="1009"/>
        </w:numPr>
        <w:pStyle w:val="Compact"/>
      </w:pPr>
      <w:r>
        <w:rPr>
          <w:bCs/>
          <w:b/>
        </w:rPr>
        <w:t xml:space="preserve">Zoë Crossland</w:t>
      </w:r>
      <w:r>
        <w:t xml:space="preserve"> </w:t>
      </w:r>
      <w:r>
        <w:t xml:space="preserve">(Columbia) — anthropologue,</w:t>
      </w:r>
      <w:r>
        <w:t xml:space="preserve"> </w:t>
      </w:r>
      <w:r>
        <w:rPr>
          <w:iCs/>
          <w:i/>
        </w:rPr>
        <w:t xml:space="preserve">Ancestral Encounters in Highland Madagascar</w:t>
      </w:r>
      <w:r>
        <w:t xml:space="preserve"> </w:t>
      </w:r>
      <w:r>
        <w:t xml:space="preserve">(2014), sur la mémoire des Vazimba inscrite dans le paysage.</w:t>
      </w:r>
    </w:p>
    <w:p>
      <w:pPr>
        <w:numPr>
          <w:ilvl w:val="0"/>
          <w:numId w:val="1009"/>
        </w:numPr>
        <w:pStyle w:val="Compact"/>
      </w:pPr>
      <w:r>
        <w:rPr>
          <w:bCs/>
          <w:b/>
        </w:rPr>
        <w:t xml:space="preserve">Kristina Douglass</w:t>
      </w:r>
      <w:r>
        <w:t xml:space="preserve"> </w:t>
      </w:r>
      <w:r>
        <w:t xml:space="preserve">— archéologue des populations de pêcheurs-forageurs du Sud-Ouest.</w:t>
      </w:r>
    </w:p>
    <w:p>
      <w:pPr>
        <w:numPr>
          <w:ilvl w:val="0"/>
          <w:numId w:val="1009"/>
        </w:numPr>
        <w:pStyle w:val="Compact"/>
      </w:pPr>
      <w:r>
        <w:rPr>
          <w:bCs/>
          <w:b/>
        </w:rPr>
        <w:t xml:space="preserve">Laurie Godfrey</w:t>
      </w:r>
      <w:r>
        <w:t xml:space="preserve"> </w:t>
      </w:r>
      <w:r>
        <w:t xml:space="preserve">(UMass Amherst) — paléontologue, travaux sur l’extinction de la mégafaune.</w:t>
      </w:r>
    </w:p>
    <w:bookmarkEnd w:id="35"/>
    <w:bookmarkStart w:id="36" w:name="lieux"/>
    <w:p>
      <w:pPr>
        <w:pStyle w:val="Heading2"/>
      </w:pPr>
      <w:r>
        <w:t xml:space="preserve">Lieux</w:t>
      </w:r>
    </w:p>
    <w:p>
      <w:pPr>
        <w:pStyle w:val="FirstParagraph"/>
      </w:pPr>
      <w:r>
        <w:rPr>
          <w:bCs/>
          <w:b/>
        </w:rPr>
        <w:t xml:space="preserve">Christmas River / Lamboharana</w:t>
      </w:r>
      <w:r>
        <w:t xml:space="preserve"> </w:t>
      </w:r>
      <w:r>
        <w:t xml:space="preserve">(sud-centre, os découpés) ·</w:t>
      </w:r>
      <w:r>
        <w:t xml:space="preserve"> </w:t>
      </w:r>
      <w:r>
        <w:rPr>
          <w:bCs/>
          <w:b/>
        </w:rPr>
        <w:t xml:space="preserve">Taolambiby</w:t>
      </w:r>
      <w:r>
        <w:t xml:space="preserve"> </w:t>
      </w:r>
      <w:r>
        <w:t xml:space="preserve">(Sud-Ouest) ·</w:t>
      </w:r>
      <w:r>
        <w:t xml:space="preserve"> </w:t>
      </w:r>
      <w:r>
        <w:rPr>
          <w:bCs/>
          <w:b/>
        </w:rPr>
        <w:t xml:space="preserve">Lakaton’i Anja</w:t>
      </w:r>
      <w:r>
        <w:t xml:space="preserve"> </w:t>
      </w:r>
      <w:r>
        <w:t xml:space="preserve">(extrême Nord, abri sous roche) ·</w:t>
      </w:r>
      <w:r>
        <w:t xml:space="preserve"> </w:t>
      </w:r>
      <w:r>
        <w:rPr>
          <w:bCs/>
          <w:b/>
        </w:rPr>
        <w:t xml:space="preserve">Anjohibe</w:t>
      </w:r>
      <w:r>
        <w:t xml:space="preserve"> </w:t>
      </w:r>
      <w:r>
        <w:t xml:space="preserve">(grottes près de Mahajanga) ·</w:t>
      </w:r>
      <w:r>
        <w:t xml:space="preserve"> </w:t>
      </w:r>
      <w:r>
        <w:rPr>
          <w:bCs/>
          <w:b/>
        </w:rPr>
        <w:t xml:space="preserve">Irodo</w:t>
      </w:r>
      <w:r>
        <w:t xml:space="preserve"> </w:t>
      </w:r>
      <w:r>
        <w:t xml:space="preserve">(Nord-Est) ·</w:t>
      </w:r>
      <w:r>
        <w:t xml:space="preserve"> </w:t>
      </w:r>
      <w:r>
        <w:rPr>
          <w:bCs/>
          <w:b/>
        </w:rPr>
        <w:t xml:space="preserve">Talaky</w:t>
      </w:r>
      <w:r>
        <w:t xml:space="preserve"> </w:t>
      </w:r>
      <w:r>
        <w:t xml:space="preserve">(Sud) ·</w:t>
      </w:r>
      <w:r>
        <w:t xml:space="preserve"> </w:t>
      </w:r>
      <w:r>
        <w:rPr>
          <w:bCs/>
          <w:b/>
        </w:rPr>
        <w:t xml:space="preserve">Mahilaka</w:t>
      </w:r>
      <w:r>
        <w:t xml:space="preserve"> </w:t>
      </w:r>
      <w:r>
        <w:t xml:space="preserve">(Nord-Ouest) ·</w:t>
      </w:r>
      <w:r>
        <w:t xml:space="preserve"> </w:t>
      </w:r>
      <w:r>
        <w:rPr>
          <w:bCs/>
          <w:b/>
        </w:rPr>
        <w:t xml:space="preserve">Nosy Mangabe</w:t>
      </w:r>
      <w:r>
        <w:t xml:space="preserve"> </w:t>
      </w:r>
      <w:r>
        <w:t xml:space="preserve">(baie d’Antongil) ·</w:t>
      </w:r>
      <w:r>
        <w:t xml:space="preserve"> </w:t>
      </w:r>
      <w:r>
        <w:rPr>
          <w:bCs/>
          <w:b/>
        </w:rPr>
        <w:t xml:space="preserve">Hautes Terres centrales</w:t>
      </w:r>
      <w:r>
        <w:t xml:space="preserve"> </w:t>
      </w:r>
      <w:r>
        <w:t xml:space="preserve">(fouilles MAFMAD).</w:t>
      </w:r>
    </w:p>
    <w:bookmarkEnd w:id="36"/>
    <w:bookmarkStart w:id="37" w:name="ce-qui-est-établi"/>
    <w:p>
      <w:pPr>
        <w:pStyle w:val="Heading2"/>
      </w:pPr>
      <w:r>
        <w:t xml:space="preserve">Ce qui est établi</w:t>
      </w:r>
    </w:p>
    <w:p>
      <w:pPr>
        <w:pStyle w:val="FirstParagraph"/>
      </w:pPr>
      <w:r>
        <w:t xml:space="preserve">L’île s’est isolée il y a 84 à 95 millions d’années, ce qui explique son endémisme exceptionnel. Madagascar est le dernier grand territoire habitable colonisé durablement par l’espèce humaine.</w:t>
      </w:r>
    </w:p>
    <w:p>
      <w:pPr>
        <w:pStyle w:val="BodyText"/>
      </w:pPr>
      <w:r>
        <w:t xml:space="preserve">La langue malgache est</w:t>
      </w:r>
      <w:r>
        <w:t xml:space="preserve"> </w:t>
      </w:r>
      <w:r>
        <w:rPr>
          <w:bCs/>
          <w:b/>
        </w:rPr>
        <w:t xml:space="preserve">austronésienne</w:t>
      </w:r>
      <w:r>
        <w:t xml:space="preserve">, rattachée spécifiquement au sous-groupe barito du sud-est de Bornéo — sa parenté la plus proche identifiée est le</w:t>
      </w:r>
      <w:r>
        <w:t xml:space="preserve"> </w:t>
      </w:r>
      <w:r>
        <w:rPr>
          <w:bCs/>
          <w:b/>
        </w:rPr>
        <w:t xml:space="preserve">ma’anyan</w:t>
      </w:r>
      <w:r>
        <w:t xml:space="preserve">. Son vocabulaire maritime et commercial est fortement marqué par le</w:t>
      </w:r>
      <w:r>
        <w:t xml:space="preserve"> </w:t>
      </w:r>
      <w:r>
        <w:rPr>
          <w:bCs/>
          <w:b/>
        </w:rPr>
        <w:t xml:space="preserve">malais ancien</w:t>
      </w:r>
      <w:r>
        <w:t xml:space="preserve">, signe d’un transit par le monde malayo-indonésien et non d’un départ isolé depuis Bornéo.</w:t>
      </w:r>
    </w:p>
    <w:p>
      <w:pPr>
        <w:pStyle w:val="BodyText"/>
      </w:pPr>
      <w:r>
        <w:t xml:space="preserve">Le patrimoine génétique malgache est un mélange d’ascendance</w:t>
      </w:r>
      <w:r>
        <w:t xml:space="preserve"> </w:t>
      </w:r>
      <w:r>
        <w:rPr>
          <w:bCs/>
          <w:b/>
        </w:rPr>
        <w:t xml:space="preserve">est-africaine bantoue</w:t>
      </w:r>
      <w:r>
        <w:t xml:space="preserve"> </w:t>
      </w:r>
      <w:r>
        <w:t xml:space="preserve">(dominante en lignée paternelle) et</w:t>
      </w:r>
      <w:r>
        <w:t xml:space="preserve"> </w:t>
      </w:r>
      <w:r>
        <w:rPr>
          <w:bCs/>
          <w:b/>
        </w:rPr>
        <w:t xml:space="preserve">insulaire d’Asie du Sud-Est</w:t>
      </w:r>
      <w:r>
        <w:t xml:space="preserve"> </w:t>
      </w:r>
      <w:r>
        <w:t xml:space="preserve">(dominante en lignée maternelle), dans des proportions variables selon les régions : moyenne nationale d’environ deux tiers bantou / un tiers austronésien, avec davantage d’austronésien sur les Hautes Terres et davantage de bantou sur les côtes.</w:t>
      </w:r>
    </w:p>
    <w:p>
      <w:pPr>
        <w:pStyle w:val="BodyText"/>
      </w:pPr>
      <w:r>
        <w:t xml:space="preserve">Riz asiatique, banane, taro et igname apparaissent dès le VIIe-Xe siècle. Irodo, Talaky et Mahilaka attestent d’un peuplement agricole, métallurgique et commerçant bien établi entre le IXe et le XIIIe siècle.</w:t>
      </w:r>
    </w:p>
    <w:p>
      <w:pPr>
        <w:pStyle w:val="BodyText"/>
      </w:pPr>
      <w:r>
        <w:t xml:space="preserve">La mégafaune s’est éteinte au cours du second millénaire, principalement entre le VIIIe et le XVIe siècle, sous l’effet conjugué de la chasse et de la transformation des habitats par le pastoralisme.</w:t>
      </w:r>
    </w:p>
    <w:bookmarkEnd w:id="37"/>
    <w:bookmarkStart w:id="41" w:name="ce-qui-est-controversé"/>
    <w:p>
      <w:pPr>
        <w:pStyle w:val="Heading2"/>
      </w:pPr>
      <w:r>
        <w:t xml:space="preserve">Ce qui est controversé</w:t>
      </w:r>
    </w:p>
    <w:bookmarkStart w:id="38" w:name="la-date-darrivée-le-cœur-de-lépisode-2"/>
    <w:p>
      <w:pPr>
        <w:pStyle w:val="Heading3"/>
      </w:pPr>
      <w:r>
        <w:t xml:space="preserve">La date d’arrivée — le cœur de l’épisode 2</w:t>
      </w:r>
    </w:p>
    <w:p>
      <w:pPr>
        <w:pStyle w:val="FirstParagraph"/>
      </w:pPr>
      <w:r>
        <w:t xml:space="preserve">C’est le débat le plus vif du champ, et il oppose deux méthodes autant que deux thèses.</w:t>
      </w:r>
    </w:p>
    <w:p>
      <w:pPr>
        <w:pStyle w:val="BodyText"/>
      </w:pPr>
      <w:r>
        <w:rPr>
          <w:bCs/>
          <w:b/>
        </w:rPr>
        <w:t xml:space="preserve">Camp Hansford / Turvey.</w:t>
      </w:r>
      <w:r>
        <w:t xml:space="preserve"> </w:t>
      </w:r>
      <w:r>
        <w:t xml:space="preserve">Sur la base de marques de découpe et de fractures d’impact sur des os d’oiseaux-éléphants de Christmas River, ils défendent une présence humaine dès ~10 500 BP — soit environ</w:t>
      </w:r>
      <w:r>
        <w:t xml:space="preserve"> </w:t>
      </w:r>
      <w:r>
        <w:rPr>
          <w:bCs/>
          <w:b/>
        </w:rPr>
        <w:t xml:space="preserve">6 000 ans plus tôt</w:t>
      </w:r>
      <w:r>
        <w:t xml:space="preserve"> </w:t>
      </w:r>
      <w:r>
        <w:t xml:space="preserve">que toutes les estimations antérieures. Ils s’appuient sur trois datations radiocarbone indépendantes et sur le contrôle stratigraphique des fouilles de 2008-2009.</w:t>
      </w:r>
    </w:p>
    <w:p>
      <w:pPr>
        <w:pStyle w:val="BodyText"/>
      </w:pPr>
      <w:r>
        <w:rPr>
          <w:bCs/>
          <w:b/>
        </w:rPr>
        <w:t xml:space="preserve">Camp Mitchell.</w:t>
      </w:r>
      <w:r>
        <w:t xml:space="preserve"> </w:t>
      </w:r>
      <w:r>
        <w:t xml:space="preserve">Appliquant des critères stricts (contexte stratigraphique primaire, marques univoques, datation directe de l’objet et non du sédiment), Mitchell rejette cette lecture en 2019 : selon lui, les sites les plus anciens fiables ne remontent qu’à quelques siècles avant notre ère.</w:t>
      </w:r>
    </w:p>
    <w:p>
      <w:pPr>
        <w:pStyle w:val="BodyText"/>
      </w:pPr>
      <w:r>
        <w:rPr>
          <w:bCs/>
          <w:b/>
        </w:rPr>
        <w:t xml:space="preserve">Camp Anderson.</w:t>
      </w:r>
      <w:r>
        <w:t xml:space="preserve"> </w:t>
      </w:r>
      <w:r>
        <w:t xml:space="preserve">Va plus loin : colonisation tardive autour de l’an 1000, et les marques pré-holocènes pourraient être d’origine non humaine — piétinement d’animaux, processus taphonomiques, voire dommages causés par les outils d’excavation modernes.</w:t>
      </w:r>
    </w:p>
    <w:p>
      <w:pPr>
        <w:pStyle w:val="BodyText"/>
      </w:pPr>
      <w:r>
        <w:rPr>
          <w:bCs/>
          <w:b/>
        </w:rPr>
        <w:t xml:space="preserve">Le compromis qui se dessine.</w:t>
      </w:r>
      <w:r>
        <w:t xml:space="preserve"> </w:t>
      </w:r>
      <w:r>
        <w:t xml:space="preserve">Un scénario en deux temps réconcilie partiellement les positions : des</w:t>
      </w:r>
      <w:r>
        <w:t xml:space="preserve"> </w:t>
      </w:r>
      <w:r>
        <w:rPr>
          <w:bCs/>
          <w:b/>
        </w:rPr>
        <w:t xml:space="preserve">présences sporadiques</w:t>
      </w:r>
      <w:r>
        <w:t xml:space="preserve"> </w:t>
      </w:r>
      <w:r>
        <w:t xml:space="preserve">de groupes forageurs-pêcheurs, possiblement anciennes, sans postérité démographique ; puis une</w:t>
      </w:r>
      <w:r>
        <w:t xml:space="preserve"> </w:t>
      </w:r>
      <w:r>
        <w:rPr>
          <w:bCs/>
          <w:b/>
        </w:rPr>
        <w:t xml:space="preserve">colonisation agricole et pastorale permanente</w:t>
      </w:r>
      <w:r>
        <w:t xml:space="preserve"> </w:t>
      </w:r>
      <w:r>
        <w:t xml:space="preserve">entre le VIIe et le Xe siècle, période où convergent l’archéobotanique, l’archéologie et la génétique. Les deux ne sont pas la même histoire, et c’est ce que les vulgarisations confondent systématiquement.</w:t>
      </w:r>
    </w:p>
    <w:bookmarkEnd w:id="38"/>
    <w:bookmarkStart w:id="39" w:name="les-trente-femmes-fondatrices"/>
    <w:p>
      <w:pPr>
        <w:pStyle w:val="Heading3"/>
      </w:pPr>
      <w:r>
        <w:t xml:space="preserve">Les « trente femmes fondatrices »</w:t>
      </w:r>
    </w:p>
    <w:p>
      <w:pPr>
        <w:pStyle w:val="FirstParagraph"/>
      </w:pPr>
      <w:r>
        <w:t xml:space="preserve">L’étude de Cox</w:t>
      </w:r>
      <w:r>
        <w:t xml:space="preserve"> </w:t>
      </w:r>
      <w:r>
        <w:rPr>
          <w:iCs/>
          <w:i/>
        </w:rPr>
        <w:t xml:space="preserve">et al.</w:t>
      </w:r>
      <w:r>
        <w:t xml:space="preserve"> </w:t>
      </w:r>
      <w:r>
        <w:t xml:space="preserve">(2012), portant sur l’ADN mitochondrial d’environ 2 745 Malgaches, conclut qu’environ la moitié des lignées maternelles remontent à une trentaine de femmes fondatrices originaires d’Asie du Sud-Est insulaire, il y a environ 1 200 ans.</w:t>
      </w:r>
    </w:p>
    <w:p>
      <w:pPr>
        <w:pStyle w:val="BodyText"/>
      </w:pPr>
      <w:r>
        <w:t xml:space="preserve">Cette image spectaculaire a été reprise partout sous la forme « Madagascar a été fondée par 30 femmes ».</w:t>
      </w:r>
      <w:r>
        <w:t xml:space="preserve"> </w:t>
      </w:r>
      <w:r>
        <w:rPr>
          <w:bCs/>
          <w:b/>
        </w:rPr>
        <w:t xml:space="preserve">Elle est fausse sous cette forme</w:t>
      </w:r>
      <w:r>
        <w:t xml:space="preserve">, pour quatre raisons :</w:t>
      </w:r>
    </w:p>
    <w:p>
      <w:pPr>
        <w:numPr>
          <w:ilvl w:val="0"/>
          <w:numId w:val="1010"/>
        </w:numPr>
        <w:pStyle w:val="Compact"/>
      </w:pPr>
      <w:r>
        <w:t xml:space="preserve">Elle ne concerne que la</w:t>
      </w:r>
      <w:r>
        <w:t xml:space="preserve"> </w:t>
      </w:r>
      <w:r>
        <w:rPr>
          <w:bCs/>
          <w:b/>
        </w:rPr>
        <w:t xml:space="preserve">lignée maternelle</w:t>
      </w:r>
      <w:r>
        <w:t xml:space="preserve">. Le chromosome Y révèle une composante bantoue nettement plus forte — donc un schéma migratoire genré, pas une population de 30 personnes.</w:t>
      </w:r>
    </w:p>
    <w:p>
      <w:pPr>
        <w:numPr>
          <w:ilvl w:val="0"/>
          <w:numId w:val="1010"/>
        </w:numPr>
        <w:pStyle w:val="Compact"/>
      </w:pPr>
      <w:r>
        <w:t xml:space="preserve">« Trente » est une</w:t>
      </w:r>
      <w:r>
        <w:t xml:space="preserve"> </w:t>
      </w:r>
      <w:r>
        <w:rPr>
          <w:bCs/>
          <w:b/>
        </w:rPr>
        <w:t xml:space="preserve">estimation statistique du nombre effectif de lignées fondatrices</w:t>
      </w:r>
      <w:r>
        <w:t xml:space="preserve">, pas un décompte d’individus.</w:t>
      </w:r>
    </w:p>
    <w:p>
      <w:pPr>
        <w:numPr>
          <w:ilvl w:val="0"/>
          <w:numId w:val="1010"/>
        </w:numPr>
        <w:pStyle w:val="Compact"/>
      </w:pPr>
      <w:r>
        <w:t xml:space="preserve">Les intervalles de confiance de la datation moléculaire sont larges.</w:t>
      </w:r>
    </w:p>
    <w:p>
      <w:pPr>
        <w:numPr>
          <w:ilvl w:val="0"/>
          <w:numId w:val="1010"/>
        </w:numPr>
        <w:pStyle w:val="Compact"/>
      </w:pPr>
      <w:r>
        <w:t xml:space="preserve">L’étude ne dit rien du nombre d’hommes ni de la taille réelle de la population fondatrice.</w:t>
      </w:r>
    </w:p>
    <w:bookmarkEnd w:id="39"/>
    <w:bookmarkStart w:id="40" w:name="litinéraire"/>
    <w:p>
      <w:pPr>
        <w:pStyle w:val="Heading3"/>
      </w:pPr>
      <w:r>
        <w:t xml:space="preserve">L’itinéraire</w:t>
      </w:r>
    </w:p>
    <w:p>
      <w:pPr>
        <w:pStyle w:val="FirstParagraph"/>
      </w:pPr>
      <w:r>
        <w:t xml:space="preserve">Traversée directe de l’océan Indien depuis l’Insulinde (soutenue par des reconstitutions de dérive océanique)</w:t>
      </w:r>
      <w:r>
        <w:t xml:space="preserve"> </w:t>
      </w:r>
      <w:r>
        <w:rPr>
          <w:bCs/>
          <w:b/>
        </w:rPr>
        <w:t xml:space="preserve">contre</w:t>
      </w:r>
      <w:r>
        <w:t xml:space="preserve"> </w:t>
      </w:r>
      <w:r>
        <w:t xml:space="preserve">trajet par étapes le long des routes monsouniques via le sud de l’Inde, Sri Lanka et/ou la côte est-africaine — thèse de Philippe Beaujard, qui insiste sur l’intégration précoce de Madagascar dans les réseaux commerciaux plutôt que sur une migration isolée et héroïque.</w:t>
      </w:r>
    </w:p>
    <w:bookmarkEnd w:id="40"/>
    <w:bookmarkEnd w:id="41"/>
    <w:bookmarkStart w:id="42" w:name="ce-que-raconte-la-tradition"/>
    <w:p>
      <w:pPr>
        <w:pStyle w:val="Heading2"/>
      </w:pPr>
      <w:r>
        <w:t xml:space="preserve">Ce que raconte la tradition</w:t>
      </w:r>
    </w:p>
    <w:p>
      <w:pPr>
        <w:pStyle w:val="FirstParagraph"/>
      </w:pPr>
      <w:r>
        <w:t xml:space="preserve">La tradition orale merina place les</w:t>
      </w:r>
      <w:r>
        <w:t xml:space="preserve"> </w:t>
      </w:r>
      <w:r>
        <w:rPr>
          <w:bCs/>
          <w:b/>
        </w:rPr>
        <w:t xml:space="preserve">Vazimba</w:t>
      </w:r>
      <w:r>
        <w:t xml:space="preserve"> </w:t>
      </w:r>
      <w:r>
        <w:t xml:space="preserve">comme les tout premiers habitants des Hautes Terres : un peuple antérieur, parfois décrit comme petit de taille, vivant dans les forêts et les zones marécageuses, que les ancêtres des dynasties royales auraient repoussé ou assimilé lors de leur installation — traditionnellement située au XIVe-XVe siècle.</w:t>
      </w:r>
    </w:p>
    <w:p>
      <w:pPr>
        <w:pStyle w:val="BodyText"/>
      </w:pPr>
      <w:r>
        <w:t xml:space="preserve">Les tombeaux vazimba restent aujourd’hui des lieux de culte, objets d’interdits (</w:t>
      </w:r>
      <w:r>
        <w:rPr>
          <w:iCs/>
          <w:i/>
        </w:rPr>
        <w:t xml:space="preserve">fady</w:t>
      </w:r>
      <w:r>
        <w:t xml:space="preserve">) et de pèlerinages.</w:t>
      </w:r>
    </w:p>
    <w:p>
      <w:pPr>
        <w:pStyle w:val="BodyText"/>
      </w:pPr>
      <w:r>
        <w:t xml:space="preserve">Le terme lui-même est flou : selon les régions et les lignages, il désigne tantôt un peuple distinct, tantôt simplement « ceux d’avant » —</w:t>
      </w:r>
      <w:r>
        <w:t xml:space="preserve"> </w:t>
      </w:r>
      <w:r>
        <w:rPr>
          <w:bCs/>
          <w:b/>
        </w:rPr>
        <w:t xml:space="preserve">une catégorie de mémoire autant qu’une ethnie</w:t>
      </w:r>
      <w:r>
        <w:t xml:space="preserve">.</w:t>
      </w:r>
    </w:p>
    <w:p>
      <w:pPr>
        <w:pStyle w:val="BodyText"/>
      </w:pPr>
      <w:r>
        <w:rPr>
          <w:bCs/>
          <w:b/>
        </w:rPr>
        <w:t xml:space="preserve">Le point où l’archéologie bouscule le récit :</w:t>
      </w:r>
      <w:r>
        <w:t xml:space="preserve"> </w:t>
      </w:r>
      <w:r>
        <w:t xml:space="preserve">les fouilles récentes documentent une riziculture irriguée déjà sophistiquée sur les Hautes Terres avant l’arrivée supposée des ancêtres merina. Les Merina ont donc plus probablement hérité d’une continuité d’occupation, ou l’ont interrompue, que colonisé un territoire vide.</w:t>
      </w:r>
    </w:p>
    <w:bookmarkEnd w:id="42"/>
    <w:bookmarkStart w:id="43" w:name="erreurs-à-éviter-à-lantenne"/>
    <w:p>
      <w:pPr>
        <w:pStyle w:val="Heading2"/>
      </w:pPr>
      <w:r>
        <w:t xml:space="preserve">Erreurs à éviter à l’antenne</w:t>
      </w:r>
    </w:p>
    <w:p>
      <w:pPr>
        <w:numPr>
          <w:ilvl w:val="0"/>
          <w:numId w:val="1011"/>
        </w:numPr>
        <w:pStyle w:val="Compact"/>
      </w:pPr>
      <w:r>
        <w:rPr>
          <w:bCs/>
          <w:b/>
        </w:rPr>
        <w:t xml:space="preserve">Ne pas présenter « 10 500 ans » comme un fait acquis.</w:t>
      </w:r>
      <w:r>
        <w:t xml:space="preserve"> </w:t>
      </w:r>
      <w:r>
        <w:t xml:space="preserve">C’est une hypothèse forte, minoritaire, activement contestée.</w:t>
      </w:r>
    </w:p>
    <w:p>
      <w:pPr>
        <w:numPr>
          <w:ilvl w:val="0"/>
          <w:numId w:val="1011"/>
        </w:numPr>
        <w:pStyle w:val="Compact"/>
      </w:pPr>
      <w:r>
        <w:rPr>
          <w:bCs/>
          <w:b/>
        </w:rPr>
        <w:t xml:space="preserve">Ne pas dire « les Malgaches descendent de 30 femmes indonésiennes ».</w:t>
      </w:r>
      <w:r>
        <w:t xml:space="preserve"> </w:t>
      </w:r>
      <w:r>
        <w:t xml:space="preserve">Voir plus haut.</w:t>
      </w:r>
    </w:p>
    <w:p>
      <w:pPr>
        <w:numPr>
          <w:ilvl w:val="0"/>
          <w:numId w:val="1011"/>
        </w:numPr>
        <w:pStyle w:val="Compact"/>
      </w:pPr>
      <w:r>
        <w:rPr>
          <w:bCs/>
          <w:b/>
        </w:rPr>
        <w:t xml:space="preserve">Ne pas confondre l’arrivée des tout premiers humains et l’installation permanente.</w:t>
      </w:r>
      <w:r>
        <w:t xml:space="preserve"> </w:t>
      </w:r>
      <w:r>
        <w:t xml:space="preserve">Deux processus distincts, séparés peut-être de plusieurs millénaires.</w:t>
      </w:r>
    </w:p>
    <w:p>
      <w:pPr>
        <w:numPr>
          <w:ilvl w:val="0"/>
          <w:numId w:val="1011"/>
        </w:numPr>
        <w:pStyle w:val="Compact"/>
      </w:pPr>
      <w:r>
        <w:rPr>
          <w:bCs/>
          <w:b/>
        </w:rPr>
        <w:t xml:space="preserve">Ne pas présenter les Vazimba comme un peuple archéologiquement identifié et daté.</w:t>
      </w:r>
      <w:r>
        <w:t xml:space="preserve"> </w:t>
      </w:r>
      <w:r>
        <w:t xml:space="preserve">L’archéologie ne les a jamais fait correspondre à un groupe ethnique précis.</w:t>
      </w:r>
    </w:p>
    <w:p>
      <w:pPr>
        <w:numPr>
          <w:ilvl w:val="0"/>
          <w:numId w:val="1011"/>
        </w:numPr>
        <w:pStyle w:val="Compact"/>
      </w:pPr>
      <w:r>
        <w:rPr>
          <w:bCs/>
          <w:b/>
        </w:rPr>
        <w:t xml:space="preserve">Ne pas dire que le malgache « vient d’Indonésie » sans nuance.</w:t>
      </w:r>
      <w:r>
        <w:t xml:space="preserve"> </w:t>
      </w:r>
      <w:r>
        <w:t xml:space="preserve">Sa parenté la plus étroite est le ma’anyan, langue de Bornéo — pas le malais, pas le javanais.</w:t>
      </w:r>
    </w:p>
    <w:p>
      <w:pPr>
        <w:numPr>
          <w:ilvl w:val="0"/>
          <w:numId w:val="1011"/>
        </w:numPr>
        <w:pStyle w:val="Compact"/>
      </w:pPr>
      <w:r>
        <w:rPr>
          <w:bCs/>
          <w:b/>
        </w:rPr>
        <w:t xml:space="preserve">Ne pas attribuer l’extinction de la mégafaune à un changement climatique brutal.</w:t>
      </w:r>
      <w:r>
        <w:t xml:space="preserve"> </w:t>
      </w:r>
      <w:r>
        <w:t xml:space="preserve">Les travaux de Godfrey écartent la coïncidence climatique et pointent la pression de chasse et la transformation des habitats.</w:t>
      </w:r>
    </w:p>
    <w:bookmarkEnd w:id="43"/>
    <w:bookmarkStart w:id="44" w:name="accroches"/>
    <w:p>
      <w:pPr>
        <w:pStyle w:val="Heading2"/>
      </w:pPr>
      <w:r>
        <w:t xml:space="preserve">Accroches</w:t>
      </w:r>
    </w:p>
    <w:p>
      <w:pPr>
        <w:pStyle w:val="BlockText"/>
      </w:pPr>
      <w:r>
        <w:t xml:space="preserve">« Il y a dix mille ans, quelqu’un a découpé un oiseau plus grand qu’un homme sur une terre que personne, jusqu’à récemment, ne croyait habitée si tôt — et cette simple entaille dans un os divise aujourd’hui les archéologues du monde entier. »</w:t>
      </w:r>
    </w:p>
    <w:p>
      <w:pPr>
        <w:pStyle w:val="BlockText"/>
      </w:pPr>
      <w:r>
        <w:t xml:space="preserve">« Avant d’être malgaches, avant d’être africains ou asiatiques, les premiers habitants de la plus grande île de l’océan Indien ont navigué plus loin qu’aucun autre peuple austronésien : sept mille kilomètres, pour atteindre un continent miniature resté seul depuis quatre-vingt-huit millions d’années. »</w:t>
      </w:r>
    </w:p>
    <w:p>
      <w:pPr>
        <w:pStyle w:val="BlockText"/>
      </w:pPr>
      <w:r>
        <w:t xml:space="preserve">« Sous les rizières en terrasses des Hautes Terres dort un peuple que la tradition appelle Vazimba — ni tout à fait mythe, ni tout à fait histoire, et que les archéologues commencent, tombe après tombe, à faire sortir de la légende. »</w:t>
      </w:r>
    </w:p>
    <w:bookmarkEnd w:id="44"/>
    <w:bookmarkEnd w:id="45"/>
    <w:bookmarkStart w:id="54" w:name="X2ff045ca3a4d261f57025918283f3012cd7d38a"/>
    <w:p>
      <w:pPr>
        <w:pStyle w:val="Heading1"/>
      </w:pPr>
      <w:r>
        <w:t xml:space="preserve">PÉRIODE 2 — Cités, royaumes et pirates (Xe siècle – 1787)</w:t>
      </w:r>
    </w:p>
    <w:p>
      <w:pPr>
        <w:pStyle w:val="FirstParagraph"/>
      </w:pPr>
      <w:r>
        <w:rPr>
          <w:iCs/>
          <w:i/>
        </w:rPr>
        <w:t xml:space="preserve">Épisodes 6 à 10</w:t>
      </w:r>
    </w:p>
    <w:bookmarkStart w:id="46" w:name="chronologie-1"/>
    <w:p>
      <w:pPr>
        <w:pStyle w:val="Heading2"/>
      </w:pPr>
      <w:r>
        <w:t xml:space="preserve">Chronologie</w:t>
      </w:r>
    </w:p>
    <w:p>
      <w:pPr>
        <w:numPr>
          <w:ilvl w:val="0"/>
          <w:numId w:val="1012"/>
        </w:numPr>
        <w:pStyle w:val="Compact"/>
      </w:pPr>
      <w:r>
        <w:rPr>
          <w:bCs/>
          <w:b/>
        </w:rPr>
        <w:t xml:space="preserve">Xe-XIe siècle</w:t>
      </w:r>
      <w:r>
        <w:t xml:space="preserve"> </w:t>
      </w:r>
      <w:r>
        <w:t xml:space="preserve">— Fondation de comptoirs commerciaux swahili sur la côte nord-ouest, dont Mahilaka.</w:t>
      </w:r>
      <w:r>
        <w:t xml:space="preserve"> </w:t>
      </w:r>
      <w:r>
        <w:rPr>
          <w:bCs/>
          <w:b/>
        </w:rPr>
        <w:t xml:space="preserve">[SÛR]</w:t>
      </w:r>
    </w:p>
    <w:p>
      <w:pPr>
        <w:numPr>
          <w:ilvl w:val="0"/>
          <w:numId w:val="1012"/>
        </w:numPr>
        <w:pStyle w:val="Compact"/>
      </w:pPr>
      <w:r>
        <w:rPr>
          <w:bCs/>
          <w:b/>
        </w:rPr>
        <w:t xml:space="preserve">VIIIe-XVe siècle</w:t>
      </w:r>
      <w:r>
        <w:t xml:space="preserve"> </w:t>
      </w:r>
      <w:r>
        <w:t xml:space="preserve">— Épanouissement de la civilisation dite</w:t>
      </w:r>
      <w:r>
        <w:t xml:space="preserve"> </w:t>
      </w:r>
      <w:r>
        <w:rPr>
          <w:bCs/>
          <w:b/>
        </w:rPr>
        <w:t xml:space="preserve">rasikajy</w:t>
      </w:r>
      <w:r>
        <w:t xml:space="preserve"> </w:t>
      </w:r>
      <w:r>
        <w:t xml:space="preserve">dans le Nord-Est (région de Vohémar / Iharana), spécialisée dans le travail du chloritoschiste (stéatite).</w:t>
      </w:r>
      <w:r>
        <w:t xml:space="preserve"> </w:t>
      </w:r>
      <w:r>
        <w:rPr>
          <w:bCs/>
          <w:b/>
        </w:rPr>
        <w:t xml:space="preserve">[PROBABLE]</w:t>
      </w:r>
    </w:p>
    <w:p>
      <w:pPr>
        <w:numPr>
          <w:ilvl w:val="0"/>
          <w:numId w:val="1012"/>
        </w:numPr>
        <w:pStyle w:val="Compact"/>
      </w:pPr>
      <w:r>
        <w:rPr>
          <w:bCs/>
          <w:b/>
        </w:rPr>
        <w:t xml:space="preserve">XIe-XIVe siècle</w:t>
      </w:r>
      <w:r>
        <w:t xml:space="preserve"> </w:t>
      </w:r>
      <w:r>
        <w:t xml:space="preserve">— Apogée de Mahilaka comme grand port du commerce indo-océanique : céramiques chinoises et perses, verroterie, métaux.</w:t>
      </w:r>
      <w:r>
        <w:t xml:space="preserve"> </w:t>
      </w:r>
      <w:r>
        <w:rPr>
          <w:bCs/>
          <w:b/>
        </w:rPr>
        <w:t xml:space="preserve">[SÛR]</w:t>
      </w:r>
    </w:p>
    <w:p>
      <w:pPr>
        <w:numPr>
          <w:ilvl w:val="0"/>
          <w:numId w:val="1012"/>
        </w:numPr>
        <w:pStyle w:val="Compact"/>
      </w:pPr>
      <w:r>
        <w:rPr>
          <w:bCs/>
          <w:b/>
        </w:rPr>
        <w:t xml:space="preserve">Fin XIVe-XVe siècle</w:t>
      </w:r>
      <w:r>
        <w:t xml:space="preserve"> </w:t>
      </w:r>
      <w:r>
        <w:t xml:space="preserve">— Déclin puis abandon de Mahilaka.</w:t>
      </w:r>
      <w:r>
        <w:t xml:space="preserve"> </w:t>
      </w:r>
      <w:r>
        <w:rPr>
          <w:bCs/>
          <w:b/>
        </w:rPr>
        <w:t xml:space="preserve">[PROBABLE]</w:t>
      </w:r>
    </w:p>
    <w:p>
      <w:pPr>
        <w:numPr>
          <w:ilvl w:val="0"/>
          <w:numId w:val="1012"/>
        </w:numPr>
        <w:pStyle w:val="Compact"/>
      </w:pPr>
      <w:r>
        <w:rPr>
          <w:bCs/>
          <w:b/>
        </w:rPr>
        <w:t xml:space="preserve">XVe-XVIe siècle</w:t>
      </w:r>
      <w:r>
        <w:t xml:space="preserve"> </w:t>
      </w:r>
      <w:r>
        <w:t xml:space="preserve">— Implantation et essor des</w:t>
      </w:r>
      <w:r>
        <w:t xml:space="preserve"> </w:t>
      </w:r>
      <w:r>
        <w:rPr>
          <w:bCs/>
          <w:b/>
        </w:rPr>
        <w:t xml:space="preserve">Antalaotra</w:t>
      </w:r>
      <w:r>
        <w:t xml:space="preserve"> </w:t>
      </w:r>
      <w:r>
        <w:t xml:space="preserve">(« ceux de la mer »), commerçants swahili-malgaches islamisés du Nord-Ouest.</w:t>
      </w:r>
      <w:r>
        <w:t xml:space="preserve"> </w:t>
      </w:r>
      <w:r>
        <w:rPr>
          <w:bCs/>
          <w:b/>
        </w:rPr>
        <w:t xml:space="preserve">[PROBABLE]</w:t>
      </w:r>
    </w:p>
    <w:p>
      <w:pPr>
        <w:numPr>
          <w:ilvl w:val="0"/>
          <w:numId w:val="1012"/>
        </w:numPr>
        <w:pStyle w:val="Compact"/>
      </w:pPr>
      <w:r>
        <w:rPr>
          <w:bCs/>
          <w:b/>
        </w:rPr>
        <w:t xml:space="preserve">XVe-XVIe siècle</w:t>
      </w:r>
      <w:r>
        <w:t xml:space="preserve"> </w:t>
      </w:r>
      <w:r>
        <w:t xml:space="preserve">— Implantation des</w:t>
      </w:r>
      <w:r>
        <w:t xml:space="preserve"> </w:t>
      </w:r>
      <w:r>
        <w:rPr>
          <w:bCs/>
          <w:b/>
        </w:rPr>
        <w:t xml:space="preserve">Zafiraminia</w:t>
      </w:r>
      <w:r>
        <w:t xml:space="preserve"> </w:t>
      </w:r>
      <w:r>
        <w:t xml:space="preserve">dans le Sud-Est ; genèse du groupe antemoro et de l’écriture</w:t>
      </w:r>
      <w:r>
        <w:t xml:space="preserve"> </w:t>
      </w:r>
      <w:r>
        <w:rPr>
          <w:bCs/>
          <w:b/>
        </w:rPr>
        <w:t xml:space="preserve">sorabe</w:t>
      </w:r>
      <w:r>
        <w:t xml:space="preserve"> </w:t>
      </w:r>
      <w:r>
        <w:t xml:space="preserve">(malgache en caractères arabes).</w:t>
      </w:r>
      <w:r>
        <w:t xml:space="preserve"> </w:t>
      </w:r>
      <w:r>
        <w:rPr>
          <w:bCs/>
          <w:b/>
        </w:rPr>
        <w:t xml:space="preserve">[TRADITION]</w:t>
      </w:r>
      <w:r>
        <w:t xml:space="preserve"> </w:t>
      </w:r>
      <w:r>
        <w:t xml:space="preserve">pour l’origine arabe revendiquée ;</w:t>
      </w:r>
      <w:r>
        <w:t xml:space="preserve"> </w:t>
      </w:r>
      <w:r>
        <w:rPr>
          <w:bCs/>
          <w:b/>
        </w:rPr>
        <w:t xml:space="preserve">[PROBABLE]</w:t>
      </w:r>
      <w:r>
        <w:t xml:space="preserve"> </w:t>
      </w:r>
      <w:r>
        <w:t xml:space="preserve">pour l’implantation.</w:t>
      </w:r>
    </w:p>
    <w:p>
      <w:pPr>
        <w:numPr>
          <w:ilvl w:val="0"/>
          <w:numId w:val="1012"/>
        </w:numPr>
        <w:pStyle w:val="Compact"/>
      </w:pPr>
      <w:r>
        <w:rPr>
          <w:bCs/>
          <w:b/>
        </w:rPr>
        <w:t xml:space="preserve">~1575-1612</w:t>
      </w:r>
      <w:r>
        <w:t xml:space="preserve"> </w:t>
      </w:r>
      <w:r>
        <w:t xml:space="preserve">— Règne de</w:t>
      </w:r>
      <w:r>
        <w:t xml:space="preserve"> </w:t>
      </w:r>
      <w:r>
        <w:rPr>
          <w:bCs/>
          <w:b/>
        </w:rPr>
        <w:t xml:space="preserve">Ralambo</w:t>
      </w:r>
      <w:r>
        <w:t xml:space="preserve"> </w:t>
      </w:r>
      <w:r>
        <w:t xml:space="preserve">dans l’Imerina : le zébu comme animal de prestige et de tribut, probablement les premiers fusils.</w:t>
      </w:r>
      <w:r>
        <w:t xml:space="preserve"> </w:t>
      </w:r>
      <w:r>
        <w:rPr>
          <w:bCs/>
          <w:b/>
        </w:rPr>
        <w:t xml:space="preserve">[TRADITION]</w:t>
      </w:r>
    </w:p>
    <w:p>
      <w:pPr>
        <w:numPr>
          <w:ilvl w:val="0"/>
          <w:numId w:val="1012"/>
        </w:numPr>
        <w:pStyle w:val="Compact"/>
      </w:pPr>
      <w:r>
        <w:rPr>
          <w:bCs/>
          <w:b/>
        </w:rPr>
        <w:t xml:space="preserve">~1610-1625</w:t>
      </w:r>
      <w:r>
        <w:t xml:space="preserve"> </w:t>
      </w:r>
      <w:r>
        <w:t xml:space="preserve">—</w:t>
      </w:r>
      <w:r>
        <w:t xml:space="preserve"> </w:t>
      </w:r>
      <w:r>
        <w:rPr>
          <w:bCs/>
          <w:b/>
        </w:rPr>
        <w:t xml:space="preserve">Andrianjaka</w:t>
      </w:r>
      <w:r>
        <w:t xml:space="preserve"> </w:t>
      </w:r>
      <w:r>
        <w:t xml:space="preserve">s’empare de la colline d’Analamanga, future</w:t>
      </w:r>
      <w:r>
        <w:t xml:space="preserve"> </w:t>
      </w:r>
      <w:r>
        <w:rPr>
          <w:bCs/>
          <w:b/>
        </w:rPr>
        <w:t xml:space="preserve">Antananarivo</w:t>
      </w:r>
      <w:r>
        <w:t xml:space="preserve"> </w:t>
      </w:r>
      <w:r>
        <w:t xml:space="preserve">(« la ville des mille », en mémoire des mille soldats).</w:t>
      </w:r>
      <w:r>
        <w:t xml:space="preserve"> </w:t>
      </w:r>
      <w:r>
        <w:rPr>
          <w:bCs/>
          <w:b/>
        </w:rPr>
        <w:t xml:space="preserve">[TRADITION]</w:t>
      </w:r>
      <w:r>
        <w:t xml:space="preserve"> </w:t>
      </w:r>
      <w:r>
        <w:t xml:space="preserve">— les dates varient de quinze ans selon les traditions.</w:t>
      </w:r>
    </w:p>
    <w:p>
      <w:pPr>
        <w:numPr>
          <w:ilvl w:val="0"/>
          <w:numId w:val="1012"/>
        </w:numPr>
        <w:pStyle w:val="Compact"/>
      </w:pPr>
      <w:r>
        <w:rPr>
          <w:bCs/>
          <w:b/>
        </w:rPr>
        <w:t xml:space="preserve">1643</w:t>
      </w:r>
      <w:r>
        <w:t xml:space="preserve"> </w:t>
      </w:r>
      <w:r>
        <w:t xml:space="preserve">— Fondation du comptoir français de</w:t>
      </w:r>
      <w:r>
        <w:t xml:space="preserve"> </w:t>
      </w:r>
      <w:r>
        <w:rPr>
          <w:bCs/>
          <w:b/>
        </w:rPr>
        <w:t xml:space="preserve">Fort-Dauphin</w:t>
      </w:r>
      <w:r>
        <w:t xml:space="preserve"> </w:t>
      </w:r>
      <w:r>
        <w:t xml:space="preserve">(Taolagnaro).</w:t>
      </w:r>
      <w:r>
        <w:t xml:space="preserve"> </w:t>
      </w:r>
      <w:r>
        <w:rPr>
          <w:bCs/>
          <w:b/>
        </w:rPr>
        <w:t xml:space="preserve">[SÛR]</w:t>
      </w:r>
    </w:p>
    <w:p>
      <w:pPr>
        <w:numPr>
          <w:ilvl w:val="0"/>
          <w:numId w:val="1012"/>
        </w:numPr>
        <w:pStyle w:val="Compact"/>
      </w:pPr>
      <w:r>
        <w:rPr>
          <w:bCs/>
          <w:b/>
        </w:rPr>
        <w:t xml:space="preserve">1648-1655</w:t>
      </w:r>
      <w:r>
        <w:t xml:space="preserve"> </w:t>
      </w:r>
      <w:r>
        <w:t xml:space="preserve">—</w:t>
      </w:r>
      <w:r>
        <w:t xml:space="preserve"> </w:t>
      </w:r>
      <w:r>
        <w:rPr>
          <w:bCs/>
          <w:b/>
        </w:rPr>
        <w:t xml:space="preserve">Étienne de Flacourt</w:t>
      </w:r>
      <w:r>
        <w:t xml:space="preserve"> </w:t>
      </w:r>
      <w:r>
        <w:t xml:space="preserve">gouverneur de Fort-Dauphin.</w:t>
      </w:r>
      <w:r>
        <w:t xml:space="preserve"> </w:t>
      </w:r>
      <w:r>
        <w:rPr>
          <w:bCs/>
          <w:b/>
        </w:rPr>
        <w:t xml:space="preserve">[SÛR]</w:t>
      </w:r>
    </w:p>
    <w:p>
      <w:pPr>
        <w:numPr>
          <w:ilvl w:val="0"/>
          <w:numId w:val="1012"/>
        </w:numPr>
        <w:pStyle w:val="Compact"/>
      </w:pPr>
      <w:r>
        <w:rPr>
          <w:bCs/>
          <w:b/>
        </w:rPr>
        <w:t xml:space="preserve">1658</w:t>
      </w:r>
      <w:r>
        <w:t xml:space="preserve"> </w:t>
      </w:r>
      <w:r>
        <w:t xml:space="preserve">— Publication de son</w:t>
      </w:r>
      <w:r>
        <w:t xml:space="preserve"> </w:t>
      </w:r>
      <w:r>
        <w:rPr>
          <w:iCs/>
          <w:i/>
        </w:rPr>
        <w:t xml:space="preserve">Histoire de la Grande Isle Madagascar</w:t>
      </w:r>
      <w:r>
        <w:t xml:space="preserve">.</w:t>
      </w:r>
      <w:r>
        <w:t xml:space="preserve"> </w:t>
      </w:r>
      <w:r>
        <w:rPr>
          <w:bCs/>
          <w:b/>
        </w:rPr>
        <w:t xml:space="preserve">[SÛR]</w:t>
      </w:r>
    </w:p>
    <w:p>
      <w:pPr>
        <w:numPr>
          <w:ilvl w:val="0"/>
          <w:numId w:val="1012"/>
        </w:numPr>
        <w:pStyle w:val="Compact"/>
      </w:pPr>
      <w:r>
        <w:rPr>
          <w:bCs/>
          <w:b/>
        </w:rPr>
        <w:t xml:space="preserve">1674</w:t>
      </w:r>
      <w:r>
        <w:t xml:space="preserve"> </w:t>
      </w:r>
      <w:r>
        <w:t xml:space="preserve">— Massacre du fort par les Antanosy, abandon définitif de la colonie française.</w:t>
      </w:r>
      <w:r>
        <w:t xml:space="preserve"> </w:t>
      </w:r>
      <w:r>
        <w:rPr>
          <w:bCs/>
          <w:b/>
        </w:rPr>
        <w:t xml:space="preserve">[SÛR]</w:t>
      </w:r>
    </w:p>
    <w:p>
      <w:pPr>
        <w:numPr>
          <w:ilvl w:val="0"/>
          <w:numId w:val="1012"/>
        </w:numPr>
        <w:pStyle w:val="Compact"/>
      </w:pPr>
      <w:r>
        <w:rPr>
          <w:bCs/>
          <w:b/>
        </w:rPr>
        <w:t xml:space="preserve">~1650-1685</w:t>
      </w:r>
      <w:r>
        <w:t xml:space="preserve"> </w:t>
      </w:r>
      <w:r>
        <w:t xml:space="preserve">—</w:t>
      </w:r>
      <w:r>
        <w:t xml:space="preserve"> </w:t>
      </w:r>
      <w:r>
        <w:rPr>
          <w:bCs/>
          <w:b/>
        </w:rPr>
        <w:t xml:space="preserve">Andriandahifotsy</w:t>
      </w:r>
      <w:r>
        <w:t xml:space="preserve">, premier grand roi maroserana, unifie un vaste territoire de la côte ouest.</w:t>
      </w:r>
      <w:r>
        <w:t xml:space="preserve"> </w:t>
      </w:r>
      <w:r>
        <w:rPr>
          <w:bCs/>
          <w:b/>
        </w:rPr>
        <w:t xml:space="preserve">[PROBABLE]</w:t>
      </w:r>
    </w:p>
    <w:p>
      <w:pPr>
        <w:numPr>
          <w:ilvl w:val="0"/>
          <w:numId w:val="1012"/>
        </w:numPr>
        <w:pStyle w:val="Compact"/>
      </w:pPr>
      <w:r>
        <w:rPr>
          <w:bCs/>
          <w:b/>
        </w:rPr>
        <w:t xml:space="preserve">Fin XVIIe-XVIIIe siècle</w:t>
      </w:r>
      <w:r>
        <w:t xml:space="preserve"> </w:t>
      </w:r>
      <w:r>
        <w:t xml:space="preserve">— Scission de l’ensemble sakalava en deux royaumes :</w:t>
      </w:r>
      <w:r>
        <w:t xml:space="preserve"> </w:t>
      </w:r>
      <w:r>
        <w:rPr>
          <w:bCs/>
          <w:b/>
        </w:rPr>
        <w:t xml:space="preserve">Menabe</w:t>
      </w:r>
      <w:r>
        <w:t xml:space="preserve"> </w:t>
      </w:r>
      <w:r>
        <w:t xml:space="preserve">(sud, autour de Morondava) et</w:t>
      </w:r>
      <w:r>
        <w:t xml:space="preserve"> </w:t>
      </w:r>
      <w:r>
        <w:rPr>
          <w:bCs/>
          <w:b/>
        </w:rPr>
        <w:t xml:space="preserve">Boina</w:t>
      </w:r>
      <w:r>
        <w:t xml:space="preserve"> </w:t>
      </w:r>
      <w:r>
        <w:t xml:space="preserve">(nord, autour de Mahajanga). Chacun se dote de reliques royales, les</w:t>
      </w:r>
      <w:r>
        <w:t xml:space="preserve"> </w:t>
      </w:r>
      <w:r>
        <w:rPr>
          <w:iCs/>
          <w:i/>
          <w:bCs/>
          <w:b/>
        </w:rPr>
        <w:t xml:space="preserve">dady</w:t>
      </w:r>
      <w:r>
        <w:t xml:space="preserve">.</w:t>
      </w:r>
      <w:r>
        <w:t xml:space="preserve"> </w:t>
      </w:r>
      <w:r>
        <w:rPr>
          <w:bCs/>
          <w:b/>
        </w:rPr>
        <w:t xml:space="preserve">[PROBABLE]</w:t>
      </w:r>
    </w:p>
    <w:p>
      <w:pPr>
        <w:numPr>
          <w:ilvl w:val="0"/>
          <w:numId w:val="1012"/>
        </w:numPr>
        <w:pStyle w:val="Compact"/>
      </w:pPr>
      <w:r>
        <w:rPr>
          <w:bCs/>
          <w:b/>
        </w:rPr>
        <w:t xml:space="preserve">1685-1697</w:t>
      </w:r>
      <w:r>
        <w:t xml:space="preserve"> </w:t>
      </w:r>
      <w:r>
        <w:t xml:space="preserve">— Afflux de pirates anglo-américains sur</w:t>
      </w:r>
      <w:r>
        <w:t xml:space="preserve"> </w:t>
      </w:r>
      <w:r>
        <w:rPr>
          <w:bCs/>
          <w:b/>
        </w:rPr>
        <w:t xml:space="preserve">Nosy Boraha</w:t>
      </w:r>
      <w:r>
        <w:t xml:space="preserve"> </w:t>
      </w:r>
      <w:r>
        <w:t xml:space="preserve">(Île Sainte-Marie), base de ravitaillement et de revente de butin.</w:t>
      </w:r>
      <w:r>
        <w:t xml:space="preserve"> </w:t>
      </w:r>
      <w:r>
        <w:rPr>
          <w:bCs/>
          <w:b/>
        </w:rPr>
        <w:t xml:space="preserve">[SÛR]</w:t>
      </w:r>
    </w:p>
    <w:p>
      <w:pPr>
        <w:numPr>
          <w:ilvl w:val="0"/>
          <w:numId w:val="1012"/>
        </w:numPr>
        <w:pStyle w:val="Compact"/>
      </w:pPr>
      <w:r>
        <w:rPr>
          <w:bCs/>
          <w:b/>
        </w:rPr>
        <w:t xml:space="preserve">1691-1697</w:t>
      </w:r>
      <w:r>
        <w:t xml:space="preserve"> </w:t>
      </w:r>
      <w:r>
        <w:t xml:space="preserve">—</w:t>
      </w:r>
      <w:r>
        <w:t xml:space="preserve"> </w:t>
      </w:r>
      <w:r>
        <w:rPr>
          <w:bCs/>
          <w:b/>
        </w:rPr>
        <w:t xml:space="preserve">Adam Baldridge</w:t>
      </w:r>
      <w:r>
        <w:t xml:space="preserve"> </w:t>
      </w:r>
      <w:r>
        <w:t xml:space="preserve">tient un entrepôt à Sainte-Marie pour le compte de marchands new-yorkais, dont Frederick Philipse.</w:t>
      </w:r>
      <w:r>
        <w:t xml:space="preserve"> </w:t>
      </w:r>
      <w:r>
        <w:rPr>
          <w:bCs/>
          <w:b/>
        </w:rPr>
        <w:t xml:space="preserve">[SÛR]</w:t>
      </w:r>
    </w:p>
    <w:p>
      <w:pPr>
        <w:numPr>
          <w:ilvl w:val="0"/>
          <w:numId w:val="1012"/>
        </w:numPr>
        <w:pStyle w:val="Compact"/>
      </w:pPr>
      <w:r>
        <w:rPr>
          <w:bCs/>
          <w:b/>
        </w:rPr>
        <w:t xml:space="preserve">1697</w:t>
      </w:r>
      <w:r>
        <w:t xml:space="preserve"> </w:t>
      </w:r>
      <w:r>
        <w:t xml:space="preserve">— Massacre d’une partie de la communauté pirate par la population locale, en représailles à des abus. Fuite de Baldridge.</w:t>
      </w:r>
      <w:r>
        <w:t xml:space="preserve"> </w:t>
      </w:r>
      <w:r>
        <w:rPr>
          <w:bCs/>
          <w:b/>
        </w:rPr>
        <w:t xml:space="preserve">[SÛR]</w:t>
      </w:r>
    </w:p>
    <w:p>
      <w:pPr>
        <w:numPr>
          <w:ilvl w:val="0"/>
          <w:numId w:val="1012"/>
        </w:numPr>
        <w:pStyle w:val="Compact"/>
      </w:pPr>
      <w:r>
        <w:rPr>
          <w:bCs/>
          <w:b/>
        </w:rPr>
        <w:t xml:space="preserve">~1690-1705</w:t>
      </w:r>
      <w:r>
        <w:t xml:space="preserve"> </w:t>
      </w:r>
      <w:r>
        <w:t xml:space="preserve">—</w:t>
      </w:r>
      <w:r>
        <w:t xml:space="preserve"> </w:t>
      </w:r>
      <w:r>
        <w:rPr>
          <w:bCs/>
          <w:b/>
        </w:rPr>
        <w:t xml:space="preserve">Abraham Samuel</w:t>
      </w:r>
      <w:r>
        <w:t xml:space="preserve">, ancien pirate, s’impose comme « roi » local à Fort-Dauphin.</w:t>
      </w:r>
      <w:r>
        <w:t xml:space="preserve"> </w:t>
      </w:r>
      <w:r>
        <w:rPr>
          <w:bCs/>
          <w:b/>
        </w:rPr>
        <w:t xml:space="preserve">[PROBABLE]</w:t>
      </w:r>
    </w:p>
    <w:p>
      <w:pPr>
        <w:numPr>
          <w:ilvl w:val="0"/>
          <w:numId w:val="1012"/>
        </w:numPr>
        <w:pStyle w:val="Compact"/>
      </w:pPr>
      <w:r>
        <w:rPr>
          <w:bCs/>
          <w:b/>
        </w:rPr>
        <w:t xml:space="preserve">1712</w:t>
      </w:r>
      <w:r>
        <w:t xml:space="preserve"> </w:t>
      </w:r>
      <w:r>
        <w:t xml:space="preserve">—</w:t>
      </w:r>
      <w:r>
        <w:t xml:space="preserve"> </w:t>
      </w:r>
      <w:r>
        <w:rPr>
          <w:bCs/>
          <w:b/>
        </w:rPr>
        <w:t xml:space="preserve">Ratsimilaho</w:t>
      </w:r>
      <w:r>
        <w:t xml:space="preserve"> </w:t>
      </w:r>
      <w:r>
        <w:t xml:space="preserve">fédère plusieurs groupes de la côte est sous le nom de</w:t>
      </w:r>
      <w:r>
        <w:t xml:space="preserve"> </w:t>
      </w:r>
      <w:r>
        <w:rPr>
          <w:bCs/>
          <w:b/>
        </w:rPr>
        <w:t xml:space="preserve">Betsimisaraka</w:t>
      </w:r>
      <w:r>
        <w:t xml:space="preserve"> </w:t>
      </w:r>
      <w:r>
        <w:t xml:space="preserve">(« les nombreux qui ne se sépareront pas »), sur environ 640 km de littoral.</w:t>
      </w:r>
      <w:r>
        <w:t xml:space="preserve"> </w:t>
      </w:r>
      <w:r>
        <w:rPr>
          <w:bCs/>
          <w:b/>
        </w:rPr>
        <w:t xml:space="preserve">[PROBABLE]</w:t>
      </w:r>
    </w:p>
    <w:p>
      <w:pPr>
        <w:numPr>
          <w:ilvl w:val="0"/>
          <w:numId w:val="1012"/>
        </w:numPr>
        <w:pStyle w:val="Compact"/>
      </w:pPr>
      <w:r>
        <w:rPr>
          <w:bCs/>
          <w:b/>
        </w:rPr>
        <w:t xml:space="preserve">~1712-1750</w:t>
      </w:r>
      <w:r>
        <w:t xml:space="preserve"> </w:t>
      </w:r>
      <w:r>
        <w:t xml:space="preserve">— Apogée de la confédération betsimisaraka, adossée au commerce d’armes et d’esclaves avec Européens et pirates.</w:t>
      </w:r>
      <w:r>
        <w:t xml:space="preserve"> </w:t>
      </w:r>
      <w:r>
        <w:rPr>
          <w:bCs/>
          <w:b/>
        </w:rPr>
        <w:t xml:space="preserve">[PROBABLE]</w:t>
      </w:r>
    </w:p>
    <w:p>
      <w:pPr>
        <w:numPr>
          <w:ilvl w:val="0"/>
          <w:numId w:val="1012"/>
        </w:numPr>
        <w:pStyle w:val="Compact"/>
      </w:pPr>
      <w:r>
        <w:rPr>
          <w:bCs/>
          <w:b/>
        </w:rPr>
        <w:t xml:space="preserve">1750</w:t>
      </w:r>
      <w:r>
        <w:t xml:space="preserve"> </w:t>
      </w:r>
      <w:r>
        <w:t xml:space="preserve">— Mort de Ratsimilaho ; fragmentation rapide de la confédération.</w:t>
      </w:r>
      <w:r>
        <w:t xml:space="preserve"> </w:t>
      </w:r>
      <w:r>
        <w:rPr>
          <w:bCs/>
          <w:b/>
        </w:rPr>
        <w:t xml:space="preserve">[SÛR]</w:t>
      </w:r>
    </w:p>
    <w:p>
      <w:pPr>
        <w:numPr>
          <w:ilvl w:val="0"/>
          <w:numId w:val="1012"/>
        </w:numPr>
        <w:pStyle w:val="Compact"/>
      </w:pPr>
      <w:r>
        <w:rPr>
          <w:bCs/>
          <w:b/>
        </w:rPr>
        <w:t xml:space="preserve">1718-1728</w:t>
      </w:r>
      <w:r>
        <w:t xml:space="preserve"> </w:t>
      </w:r>
      <w:r>
        <w:t xml:space="preserve">— Traite vers l’île Bourbon : les importations annuelles d’esclaves malgaches passent d’environ 200 à 600.</w:t>
      </w:r>
      <w:r>
        <w:t xml:space="preserve"> </w:t>
      </w:r>
      <w:r>
        <w:rPr>
          <w:bCs/>
          <w:b/>
        </w:rPr>
        <w:t xml:space="preserve">[PROBABLE]</w:t>
      </w:r>
      <w:r>
        <w:t xml:space="preserve"> </w:t>
      </w:r>
      <w:r>
        <w:t xml:space="preserve">(chiffres Filliot)</w:t>
      </w:r>
    </w:p>
    <w:p>
      <w:pPr>
        <w:numPr>
          <w:ilvl w:val="0"/>
          <w:numId w:val="1012"/>
        </w:numPr>
        <w:pStyle w:val="Compact"/>
      </w:pPr>
      <w:r>
        <w:rPr>
          <w:bCs/>
          <w:b/>
        </w:rPr>
        <w:t xml:space="preserve">1735-1746</w:t>
      </w:r>
      <w:r>
        <w:t xml:space="preserve"> </w:t>
      </w:r>
      <w:r>
        <w:t xml:space="preserve">— Sous La Bourdonnais, 1 200 à 1 300 esclaves importés par an en moyenne aux Mascareignes, fraude comprise.</w:t>
      </w:r>
      <w:r>
        <w:t xml:space="preserve"> </w:t>
      </w:r>
      <w:r>
        <w:rPr>
          <w:bCs/>
          <w:b/>
        </w:rPr>
        <w:t xml:space="preserve">[PROBABLE]</w:t>
      </w:r>
    </w:p>
    <w:p>
      <w:pPr>
        <w:numPr>
          <w:ilvl w:val="0"/>
          <w:numId w:val="1012"/>
        </w:numPr>
        <w:pStyle w:val="Compact"/>
      </w:pPr>
      <w:r>
        <w:rPr>
          <w:bCs/>
          <w:b/>
        </w:rPr>
        <w:t xml:space="preserve">1769</w:t>
      </w:r>
      <w:r>
        <w:t xml:space="preserve"> </w:t>
      </w:r>
      <w:r>
        <w:t xml:space="preserve">— Ordonnance royale française autorisant le libre commerce des esclaves aux Mascareignes ; les importations triplent d’ici 1793.</w:t>
      </w:r>
      <w:r>
        <w:t xml:space="preserve"> </w:t>
      </w:r>
      <w:r>
        <w:rPr>
          <w:bCs/>
          <w:b/>
        </w:rPr>
        <w:t xml:space="preserve">[SÛR]</w:t>
      </w:r>
      <w:r>
        <w:t xml:space="preserve"> </w:t>
      </w:r>
      <w:r>
        <w:t xml:space="preserve">pour la mesure.</w:t>
      </w:r>
    </w:p>
    <w:p>
      <w:pPr>
        <w:numPr>
          <w:ilvl w:val="0"/>
          <w:numId w:val="1012"/>
        </w:numPr>
        <w:pStyle w:val="Compact"/>
      </w:pPr>
      <w:r>
        <w:rPr>
          <w:bCs/>
          <w:b/>
        </w:rPr>
        <w:t xml:space="preserve">XVIIIe siècle</w:t>
      </w:r>
      <w:r>
        <w:t xml:space="preserve"> </w:t>
      </w:r>
      <w:r>
        <w:t xml:space="preserve">— Razzias sakalava en flottes de pirogues contre les Comores et la côte est-africaine.</w:t>
      </w:r>
      <w:r>
        <w:t xml:space="preserve"> </w:t>
      </w:r>
      <w:r>
        <w:rPr>
          <w:bCs/>
          <w:b/>
        </w:rPr>
        <w:t xml:space="preserve">[PROBABLE]</w:t>
      </w:r>
    </w:p>
    <w:bookmarkEnd w:id="46"/>
    <w:bookmarkStart w:id="47" w:name="personnages"/>
    <w:p>
      <w:pPr>
        <w:pStyle w:val="Heading2"/>
      </w:pPr>
      <w:r>
        <w:t xml:space="preserve">Personnages</w:t>
      </w:r>
    </w:p>
    <w:p>
      <w:pPr>
        <w:pStyle w:val="FirstParagraph"/>
      </w:pPr>
      <w:r>
        <w:rPr>
          <w:bCs/>
          <w:b/>
        </w:rPr>
        <w:t xml:space="preserve">Ralambo</w:t>
      </w:r>
      <w:r>
        <w:t xml:space="preserve"> </w:t>
      </w:r>
      <w:r>
        <w:t xml:space="preserve">·</w:t>
      </w:r>
      <w:r>
        <w:t xml:space="preserve"> </w:t>
      </w:r>
      <w:r>
        <w:rPr>
          <w:bCs/>
          <w:b/>
        </w:rPr>
        <w:t xml:space="preserve">Andrianjaka</w:t>
      </w:r>
      <w:r>
        <w:t xml:space="preserve"> </w:t>
      </w:r>
      <w:r>
        <w:t xml:space="preserve">·</w:t>
      </w:r>
      <w:r>
        <w:t xml:space="preserve"> </w:t>
      </w:r>
      <w:r>
        <w:rPr>
          <w:bCs/>
          <w:b/>
        </w:rPr>
        <w:t xml:space="preserve">Étienne de Flacourt</w:t>
      </w:r>
      <w:r>
        <w:t xml:space="preserve"> </w:t>
      </w:r>
      <w:r>
        <w:t xml:space="preserve">·</w:t>
      </w:r>
      <w:r>
        <w:t xml:space="preserve"> </w:t>
      </w:r>
      <w:r>
        <w:rPr>
          <w:bCs/>
          <w:b/>
        </w:rPr>
        <w:t xml:space="preserve">Andriandahifotsy</w:t>
      </w:r>
      <w:r>
        <w:t xml:space="preserve"> </w:t>
      </w:r>
      <w:r>
        <w:t xml:space="preserve">·</w:t>
      </w:r>
      <w:r>
        <w:t xml:space="preserve"> </w:t>
      </w:r>
      <w:r>
        <w:rPr>
          <w:bCs/>
          <w:b/>
        </w:rPr>
        <w:t xml:space="preserve">Adam Baldridge</w:t>
      </w:r>
      <w:r>
        <w:t xml:space="preserve"> </w:t>
      </w:r>
      <w:r>
        <w:t xml:space="preserve">·</w:t>
      </w:r>
      <w:r>
        <w:t xml:space="preserve"> </w:t>
      </w:r>
      <w:r>
        <w:rPr>
          <w:bCs/>
          <w:b/>
        </w:rPr>
        <w:t xml:space="preserve">Abraham Samuel</w:t>
      </w:r>
      <w:r>
        <w:t xml:space="preserve"> </w:t>
      </w:r>
      <w:r>
        <w:t xml:space="preserve">·</w:t>
      </w:r>
      <w:r>
        <w:t xml:space="preserve"> </w:t>
      </w:r>
      <w:r>
        <w:rPr>
          <w:bCs/>
          <w:b/>
        </w:rPr>
        <w:t xml:space="preserve">Ratsimilaho</w:t>
      </w:r>
      <w:r>
        <w:t xml:space="preserve"> </w:t>
      </w:r>
      <w:r>
        <w:t xml:space="preserve">·</w:t>
      </w:r>
      <w:r>
        <w:t xml:space="preserve"> </w:t>
      </w:r>
      <w:r>
        <w:rPr>
          <w:bCs/>
          <w:b/>
        </w:rPr>
        <w:t xml:space="preserve">Daniel Defoe</w:t>
      </w:r>
      <w:r>
        <w:t xml:space="preserve"> </w:t>
      </w:r>
      <w:r>
        <w:t xml:space="preserve">(auteur présumé, sous le pseudonyme de « capitaine Charles Johnson », de la légende de Libertalia) · les rois</w:t>
      </w:r>
      <w:r>
        <w:t xml:space="preserve"> </w:t>
      </w:r>
      <w:r>
        <w:rPr>
          <w:bCs/>
          <w:b/>
        </w:rPr>
        <w:t xml:space="preserve">maroserana</w:t>
      </w:r>
      <w:r>
        <w:t xml:space="preserve"> </w:t>
      </w:r>
      <w:r>
        <w:t xml:space="preserve">du Boina et du Menabe.</w:t>
      </w:r>
    </w:p>
    <w:bookmarkEnd w:id="47"/>
    <w:bookmarkStart w:id="48" w:name="lieux-1"/>
    <w:p>
      <w:pPr>
        <w:pStyle w:val="Heading2"/>
      </w:pPr>
      <w:r>
        <w:t xml:space="preserve">Lieux</w:t>
      </w:r>
    </w:p>
    <w:p>
      <w:pPr>
        <w:pStyle w:val="FirstParagraph"/>
      </w:pPr>
      <w:r>
        <w:rPr>
          <w:bCs/>
          <w:b/>
        </w:rPr>
        <w:t xml:space="preserve">Mahilaka</w:t>
      </w:r>
      <w:r>
        <w:t xml:space="preserve"> </w:t>
      </w:r>
      <w:r>
        <w:t xml:space="preserve">(baie d’Ampasindava) ·</w:t>
      </w:r>
      <w:r>
        <w:t xml:space="preserve"> </w:t>
      </w:r>
      <w:r>
        <w:rPr>
          <w:bCs/>
          <w:b/>
        </w:rPr>
        <w:t xml:space="preserve">Vohémar / Iharana</w:t>
      </w:r>
      <w:r>
        <w:t xml:space="preserve"> </w:t>
      </w:r>
      <w:r>
        <w:t xml:space="preserve">·</w:t>
      </w:r>
      <w:r>
        <w:t xml:space="preserve"> </w:t>
      </w:r>
      <w:r>
        <w:rPr>
          <w:bCs/>
          <w:b/>
        </w:rPr>
        <w:t xml:space="preserve">Fort-Dauphin (Taolagnaro)</w:t>
      </w:r>
      <w:r>
        <w:t xml:space="preserve"> </w:t>
      </w:r>
      <w:r>
        <w:t xml:space="preserve">·</w:t>
      </w:r>
      <w:r>
        <w:t xml:space="preserve"> </w:t>
      </w:r>
      <w:r>
        <w:rPr>
          <w:bCs/>
          <w:b/>
        </w:rPr>
        <w:t xml:space="preserve">Nosy Boraha (Sainte-Marie)</w:t>
      </w:r>
      <w:r>
        <w:t xml:space="preserve"> </w:t>
      </w:r>
      <w:r>
        <w:t xml:space="preserve">·</w:t>
      </w:r>
      <w:r>
        <w:t xml:space="preserve"> </w:t>
      </w:r>
      <w:r>
        <w:rPr>
          <w:bCs/>
          <w:b/>
        </w:rPr>
        <w:t xml:space="preserve">Menabe et Boina</w:t>
      </w:r>
      <w:r>
        <w:t xml:space="preserve"> </w:t>
      </w:r>
      <w:r>
        <w:t xml:space="preserve">·</w:t>
      </w:r>
      <w:r>
        <w:t xml:space="preserve"> </w:t>
      </w:r>
      <w:r>
        <w:rPr>
          <w:bCs/>
          <w:b/>
        </w:rPr>
        <w:t xml:space="preserve">Analamanga / Antananarivo</w:t>
      </w:r>
      <w:r>
        <w:t xml:space="preserve"> </w:t>
      </w:r>
      <w:r>
        <w:t xml:space="preserve">·</w:t>
      </w:r>
      <w:r>
        <w:t xml:space="preserve"> </w:t>
      </w:r>
      <w:r>
        <w:rPr>
          <w:bCs/>
          <w:b/>
        </w:rPr>
        <w:t xml:space="preserve">pays antemoro</w:t>
      </w:r>
      <w:r>
        <w:t xml:space="preserve"> </w:t>
      </w:r>
      <w:r>
        <w:t xml:space="preserve">(Matitanana, Sud-Est).</w:t>
      </w:r>
    </w:p>
    <w:bookmarkEnd w:id="48"/>
    <w:bookmarkStart w:id="49" w:name="ce-qui-est-établi-1"/>
    <w:p>
      <w:pPr>
        <w:pStyle w:val="Heading2"/>
      </w:pPr>
      <w:r>
        <w:t xml:space="preserve">Ce qui est établi</w:t>
      </w:r>
    </w:p>
    <w:p>
      <w:pPr>
        <w:pStyle w:val="FirstParagraph"/>
      </w:pPr>
      <w:r>
        <w:t xml:space="preserve">Des réseaux commerciaux swahili sont actifs dès le Xe siècle sur la côte nord-ouest, intégrant Madagascar aux circuits du Golfe, de la Perse et de la Chine.</w:t>
      </w:r>
    </w:p>
    <w:p>
      <w:pPr>
        <w:pStyle w:val="BodyText"/>
      </w:pPr>
      <w:r>
        <w:t xml:space="preserve">L’islamisation est</w:t>
      </w:r>
      <w:r>
        <w:t xml:space="preserve"> </w:t>
      </w:r>
      <w:r>
        <w:rPr>
          <w:bCs/>
          <w:b/>
        </w:rPr>
        <w:t xml:space="preserve">précoce mais localisée</w:t>
      </w:r>
      <w:r>
        <w:t xml:space="preserve"> </w:t>
      </w:r>
      <w:r>
        <w:t xml:space="preserve">: Antalaotra au Nord-Ouest, Antemoro au Sud-Est. Elle ne devient jamais majoritaire dans l’île.</w:t>
      </w:r>
    </w:p>
    <w:p>
      <w:pPr>
        <w:pStyle w:val="BodyText"/>
      </w:pPr>
      <w:r>
        <w:t xml:space="preserve">Les manuscrits</w:t>
      </w:r>
      <w:r>
        <w:t xml:space="preserve"> </w:t>
      </w:r>
      <w:r>
        <w:rPr>
          <w:bCs/>
          <w:b/>
        </w:rPr>
        <w:t xml:space="preserve">sorabe</w:t>
      </w:r>
      <w:r>
        <w:t xml:space="preserve"> </w:t>
      </w:r>
      <w:r>
        <w:t xml:space="preserve">existent, sont conservés et étudiés : c’est un vrai corpus, pas une curiosité. Les</w:t>
      </w:r>
      <w:r>
        <w:t xml:space="preserve"> </w:t>
      </w:r>
      <w:r>
        <w:rPr>
          <w:bCs/>
          <w:b/>
        </w:rPr>
        <w:t xml:space="preserve">ombiasy</w:t>
      </w:r>
      <w:r>
        <w:t xml:space="preserve"> </w:t>
      </w:r>
      <w:r>
        <w:t xml:space="preserve">(devins-lettrés) en sont les gardiens.</w:t>
      </w:r>
    </w:p>
    <w:p>
      <w:pPr>
        <w:pStyle w:val="BodyText"/>
      </w:pPr>
      <w:r>
        <w:t xml:space="preserve">Les royaumes sakalava se structurent autour de la dynastie maroserana et des reliques royales sacrées (</w:t>
      </w:r>
      <w:r>
        <w:rPr>
          <w:iCs/>
          <w:i/>
        </w:rPr>
        <w:t xml:space="preserve">dady</w:t>
      </w:r>
      <w:r>
        <w:t xml:space="preserve">), avec un rôle décisif du commerce des fusils et de la traite dans leur expansion.</w:t>
      </w:r>
    </w:p>
    <w:p>
      <w:pPr>
        <w:pStyle w:val="BodyText"/>
      </w:pPr>
      <w:r>
        <w:t xml:space="preserve">La présence pirate à Sainte-Marie dans les années 1690 est réelle et documentée, avec des acteurs attestés.</w:t>
      </w:r>
    </w:p>
    <w:p>
      <w:pPr>
        <w:pStyle w:val="BodyText"/>
      </w:pPr>
      <w:r>
        <w:t xml:space="preserve">La confédération betsimisaraka a existé, reposait sur le commerce d’armes contre esclaves et riz, et s’est disloquée rapidement après la mort de son fondateur.</w:t>
      </w:r>
    </w:p>
    <w:p>
      <w:pPr>
        <w:pStyle w:val="BodyText"/>
      </w:pPr>
      <w:r>
        <w:t xml:space="preserve">L’échec français de Fort-Dauphin (1643-1674) est total. L’ouvrage de Flacourt qui en sort est la principale source écrite européenne du XVIIe siècle sur l’île — précieuse et partiale.</w:t>
      </w:r>
    </w:p>
    <w:bookmarkEnd w:id="49"/>
    <w:bookmarkStart w:id="50" w:name="ce-qui-est-controversé-1"/>
    <w:p>
      <w:pPr>
        <w:pStyle w:val="Heading2"/>
      </w:pPr>
      <w:r>
        <w:t xml:space="preserve">Ce qui est controversé</w:t>
      </w:r>
    </w:p>
    <w:p>
      <w:pPr>
        <w:pStyle w:val="FirstParagraph"/>
      </w:pPr>
      <w:r>
        <w:rPr>
          <w:bCs/>
          <w:b/>
        </w:rPr>
        <w:t xml:space="preserve">L’origine des Rasikajy.</w:t>
      </w:r>
      <w:r>
        <w:t xml:space="preserve"> </w:t>
      </w:r>
      <w:r>
        <w:t xml:space="preserve">Trois hypothèses concurrentes : communauté chinoise pré-européenne, origine arabo-musulmane, ou groupe local ayant intégré des influences étrangères par le commerce. Aucun consensus — et pour cause :</w:t>
      </w:r>
      <w:r>
        <w:t xml:space="preserve"> </w:t>
      </w:r>
      <w:r>
        <w:rPr>
          <w:bCs/>
          <w:b/>
        </w:rPr>
        <w:t xml:space="preserve">aucun site d’habitat n’a été identifié</w:t>
      </w:r>
      <w:r>
        <w:t xml:space="preserve">, seule la nécropole de Vohémar a été fouillée (261 tombes, plus de 800 objets).</w:t>
      </w:r>
    </w:p>
    <w:p>
      <w:pPr>
        <w:pStyle w:val="BodyText"/>
      </w:pPr>
      <w:r>
        <w:rPr>
          <w:bCs/>
          <w:b/>
        </w:rPr>
        <w:t xml:space="preserve">La paternité de Ratsimilaho.</w:t>
      </w:r>
      <w:r>
        <w:t xml:space="preserve"> </w:t>
      </w:r>
      <w:r>
        <w:t xml:space="preserve">Les sources, toutes tardives (fin XVIIIe-XIXe siècle), divergent entre Thomas White, Thomas Tew et Thomas Collins comme père pirate. David Graeber souligne que ces récits, écrits des décennies après les faits, mêlent tradition orale et légende.</w:t>
      </w:r>
    </w:p>
    <w:p>
      <w:pPr>
        <w:pStyle w:val="BodyText"/>
      </w:pPr>
      <w:r>
        <w:rPr>
          <w:bCs/>
          <w:b/>
        </w:rPr>
        <w:t xml:space="preserve">La nature de la confédération betsimisaraka.</w:t>
      </w:r>
      <w:r>
        <w:t xml:space="preserve"> </w:t>
      </w:r>
      <w:r>
        <w:t xml:space="preserve">Alliance militaire personnelle et conjoncturelle (position majoritaire) contre lecture « étatique » (proto-royaume), héritée de l’historiographie coloniale.</w:t>
      </w:r>
    </w:p>
    <w:p>
      <w:pPr>
        <w:pStyle w:val="BodyText"/>
      </w:pPr>
      <w:r>
        <w:rPr>
          <w:bCs/>
          <w:b/>
        </w:rPr>
        <w:t xml:space="preserve">Libertalia.</w:t>
      </w:r>
      <w:r>
        <w:t xml:space="preserve"> </w:t>
      </w:r>
      <w:r>
        <w:t xml:space="preserve">Longtemps présentée comme un fait — une colonie pirate libertaire près de Diego-Suarez — cette histoire provient entièrement de</w:t>
      </w:r>
      <w:r>
        <w:t xml:space="preserve"> </w:t>
      </w:r>
      <w:r>
        <w:rPr>
          <w:iCs/>
          <w:i/>
        </w:rPr>
        <w:t xml:space="preserve">A General History of the Pyrates</w:t>
      </w:r>
      <w:r>
        <w:t xml:space="preserve"> </w:t>
      </w:r>
      <w:r>
        <w:t xml:space="preserve">(1724), texte attribué à Daniel Defoe.</w:t>
      </w:r>
      <w:r>
        <w:t xml:space="preserve"> </w:t>
      </w:r>
      <w:r>
        <w:rPr>
          <w:bCs/>
          <w:b/>
        </w:rPr>
        <w:t xml:space="preserve">Les historiens de la piraterie s’accordent : Libertalia n’a très probablement jamais existé.</w:t>
      </w:r>
      <w:r>
        <w:t xml:space="preserve"> </w:t>
      </w:r>
      <w:r>
        <w:t xml:space="preserve">C’est une fiction utopique du XVIIIe siècle. Graeber la réévalue non comme un fait mais comme un mythe révélateur des sociétés métissées réellement nées de la rencontre entre pirates et femmes malgaches — ce qui est une thèse séduisante et elle-même discutée.</w:t>
      </w:r>
    </w:p>
    <w:p>
      <w:pPr>
        <w:pStyle w:val="BodyText"/>
      </w:pPr>
      <w:r>
        <w:rPr>
          <w:bCs/>
          <w:b/>
        </w:rPr>
        <w:t xml:space="preserve">Les chiffres de la traite.</w:t>
      </w:r>
      <w:r>
        <w:t xml:space="preserve"> </w:t>
      </w:r>
      <w:r>
        <w:t xml:space="preserve">Ils proviennent presque exclusivement de la documentation des traitants européens. Les historiens s’accordent pour les considérer comme</w:t>
      </w:r>
      <w:r>
        <w:t xml:space="preserve"> </w:t>
      </w:r>
      <w:r>
        <w:rPr>
          <w:bCs/>
          <w:b/>
        </w:rPr>
        <w:t xml:space="preserve">sous-estimés</w:t>
      </w:r>
      <w:r>
        <w:t xml:space="preserve"> </w:t>
      </w:r>
      <w:r>
        <w:t xml:space="preserve">pour la traite intra-africaine, comorienne et interne malgache, faute de sources écrites locales.</w:t>
      </w:r>
    </w:p>
    <w:p>
      <w:pPr>
        <w:pStyle w:val="BodyText"/>
      </w:pPr>
      <w:r>
        <w:rPr>
          <w:bCs/>
          <w:b/>
        </w:rPr>
        <w:t xml:space="preserve">La fiabilité de Flacourt.</w:t>
      </w:r>
      <w:r>
        <w:t xml:space="preserve"> </w:t>
      </w:r>
      <w:r>
        <w:t xml:space="preserve">Source unique et riche (ethnographie, langue, botanique), mais écrite par un administrateur colonial en conflit ouvert avec les populations qu’il décrit, avec un regard européocentré et une fonction auto-justificatrice de l’échec de Fort-Dauphin.</w:t>
      </w:r>
    </w:p>
    <w:bookmarkEnd w:id="50"/>
    <w:bookmarkStart w:id="51" w:name="ce-que-raconte-la-tradition-1"/>
    <w:p>
      <w:pPr>
        <w:pStyle w:val="Heading2"/>
      </w:pPr>
      <w:r>
        <w:t xml:space="preserve">Ce que raconte la tradition</w:t>
      </w:r>
    </w:p>
    <w:p>
      <w:pPr>
        <w:pStyle w:val="FirstParagraph"/>
      </w:pPr>
      <w:r>
        <w:t xml:space="preserve">Le</w:t>
      </w:r>
      <w:r>
        <w:t xml:space="preserve"> </w:t>
      </w:r>
      <w:r>
        <w:rPr>
          <w:iCs/>
          <w:i/>
          <w:bCs/>
          <w:b/>
        </w:rPr>
        <w:t xml:space="preserve">Tantara ny Andriana eto Madagasikara</w:t>
      </w:r>
      <w:r>
        <w:t xml:space="preserve">, compilé au XIXe siècle par le père jésuite François Callet à partir de traditions orales, présente</w:t>
      </w:r>
      <w:r>
        <w:t xml:space="preserve"> </w:t>
      </w:r>
      <w:r>
        <w:rPr>
          <w:bCs/>
          <w:b/>
        </w:rPr>
        <w:t xml:space="preserve">Ralambo</w:t>
      </w:r>
      <w:r>
        <w:t xml:space="preserve"> </w:t>
      </w:r>
      <w:r>
        <w:t xml:space="preserve">comme le souverain qui reçut miraculeusement le zébu et sut en faire un symbole de pouvoir, et</w:t>
      </w:r>
      <w:r>
        <w:t xml:space="preserve"> </w:t>
      </w:r>
      <w:r>
        <w:rPr>
          <w:bCs/>
          <w:b/>
        </w:rPr>
        <w:t xml:space="preserve">Andrianjaka</w:t>
      </w:r>
      <w:r>
        <w:t xml:space="preserve"> </w:t>
      </w:r>
      <w:r>
        <w:t xml:space="preserve">comme un conquérant presque pacifique d’Analamanga, les Vazimba se soumettant sans grand combat.</w:t>
      </w:r>
    </w:p>
    <w:p>
      <w:pPr>
        <w:pStyle w:val="BodyText"/>
      </w:pPr>
      <w:r>
        <w:t xml:space="preserve">Chez les</w:t>
      </w:r>
      <w:r>
        <w:t xml:space="preserve"> </w:t>
      </w:r>
      <w:r>
        <w:rPr>
          <w:bCs/>
          <w:b/>
        </w:rPr>
        <w:t xml:space="preserve">Sakalava</w:t>
      </w:r>
      <w:r>
        <w:t xml:space="preserve">, les</w:t>
      </w:r>
      <w:r>
        <w:t xml:space="preserve"> </w:t>
      </w:r>
      <w:r>
        <w:rPr>
          <w:iCs/>
          <w:i/>
        </w:rPr>
        <w:t xml:space="preserve">dady</w:t>
      </w:r>
      <w:r>
        <w:t xml:space="preserve"> </w:t>
      </w:r>
      <w:r>
        <w:t xml:space="preserve">— reliques corporelles des souverains défunts — sont vénérées comme sources vivantes de légitimité et de</w:t>
      </w:r>
      <w:r>
        <w:t xml:space="preserve"> </w:t>
      </w:r>
      <w:r>
        <w:rPr>
          <w:iCs/>
          <w:i/>
        </w:rPr>
        <w:t xml:space="preserve">hasina</w:t>
      </w:r>
      <w:r>
        <w:t xml:space="preserve">. Le culte perdure aujourd’hui.</w:t>
      </w:r>
    </w:p>
    <w:p>
      <w:pPr>
        <w:pStyle w:val="BodyText"/>
      </w:pPr>
      <w:r>
        <w:t xml:space="preserve">Chez les</w:t>
      </w:r>
      <w:r>
        <w:t xml:space="preserve"> </w:t>
      </w:r>
      <w:r>
        <w:rPr>
          <w:bCs/>
          <w:b/>
        </w:rPr>
        <w:t xml:space="preserve">Antemoro</w:t>
      </w:r>
      <w:r>
        <w:t xml:space="preserve">, la tradition insiste sur l’ascendance arabe prestigieuse des Zafiraminia et sur le rôle sacré des ombiasy, gardiens du savoir écrit et du calcul astrologique (</w:t>
      </w:r>
      <w:r>
        <w:rPr>
          <w:iCs/>
          <w:i/>
        </w:rPr>
        <w:t xml:space="preserve">vintana</w:t>
      </w:r>
      <w:r>
        <w:t xml:space="preserve">).</w:t>
      </w:r>
    </w:p>
    <w:p>
      <w:pPr>
        <w:pStyle w:val="BodyText"/>
      </w:pPr>
      <w:r>
        <w:t xml:space="preserve">La tradition</w:t>
      </w:r>
      <w:r>
        <w:t xml:space="preserve"> </w:t>
      </w:r>
      <w:r>
        <w:rPr>
          <w:bCs/>
          <w:b/>
        </w:rPr>
        <w:t xml:space="preserve">betsimisaraka</w:t>
      </w:r>
      <w:r>
        <w:t xml:space="preserve"> </w:t>
      </w:r>
      <w:r>
        <w:t xml:space="preserve">retient Ratsimilaho comme un héros unificateur, fils d’un « prince blanc » venu de la mer — un mythe qui légitime rétrospectivement une confédération en réalité fragile.</w:t>
      </w:r>
    </w:p>
    <w:bookmarkEnd w:id="51"/>
    <w:bookmarkStart w:id="52" w:name="erreurs-à-éviter-à-lantenne-1"/>
    <w:p>
      <w:pPr>
        <w:pStyle w:val="Heading2"/>
      </w:pPr>
      <w:r>
        <w:t xml:space="preserve">Erreurs à éviter à l’antenne</w:t>
      </w:r>
    </w:p>
    <w:p>
      <w:pPr>
        <w:numPr>
          <w:ilvl w:val="0"/>
          <w:numId w:val="1013"/>
        </w:numPr>
        <w:pStyle w:val="Compact"/>
      </w:pPr>
      <w:r>
        <w:rPr>
          <w:bCs/>
          <w:b/>
        </w:rPr>
        <w:t xml:space="preserve">Ne pas dire que Madagascar était « sans organisation politique » avant les Merina.</w:t>
      </w:r>
      <w:r>
        <w:t xml:space="preserve"> </w:t>
      </w:r>
      <w:r>
        <w:t xml:space="preserve">Des royaumes et des cités-États complexes existaient depuis des siècles sur les côtes.</w:t>
      </w:r>
    </w:p>
    <w:p>
      <w:pPr>
        <w:numPr>
          <w:ilvl w:val="0"/>
          <w:numId w:val="1013"/>
        </w:numPr>
        <w:pStyle w:val="Compact"/>
      </w:pPr>
      <w:r>
        <w:rPr>
          <w:bCs/>
          <w:b/>
        </w:rPr>
        <w:t xml:space="preserve">Ne pas présenter Libertalia comme un fait.</w:t>
      </w:r>
      <w:r>
        <w:t xml:space="preserve"> </w:t>
      </w:r>
      <w:r>
        <w:t xml:space="preserve">C’est une fiction littéraire, même adossée à un fond réel.</w:t>
      </w:r>
    </w:p>
    <w:p>
      <w:pPr>
        <w:numPr>
          <w:ilvl w:val="0"/>
          <w:numId w:val="1013"/>
        </w:numPr>
        <w:pStyle w:val="Compact"/>
      </w:pPr>
      <w:r>
        <w:rPr>
          <w:bCs/>
          <w:b/>
        </w:rPr>
        <w:t xml:space="preserve">Ne pas confondre l’islamisation de certaines côtes avec une conversion générale de l’île.</w:t>
      </w:r>
    </w:p>
    <w:p>
      <w:pPr>
        <w:numPr>
          <w:ilvl w:val="0"/>
          <w:numId w:val="1013"/>
        </w:numPr>
        <w:pStyle w:val="Compact"/>
      </w:pPr>
      <w:r>
        <w:rPr>
          <w:bCs/>
          <w:b/>
        </w:rPr>
        <w:t xml:space="preserve">Ne pas raconter la traite comme « Européens contre Malgaches ».</w:t>
      </w:r>
      <w:r>
        <w:t xml:space="preserve"> </w:t>
      </w:r>
      <w:r>
        <w:t xml:space="preserve">Madagascar fut à la fois</w:t>
      </w:r>
      <w:r>
        <w:t xml:space="preserve"> </w:t>
      </w:r>
      <w:r>
        <w:rPr>
          <w:bCs/>
          <w:b/>
        </w:rPr>
        <w:t xml:space="preserve">fournisseur</w:t>
      </w:r>
      <w:r>
        <w:t xml:space="preserve"> </w:t>
      </w:r>
      <w:r>
        <w:t xml:space="preserve">(razzias sakalava vers les Comores et l’Afrique de l’Est, ventes internes) et</w:t>
      </w:r>
      <w:r>
        <w:t xml:space="preserve"> </w:t>
      </w:r>
      <w:r>
        <w:rPr>
          <w:bCs/>
          <w:b/>
        </w:rPr>
        <w:t xml:space="preserve">victime</w:t>
      </w:r>
      <w:r>
        <w:t xml:space="preserve"> </w:t>
      </w:r>
      <w:r>
        <w:t xml:space="preserve">(déportations vers les Mascareignes).</w:t>
      </w:r>
    </w:p>
    <w:p>
      <w:pPr>
        <w:numPr>
          <w:ilvl w:val="0"/>
          <w:numId w:val="1013"/>
        </w:numPr>
        <w:pStyle w:val="Compact"/>
      </w:pPr>
      <w:r>
        <w:rPr>
          <w:bCs/>
          <w:b/>
        </w:rPr>
        <w:t xml:space="preserve">Ne pas traiter Flacourt comme un observateur neutre.</w:t>
      </w:r>
    </w:p>
    <w:p>
      <w:pPr>
        <w:numPr>
          <w:ilvl w:val="0"/>
          <w:numId w:val="1013"/>
        </w:numPr>
        <w:pStyle w:val="Compact"/>
      </w:pPr>
      <w:r>
        <w:rPr>
          <w:bCs/>
          <w:b/>
        </w:rPr>
        <w:t xml:space="preserve">Ne pas faire de Ratsimilaho un « roi » au sens européen.</w:t>
      </w:r>
      <w:r>
        <w:t xml:space="preserve"> </w:t>
      </w:r>
      <w:r>
        <w:t xml:space="preserve">Son autorité était personnelle ; elle est morte avec lui.</w:t>
      </w:r>
    </w:p>
    <w:p>
      <w:pPr>
        <w:numPr>
          <w:ilvl w:val="0"/>
          <w:numId w:val="1013"/>
        </w:numPr>
        <w:pStyle w:val="Compact"/>
      </w:pPr>
      <w:r>
        <w:rPr>
          <w:bCs/>
          <w:b/>
        </w:rPr>
        <w:t xml:space="preserve">Ne pas donner de dates précises pour Ralambo et Andrianjaka.</w:t>
      </w:r>
      <w:r>
        <w:t xml:space="preserve"> </w:t>
      </w:r>
      <w:r>
        <w:t xml:space="preserve">Les traditions varient de dix à quinze ans.</w:t>
      </w:r>
    </w:p>
    <w:bookmarkEnd w:id="52"/>
    <w:bookmarkStart w:id="53" w:name="accroches-1"/>
    <w:p>
      <w:pPr>
        <w:pStyle w:val="Heading2"/>
      </w:pPr>
      <w:r>
        <w:t xml:space="preserve">Accroches</w:t>
      </w:r>
    </w:p>
    <w:p>
      <w:pPr>
        <w:pStyle w:val="BlockText"/>
      </w:pPr>
      <w:r>
        <w:t xml:space="preserve">« Bien avant qu’un roi merina n’unifie les Hautes Terres, des marchands swahili négociaient déjà de la porcelaine chinoise contre de l’or et des esclaves sur les côtes du nord de Madagascar. »</w:t>
      </w:r>
    </w:p>
    <w:p>
      <w:pPr>
        <w:pStyle w:val="BlockText"/>
      </w:pPr>
      <w:r>
        <w:t xml:space="preserve">« Sur une petite île au large de la côte est, des pirates en fuite ont peut-être fondé, le temps d’une génération, la première société sans roi de l’océan Indien — ou peut-être n’ont-ils fait qu’inspirer l’un des plus beaux canulars littéraires du XVIIIe siècle. »</w:t>
      </w:r>
    </w:p>
    <w:p>
      <w:pPr>
        <w:pStyle w:val="BlockText"/>
      </w:pPr>
      <w:r>
        <w:t xml:space="preserve">« Fils d’un naufragé anglais et d’une princesse malgache, ou pure légende façonnée après coup : l’histoire de Ratsimilaho résume à elle seule l’incertitude qui entoure la naissance des royaumes malgaches. »</w:t>
      </w:r>
    </w:p>
    <w:bookmarkEnd w:id="53"/>
    <w:bookmarkEnd w:id="54"/>
    <w:bookmarkStart w:id="66" w:name="Xa8b3ce8bf5551e143c80b0eca5389635c582032"/>
    <w:p>
      <w:pPr>
        <w:pStyle w:val="Heading1"/>
      </w:pPr>
      <w:r>
        <w:t xml:space="preserve">PÉRIODE 3 — Le royaume de Madagascar (1787-1895)</w:t>
      </w:r>
    </w:p>
    <w:p>
      <w:pPr>
        <w:pStyle w:val="FirstParagraph"/>
      </w:pPr>
      <w:r>
        <w:rPr>
          <w:iCs/>
          <w:i/>
        </w:rPr>
        <w:t xml:space="preserve">Épisodes 11 à 15</w:t>
      </w:r>
    </w:p>
    <w:bookmarkStart w:id="55" w:name="chronologie-2"/>
    <w:p>
      <w:pPr>
        <w:pStyle w:val="Heading2"/>
      </w:pPr>
      <w:r>
        <w:t xml:space="preserve">Chronologie</w:t>
      </w:r>
    </w:p>
    <w:p>
      <w:pPr>
        <w:numPr>
          <w:ilvl w:val="0"/>
          <w:numId w:val="1014"/>
        </w:numPr>
        <w:pStyle w:val="Compact"/>
      </w:pPr>
      <w:r>
        <w:rPr>
          <w:bCs/>
          <w:b/>
        </w:rPr>
        <w:t xml:space="preserve">v. 1787</w:t>
      </w:r>
      <w:r>
        <w:t xml:space="preserve"> </w:t>
      </w:r>
      <w:r>
        <w:t xml:space="preserve">—</w:t>
      </w:r>
      <w:r>
        <w:t xml:space="preserve"> </w:t>
      </w:r>
      <w:r>
        <w:rPr>
          <w:bCs/>
          <w:b/>
        </w:rPr>
        <w:t xml:space="preserve">Andrianampoinimerina</w:t>
      </w:r>
      <w:r>
        <w:t xml:space="preserve"> </w:t>
      </w:r>
      <w:r>
        <w:t xml:space="preserve">prend Ambohimanga et entame l’unification des principautés rivales de l’Imerina.</w:t>
      </w:r>
      <w:r>
        <w:t xml:space="preserve"> </w:t>
      </w:r>
      <w:r>
        <w:rPr>
          <w:bCs/>
          <w:b/>
        </w:rPr>
        <w:t xml:space="preserve">[PROBABLE]</w:t>
      </w:r>
      <w:r>
        <w:t xml:space="preserve"> </w:t>
      </w:r>
      <w:r>
        <w:t xml:space="preserve">— les dates de règne merina sont reconstituées a posteriori.</w:t>
      </w:r>
    </w:p>
    <w:p>
      <w:pPr>
        <w:numPr>
          <w:ilvl w:val="0"/>
          <w:numId w:val="1014"/>
        </w:numPr>
        <w:pStyle w:val="Compact"/>
      </w:pPr>
      <w:r>
        <w:rPr>
          <w:bCs/>
          <w:b/>
        </w:rPr>
        <w:t xml:space="preserve">1794-1796</w:t>
      </w:r>
      <w:r>
        <w:t xml:space="preserve"> </w:t>
      </w:r>
      <w:r>
        <w:t xml:space="preserve">— Conquête d’Antananarivo, qui devient capitale unique.</w:t>
      </w:r>
      <w:r>
        <w:t xml:space="preserve"> </w:t>
      </w:r>
      <w:r>
        <w:rPr>
          <w:bCs/>
          <w:b/>
        </w:rPr>
        <w:t xml:space="preserve">[PROBABLE]</w:t>
      </w:r>
    </w:p>
    <w:p>
      <w:pPr>
        <w:numPr>
          <w:ilvl w:val="0"/>
          <w:numId w:val="1014"/>
        </w:numPr>
        <w:pStyle w:val="Compact"/>
      </w:pPr>
      <w:r>
        <w:rPr>
          <w:bCs/>
          <w:b/>
        </w:rPr>
        <w:t xml:space="preserve">Règne d’Andrianampoinimerina</w:t>
      </w:r>
      <w:r>
        <w:t xml:space="preserve"> </w:t>
      </w:r>
      <w:r>
        <w:t xml:space="preserve">— Réforme foncière : les terres royales sont redistribuées aux clans en échange du service au roi. Institutionnalisation du</w:t>
      </w:r>
      <w:r>
        <w:t xml:space="preserve"> </w:t>
      </w:r>
      <w:r>
        <w:rPr>
          <w:iCs/>
          <w:i/>
          <w:bCs/>
          <w:b/>
        </w:rPr>
        <w:t xml:space="preserve">fanompoana</w:t>
      </w:r>
      <w:r>
        <w:t xml:space="preserve">, la corvée royale non salariée.</w:t>
      </w:r>
      <w:r>
        <w:t xml:space="preserve"> </w:t>
      </w:r>
      <w:r>
        <w:rPr>
          <w:bCs/>
          <w:b/>
        </w:rPr>
        <w:t xml:space="preserve">[SÛR]</w:t>
      </w:r>
    </w:p>
    <w:p>
      <w:pPr>
        <w:numPr>
          <w:ilvl w:val="0"/>
          <w:numId w:val="1014"/>
        </w:numPr>
        <w:pStyle w:val="Compact"/>
      </w:pPr>
      <w:r>
        <w:rPr>
          <w:bCs/>
          <w:b/>
        </w:rPr>
        <w:t xml:space="preserve">Règne d’Andrianampoinimerina</w:t>
      </w:r>
      <w:r>
        <w:t xml:space="preserve"> </w:t>
      </w:r>
      <w:r>
        <w:t xml:space="preserve">— Grands travaux hydrauliques de la plaine du</w:t>
      </w:r>
      <w:r>
        <w:t xml:space="preserve"> </w:t>
      </w:r>
      <w:r>
        <w:rPr>
          <w:bCs/>
          <w:b/>
        </w:rPr>
        <w:t xml:space="preserve">Betsimitatatra</w:t>
      </w:r>
      <w:r>
        <w:t xml:space="preserve"> </w:t>
      </w:r>
      <w:r>
        <w:t xml:space="preserve">autour d’Antananarivo : digues, drainage, rizières irriguées, réalisés par corvée.</w:t>
      </w:r>
      <w:r>
        <w:t xml:space="preserve"> </w:t>
      </w:r>
      <w:r>
        <w:rPr>
          <w:bCs/>
          <w:b/>
        </w:rPr>
        <w:t xml:space="preserve">[SÛR]</w:t>
      </w:r>
    </w:p>
    <w:p>
      <w:pPr>
        <w:numPr>
          <w:ilvl w:val="0"/>
          <w:numId w:val="1014"/>
        </w:numPr>
        <w:pStyle w:val="Compact"/>
      </w:pPr>
      <w:r>
        <w:rPr>
          <w:bCs/>
          <w:b/>
        </w:rPr>
        <w:t xml:space="preserve">Attribué</w:t>
      </w:r>
      <w:r>
        <w:t xml:space="preserve"> </w:t>
      </w:r>
      <w:r>
        <w:t xml:space="preserve">— Le kabary</w:t>
      </w:r>
      <w:r>
        <w:t xml:space="preserve"> </w:t>
      </w:r>
      <w:r>
        <w:rPr>
          <w:iCs/>
          <w:i/>
        </w:rPr>
        <w:t xml:space="preserve">« Ny ranomasina no valamparihiko »</w:t>
      </w:r>
      <w:r>
        <w:t xml:space="preserve"> </w:t>
      </w:r>
      <w:r>
        <w:t xml:space="preserve">— « la mer sera la limite de ma rizière ».</w:t>
      </w:r>
      <w:r>
        <w:t xml:space="preserve"> </w:t>
      </w:r>
      <w:r>
        <w:rPr>
          <w:bCs/>
          <w:b/>
        </w:rPr>
        <w:t xml:space="preserve">[TRADITION]</w:t>
      </w:r>
      <w:r>
        <w:t xml:space="preserve"> </w:t>
      </w:r>
      <w:r>
        <w:t xml:space="preserve">— transmis oralement, fixé par écrit des décennies plus tard.</w:t>
      </w:r>
    </w:p>
    <w:p>
      <w:pPr>
        <w:numPr>
          <w:ilvl w:val="0"/>
          <w:numId w:val="1014"/>
        </w:numPr>
        <w:pStyle w:val="Compact"/>
      </w:pPr>
      <w:r>
        <w:rPr>
          <w:bCs/>
          <w:b/>
        </w:rPr>
        <w:t xml:space="preserve">1810</w:t>
      </w:r>
      <w:r>
        <w:t xml:space="preserve"> </w:t>
      </w:r>
      <w:r>
        <w:t xml:space="preserve">— Mort d’Andrianampoinimerina ;</w:t>
      </w:r>
      <w:r>
        <w:t xml:space="preserve"> </w:t>
      </w:r>
      <w:r>
        <w:rPr>
          <w:bCs/>
          <w:b/>
        </w:rPr>
        <w:t xml:space="preserve">Radama Ier</w:t>
      </w:r>
      <w:r>
        <w:t xml:space="preserve"> </w:t>
      </w:r>
      <w:r>
        <w:t xml:space="preserve">lui succède.</w:t>
      </w:r>
      <w:r>
        <w:t xml:space="preserve"> </w:t>
      </w:r>
      <w:r>
        <w:rPr>
          <w:bCs/>
          <w:b/>
        </w:rPr>
        <w:t xml:space="preserve">[SÛR]</w:t>
      </w:r>
    </w:p>
    <w:p>
      <w:pPr>
        <w:numPr>
          <w:ilvl w:val="0"/>
          <w:numId w:val="1014"/>
        </w:numPr>
        <w:pStyle w:val="Compact"/>
      </w:pPr>
      <w:r>
        <w:rPr>
          <w:bCs/>
          <w:b/>
        </w:rPr>
        <w:t xml:space="preserve">1817</w:t>
      </w:r>
      <w:r>
        <w:t xml:space="preserve"> </w:t>
      </w:r>
      <w:r>
        <w:t xml:space="preserve">— Traité Radama Ier /</w:t>
      </w:r>
      <w:r>
        <w:t xml:space="preserve"> </w:t>
      </w:r>
      <w:r>
        <w:rPr>
          <w:bCs/>
          <w:b/>
        </w:rPr>
        <w:t xml:space="preserve">Robert Farquhar</w:t>
      </w:r>
      <w:r>
        <w:t xml:space="preserve"> </w:t>
      </w:r>
      <w:r>
        <w:t xml:space="preserve">(gouverneur britannique de Maurice) : Londres reconnaît Radama comme « roi de Madagascar » — au-delà de l’Imerina — contre l’interdiction de la traite extérieure et une compensation annuelle.</w:t>
      </w:r>
      <w:r>
        <w:t xml:space="preserve"> </w:t>
      </w:r>
      <w:r>
        <w:rPr>
          <w:bCs/>
          <w:b/>
        </w:rPr>
        <w:t xml:space="preserve">[SÛR]</w:t>
      </w:r>
    </w:p>
    <w:p>
      <w:pPr>
        <w:numPr>
          <w:ilvl w:val="0"/>
          <w:numId w:val="1014"/>
        </w:numPr>
        <w:pStyle w:val="Compact"/>
      </w:pPr>
      <w:r>
        <w:rPr>
          <w:bCs/>
          <w:b/>
        </w:rPr>
        <w:t xml:space="preserve">1820</w:t>
      </w:r>
      <w:r>
        <w:t xml:space="preserve"> </w:t>
      </w:r>
      <w:r>
        <w:t xml:space="preserve">— Renouvellement du traité.</w:t>
      </w:r>
      <w:r>
        <w:t xml:space="preserve"> </w:t>
      </w:r>
      <w:r>
        <w:rPr>
          <w:bCs/>
          <w:b/>
        </w:rPr>
        <w:t xml:space="preserve">James Hastie</w:t>
      </w:r>
      <w:r>
        <w:t xml:space="preserve"> </w:t>
      </w:r>
      <w:r>
        <w:t xml:space="preserve">devient agent britannique résident à Antananarivo et encadre l’armée merina.</w:t>
      </w:r>
      <w:r>
        <w:t xml:space="preserve"> </w:t>
      </w:r>
      <w:r>
        <w:rPr>
          <w:bCs/>
          <w:b/>
        </w:rPr>
        <w:t xml:space="preserve">[SÛR]</w:t>
      </w:r>
    </w:p>
    <w:p>
      <w:pPr>
        <w:numPr>
          <w:ilvl w:val="0"/>
          <w:numId w:val="1014"/>
        </w:numPr>
        <w:pStyle w:val="Compact"/>
      </w:pPr>
      <w:r>
        <w:rPr>
          <w:bCs/>
          <w:b/>
        </w:rPr>
        <w:t xml:space="preserve">1820</w:t>
      </w:r>
      <w:r>
        <w:t xml:space="preserve"> </w:t>
      </w:r>
      <w:r>
        <w:t xml:space="preserve">— Arrivée des missionnaires de la</w:t>
      </w:r>
      <w:r>
        <w:t xml:space="preserve"> </w:t>
      </w:r>
      <w:r>
        <w:rPr>
          <w:bCs/>
          <w:b/>
        </w:rPr>
        <w:t xml:space="preserve">London Missionary Society</w:t>
      </w:r>
      <w:r>
        <w:t xml:space="preserve">, dont</w:t>
      </w:r>
      <w:r>
        <w:t xml:space="preserve"> </w:t>
      </w:r>
      <w:r>
        <w:rPr>
          <w:bCs/>
          <w:b/>
        </w:rPr>
        <w:t xml:space="preserve">David Jones</w:t>
      </w:r>
      <w:r>
        <w:t xml:space="preserve"> </w:t>
      </w:r>
      <w:r>
        <w:t xml:space="preserve">et</w:t>
      </w:r>
      <w:r>
        <w:t xml:space="preserve"> </w:t>
      </w:r>
      <w:r>
        <w:rPr>
          <w:bCs/>
          <w:b/>
        </w:rPr>
        <w:t xml:space="preserve">David Griffiths</w:t>
      </w:r>
      <w:r>
        <w:t xml:space="preserve">.</w:t>
      </w:r>
      <w:r>
        <w:t xml:space="preserve"> </w:t>
      </w:r>
      <w:r>
        <w:rPr>
          <w:bCs/>
          <w:b/>
        </w:rPr>
        <w:t xml:space="preserve">[SÛR]</w:t>
      </w:r>
    </w:p>
    <w:p>
      <w:pPr>
        <w:numPr>
          <w:ilvl w:val="0"/>
          <w:numId w:val="1014"/>
        </w:numPr>
        <w:pStyle w:val="Compact"/>
      </w:pPr>
      <w:r>
        <w:rPr>
          <w:bCs/>
          <w:b/>
        </w:rPr>
        <w:t xml:space="preserve">1823</w:t>
      </w:r>
      <w:r>
        <w:t xml:space="preserve"> </w:t>
      </w:r>
      <w:r>
        <w:t xml:space="preserve">—</w:t>
      </w:r>
      <w:r>
        <w:t xml:space="preserve"> </w:t>
      </w:r>
      <w:r>
        <w:rPr>
          <w:bCs/>
          <w:b/>
        </w:rPr>
        <w:t xml:space="preserve">Transcription du malgache en alphabet latin</w:t>
      </w:r>
      <w:r>
        <w:t xml:space="preserve"> </w:t>
      </w:r>
      <w:r>
        <w:t xml:space="preserve">par la LMS avec l’appui de Radama, en remplacement partiel du sorabe.</w:t>
      </w:r>
      <w:r>
        <w:t xml:space="preserve"> </w:t>
      </w:r>
      <w:r>
        <w:rPr>
          <w:bCs/>
          <w:b/>
        </w:rPr>
        <w:t xml:space="preserve">[SÛR]</w:t>
      </w:r>
    </w:p>
    <w:p>
      <w:pPr>
        <w:numPr>
          <w:ilvl w:val="0"/>
          <w:numId w:val="1014"/>
        </w:numPr>
        <w:pStyle w:val="Compact"/>
      </w:pPr>
      <w:r>
        <w:rPr>
          <w:bCs/>
          <w:b/>
        </w:rPr>
        <w:t xml:space="preserve">1820-1828</w:t>
      </w:r>
      <w:r>
        <w:t xml:space="preserve"> </w:t>
      </w:r>
      <w:r>
        <w:t xml:space="preserve">— Campagnes militaires merina : hauts plateaux, pays betsileo, une partie de la côte. Les royaumes sakalava et le Sud restent hors de portée.</w:t>
      </w:r>
      <w:r>
        <w:t xml:space="preserve"> </w:t>
      </w:r>
      <w:r>
        <w:rPr>
          <w:bCs/>
          <w:b/>
        </w:rPr>
        <w:t xml:space="preserve">[SÛR]</w:t>
      </w:r>
    </w:p>
    <w:p>
      <w:pPr>
        <w:numPr>
          <w:ilvl w:val="0"/>
          <w:numId w:val="1014"/>
        </w:numPr>
        <w:pStyle w:val="Compact"/>
      </w:pPr>
      <w:r>
        <w:rPr>
          <w:bCs/>
          <w:b/>
        </w:rPr>
        <w:t xml:space="preserve">1828</w:t>
      </w:r>
      <w:r>
        <w:t xml:space="preserve"> </w:t>
      </w:r>
      <w:r>
        <w:t xml:space="preserve">— Mort de Radama Ier.</w:t>
      </w:r>
      <w:r>
        <w:t xml:space="preserve"> </w:t>
      </w:r>
      <w:r>
        <w:rPr>
          <w:bCs/>
          <w:b/>
        </w:rPr>
        <w:t xml:space="preserve">[PROBABLE]</w:t>
      </w:r>
      <w:r>
        <w:t xml:space="preserve"> </w:t>
      </w:r>
      <w:r>
        <w:t xml:space="preserve">pour les causes (alcoolisme, maladie évoqués).</w:t>
      </w:r>
    </w:p>
    <w:p>
      <w:pPr>
        <w:numPr>
          <w:ilvl w:val="0"/>
          <w:numId w:val="1014"/>
        </w:numPr>
        <w:pStyle w:val="Compact"/>
      </w:pPr>
      <w:r>
        <w:rPr>
          <w:bCs/>
          <w:b/>
        </w:rPr>
        <w:t xml:space="preserve">1828</w:t>
      </w:r>
      <w:r>
        <w:t xml:space="preserve"> </w:t>
      </w:r>
      <w:r>
        <w:t xml:space="preserve">—</w:t>
      </w:r>
      <w:r>
        <w:t xml:space="preserve"> </w:t>
      </w:r>
      <w:r>
        <w:rPr>
          <w:bCs/>
          <w:b/>
        </w:rPr>
        <w:t xml:space="preserve">Ranavalona Ire</w:t>
      </w:r>
      <w:r>
        <w:t xml:space="preserve"> </w:t>
      </w:r>
      <w:r>
        <w:t xml:space="preserve">accède au trône, écartant l’héritier désigné Rakotobe.</w:t>
      </w:r>
      <w:r>
        <w:t xml:space="preserve"> </w:t>
      </w:r>
      <w:r>
        <w:rPr>
          <w:bCs/>
          <w:b/>
        </w:rPr>
        <w:t xml:space="preserve">[SÛR]</w:t>
      </w:r>
    </w:p>
    <w:p>
      <w:pPr>
        <w:numPr>
          <w:ilvl w:val="0"/>
          <w:numId w:val="1014"/>
        </w:numPr>
        <w:pStyle w:val="Compact"/>
      </w:pPr>
      <w:r>
        <w:rPr>
          <w:bCs/>
          <w:b/>
        </w:rPr>
        <w:t xml:space="preserve">1831-1857</w:t>
      </w:r>
      <w:r>
        <w:t xml:space="preserve"> </w:t>
      </w:r>
      <w:r>
        <w:t xml:space="preserve">—</w:t>
      </w:r>
      <w:r>
        <w:t xml:space="preserve"> </w:t>
      </w:r>
      <w:r>
        <w:rPr>
          <w:bCs/>
          <w:b/>
        </w:rPr>
        <w:t xml:space="preserve">Jean Laborde</w:t>
      </w:r>
      <w:r>
        <w:t xml:space="preserve">, naufragé français recueilli par la reine, dirige le complexe industriel de</w:t>
      </w:r>
      <w:r>
        <w:t xml:space="preserve"> </w:t>
      </w:r>
      <w:r>
        <w:rPr>
          <w:bCs/>
          <w:b/>
        </w:rPr>
        <w:t xml:space="preserve">Mantasoa</w:t>
      </w:r>
      <w:r>
        <w:t xml:space="preserve"> </w:t>
      </w:r>
      <w:r>
        <w:t xml:space="preserve">: fonderies, verrerie, armement — pour affranchir le royaume des importations européennes.</w:t>
      </w:r>
      <w:r>
        <w:t xml:space="preserve"> </w:t>
      </w:r>
      <w:r>
        <w:rPr>
          <w:bCs/>
          <w:b/>
        </w:rPr>
        <w:t xml:space="preserve">[SÛR]</w:t>
      </w:r>
    </w:p>
    <w:p>
      <w:pPr>
        <w:numPr>
          <w:ilvl w:val="0"/>
          <w:numId w:val="1014"/>
        </w:numPr>
        <w:pStyle w:val="Compact"/>
      </w:pPr>
      <w:r>
        <w:rPr>
          <w:bCs/>
          <w:b/>
        </w:rPr>
        <w:t xml:space="preserve">1835</w:t>
      </w:r>
      <w:r>
        <w:t xml:space="preserve"> </w:t>
      </w:r>
      <w:r>
        <w:t xml:space="preserve">— Kabary interdisant le christianisme ; expulsion des missionnaires en 1836.</w:t>
      </w:r>
      <w:r>
        <w:t xml:space="preserve"> </w:t>
      </w:r>
      <w:r>
        <w:rPr>
          <w:bCs/>
          <w:b/>
        </w:rPr>
        <w:t xml:space="preserve">[SÛR]</w:t>
      </w:r>
    </w:p>
    <w:p>
      <w:pPr>
        <w:numPr>
          <w:ilvl w:val="0"/>
          <w:numId w:val="1014"/>
        </w:numPr>
        <w:pStyle w:val="Compact"/>
      </w:pPr>
      <w:r>
        <w:rPr>
          <w:bCs/>
          <w:b/>
        </w:rPr>
        <w:t xml:space="preserve">1837</w:t>
      </w:r>
      <w:r>
        <w:t xml:space="preserve"> </w:t>
      </w:r>
      <w:r>
        <w:t xml:space="preserve">— Exécution de</w:t>
      </w:r>
      <w:r>
        <w:t xml:space="preserve"> </w:t>
      </w:r>
      <w:r>
        <w:rPr>
          <w:bCs/>
          <w:b/>
        </w:rPr>
        <w:t xml:space="preserve">Rasalama</w:t>
      </w:r>
      <w:r>
        <w:t xml:space="preserve">, première martyre chrétienne malgache.</w:t>
      </w:r>
      <w:r>
        <w:t xml:space="preserve"> </w:t>
      </w:r>
      <w:r>
        <w:rPr>
          <w:bCs/>
          <w:b/>
        </w:rPr>
        <w:t xml:space="preserve">[SÛR]</w:t>
      </w:r>
    </w:p>
    <w:p>
      <w:pPr>
        <w:numPr>
          <w:ilvl w:val="0"/>
          <w:numId w:val="1014"/>
        </w:numPr>
        <w:pStyle w:val="Compact"/>
      </w:pPr>
      <w:r>
        <w:rPr>
          <w:bCs/>
          <w:b/>
        </w:rPr>
        <w:t xml:space="preserve">1845</w:t>
      </w:r>
      <w:r>
        <w:t xml:space="preserve"> </w:t>
      </w:r>
      <w:r>
        <w:t xml:space="preserve">— Expédition franco-britannique punitive contre</w:t>
      </w:r>
      <w:r>
        <w:t xml:space="preserve"> </w:t>
      </w:r>
      <w:r>
        <w:rPr>
          <w:bCs/>
          <w:b/>
        </w:rPr>
        <w:t xml:space="preserve">Toamasina</w:t>
      </w:r>
      <w:r>
        <w:t xml:space="preserve">, repoussée. Fermeture du royaume au commerce européen pour plusieurs années.</w:t>
      </w:r>
      <w:r>
        <w:t xml:space="preserve"> </w:t>
      </w:r>
      <w:r>
        <w:rPr>
          <w:bCs/>
          <w:b/>
        </w:rPr>
        <w:t xml:space="preserve">[SÛR]</w:t>
      </w:r>
    </w:p>
    <w:p>
      <w:pPr>
        <w:numPr>
          <w:ilvl w:val="0"/>
          <w:numId w:val="1014"/>
        </w:numPr>
        <w:pStyle w:val="Compact"/>
      </w:pPr>
      <w:r>
        <w:rPr>
          <w:bCs/>
          <w:b/>
        </w:rPr>
        <w:t xml:space="preserve">1849</w:t>
      </w:r>
      <w:r>
        <w:t xml:space="preserve"> </w:t>
      </w:r>
      <w:r>
        <w:t xml:space="preserve">— Quinze chrétiens précipités du rocher d’</w:t>
      </w:r>
      <w:r>
        <w:rPr>
          <w:bCs/>
          <w:b/>
        </w:rPr>
        <w:t xml:space="preserve">Ampamarinana</w:t>
      </w:r>
      <w:r>
        <w:t xml:space="preserve"> </w:t>
      </w:r>
      <w:r>
        <w:t xml:space="preserve">à Antananarivo.</w:t>
      </w:r>
      <w:r>
        <w:t xml:space="preserve"> </w:t>
      </w:r>
      <w:r>
        <w:rPr>
          <w:bCs/>
          <w:b/>
        </w:rPr>
        <w:t xml:space="preserve">[SÛR]</w:t>
      </w:r>
    </w:p>
    <w:p>
      <w:pPr>
        <w:numPr>
          <w:ilvl w:val="0"/>
          <w:numId w:val="1014"/>
        </w:numPr>
        <w:pStyle w:val="Compact"/>
      </w:pPr>
      <w:r>
        <w:rPr>
          <w:bCs/>
          <w:b/>
        </w:rPr>
        <w:t xml:space="preserve">1855</w:t>
      </w:r>
      <w:r>
        <w:t xml:space="preserve"> </w:t>
      </w:r>
      <w:r>
        <w:t xml:space="preserve">— Signature de la</w:t>
      </w:r>
      <w:r>
        <w:t xml:space="preserve"> </w:t>
      </w:r>
      <w:r>
        <w:rPr>
          <w:bCs/>
          <w:b/>
        </w:rPr>
        <w:t xml:space="preserve">charte Lambert</w:t>
      </w:r>
      <w:r>
        <w:t xml:space="preserve"> </w:t>
      </w:r>
      <w:r>
        <w:t xml:space="preserve">avec l’aventurier français Joseph-François Lambert : concessions minières, foncières et commerciales considérables.</w:t>
      </w:r>
      <w:r>
        <w:t xml:space="preserve"> </w:t>
      </w:r>
      <w:r>
        <w:rPr>
          <w:bCs/>
          <w:b/>
        </w:rPr>
        <w:t xml:space="preserve">[SÛR]</w:t>
      </w:r>
    </w:p>
    <w:p>
      <w:pPr>
        <w:numPr>
          <w:ilvl w:val="0"/>
          <w:numId w:val="1014"/>
        </w:numPr>
        <w:pStyle w:val="Compact"/>
      </w:pPr>
      <w:r>
        <w:rPr>
          <w:bCs/>
          <w:b/>
        </w:rPr>
        <w:t xml:space="preserve">1861</w:t>
      </w:r>
      <w:r>
        <w:t xml:space="preserve"> </w:t>
      </w:r>
      <w:r>
        <w:t xml:space="preserve">— Mort de Ranavalona Ire ; avènement de</w:t>
      </w:r>
      <w:r>
        <w:t xml:space="preserve"> </w:t>
      </w:r>
      <w:r>
        <w:rPr>
          <w:bCs/>
          <w:b/>
        </w:rPr>
        <w:t xml:space="preserve">Radama II</w:t>
      </w:r>
      <w:r>
        <w:t xml:space="preserve">, réouverture aux Européens.</w:t>
      </w:r>
      <w:r>
        <w:t xml:space="preserve"> </w:t>
      </w:r>
      <w:r>
        <w:rPr>
          <w:bCs/>
          <w:b/>
        </w:rPr>
        <w:t xml:space="preserve">[SÛR]</w:t>
      </w:r>
    </w:p>
    <w:p>
      <w:pPr>
        <w:numPr>
          <w:ilvl w:val="0"/>
          <w:numId w:val="1014"/>
        </w:numPr>
        <w:pStyle w:val="Compact"/>
      </w:pPr>
      <w:r>
        <w:rPr>
          <w:bCs/>
          <w:b/>
        </w:rPr>
        <w:t xml:space="preserve">12 mai 1863</w:t>
      </w:r>
      <w:r>
        <w:t xml:space="preserve"> </w:t>
      </w:r>
      <w:r>
        <w:t xml:space="preserve">— Radama II étranglé lors d’un coup de palais mené par le Premier ministre Rainivoninahitriniony. Une rumeur persistante affirme qu’il aurait survécu.</w:t>
      </w:r>
      <w:r>
        <w:t xml:space="preserve"> </w:t>
      </w:r>
      <w:r>
        <w:rPr>
          <w:bCs/>
          <w:b/>
        </w:rPr>
        <w:t xml:space="preserve">[CONTROVERSÉ]</w:t>
      </w:r>
    </w:p>
    <w:p>
      <w:pPr>
        <w:numPr>
          <w:ilvl w:val="0"/>
          <w:numId w:val="1014"/>
        </w:numPr>
        <w:pStyle w:val="Compact"/>
      </w:pPr>
      <w:r>
        <w:rPr>
          <w:bCs/>
          <w:b/>
        </w:rPr>
        <w:t xml:space="preserve">1863</w:t>
      </w:r>
      <w:r>
        <w:t xml:space="preserve"> </w:t>
      </w:r>
      <w:r>
        <w:t xml:space="preserve">—</w:t>
      </w:r>
      <w:r>
        <w:t xml:space="preserve"> </w:t>
      </w:r>
      <w:r>
        <w:rPr>
          <w:bCs/>
          <w:b/>
        </w:rPr>
        <w:t xml:space="preserve">Rasoherina</w:t>
      </w:r>
      <w:r>
        <w:t xml:space="preserve"> </w:t>
      </w:r>
      <w:r>
        <w:t xml:space="preserve">intronisée sous serment limitant le pouvoir royal ; abolition du</w:t>
      </w:r>
      <w:r>
        <w:t xml:space="preserve"> </w:t>
      </w:r>
      <w:r>
        <w:rPr>
          <w:bCs/>
          <w:b/>
        </w:rPr>
        <w:t xml:space="preserve">tanguin</w:t>
      </w:r>
      <w:r>
        <w:t xml:space="preserve"> </w:t>
      </w:r>
      <w:r>
        <w:t xml:space="preserve">(ordalie au poison).</w:t>
      </w:r>
      <w:r>
        <w:t xml:space="preserve"> </w:t>
      </w:r>
      <w:r>
        <w:rPr>
          <w:bCs/>
          <w:b/>
        </w:rPr>
        <w:t xml:space="preserve">[SÛR]</w:t>
      </w:r>
    </w:p>
    <w:p>
      <w:pPr>
        <w:numPr>
          <w:ilvl w:val="0"/>
          <w:numId w:val="1014"/>
        </w:numPr>
        <w:pStyle w:val="Compact"/>
      </w:pPr>
      <w:r>
        <w:rPr>
          <w:bCs/>
          <w:b/>
        </w:rPr>
        <w:t xml:space="preserve">1864</w:t>
      </w:r>
      <w:r>
        <w:t xml:space="preserve"> </w:t>
      </w:r>
      <w:r>
        <w:t xml:space="preserve">— Rasoherina épouse</w:t>
      </w:r>
      <w:r>
        <w:t xml:space="preserve"> </w:t>
      </w:r>
      <w:r>
        <w:rPr>
          <w:bCs/>
          <w:b/>
        </w:rPr>
        <w:t xml:space="preserve">Rainilaiarivony</w:t>
      </w:r>
      <w:r>
        <w:t xml:space="preserve">, qui devient Premier ministre et le restera</w:t>
      </w:r>
      <w:r>
        <w:t xml:space="preserve"> </w:t>
      </w:r>
      <w:r>
        <w:rPr>
          <w:bCs/>
          <w:b/>
        </w:rPr>
        <w:t xml:space="preserve">jusqu’en 1895</w:t>
      </w:r>
      <w:r>
        <w:t xml:space="preserve">.</w:t>
      </w:r>
      <w:r>
        <w:t xml:space="preserve"> </w:t>
      </w:r>
      <w:r>
        <w:rPr>
          <w:bCs/>
          <w:b/>
        </w:rPr>
        <w:t xml:space="preserve">[SÛR]</w:t>
      </w:r>
    </w:p>
    <w:p>
      <w:pPr>
        <w:numPr>
          <w:ilvl w:val="0"/>
          <w:numId w:val="1014"/>
        </w:numPr>
        <w:pStyle w:val="Compact"/>
      </w:pPr>
      <w:r>
        <w:rPr>
          <w:bCs/>
          <w:b/>
        </w:rPr>
        <w:t xml:space="preserve">1868</w:t>
      </w:r>
      <w:r>
        <w:t xml:space="preserve"> </w:t>
      </w:r>
      <w:r>
        <w:t xml:space="preserve">— Mort de Rasoherina ;</w:t>
      </w:r>
      <w:r>
        <w:t xml:space="preserve"> </w:t>
      </w:r>
      <w:r>
        <w:rPr>
          <w:bCs/>
          <w:b/>
        </w:rPr>
        <w:t xml:space="preserve">Ranavalona II</w:t>
      </w:r>
      <w:r>
        <w:t xml:space="preserve">, toujours mariée à Rainilaiarivony.</w:t>
      </w:r>
      <w:r>
        <w:t xml:space="preserve"> </w:t>
      </w:r>
      <w:r>
        <w:rPr>
          <w:bCs/>
          <w:b/>
        </w:rPr>
        <w:t xml:space="preserve">[SÛR]</w:t>
      </w:r>
    </w:p>
    <w:p>
      <w:pPr>
        <w:numPr>
          <w:ilvl w:val="0"/>
          <w:numId w:val="1014"/>
        </w:numPr>
        <w:pStyle w:val="Compact"/>
      </w:pPr>
      <w:r>
        <w:rPr>
          <w:bCs/>
          <w:b/>
        </w:rPr>
        <w:t xml:space="preserve">21 février 1869</w:t>
      </w:r>
      <w:r>
        <w:t xml:space="preserve"> </w:t>
      </w:r>
      <w:r>
        <w:t xml:space="preserve">— Baptême public de la reine et du Premier ministre : christianisation officielle de la cour.</w:t>
      </w:r>
      <w:r>
        <w:t xml:space="preserve"> </w:t>
      </w:r>
      <w:r>
        <w:rPr>
          <w:bCs/>
          <w:b/>
        </w:rPr>
        <w:t xml:space="preserve">[SÛR]</w:t>
      </w:r>
    </w:p>
    <w:p>
      <w:pPr>
        <w:numPr>
          <w:ilvl w:val="0"/>
          <w:numId w:val="1014"/>
        </w:numPr>
        <w:pStyle w:val="Compact"/>
      </w:pPr>
      <w:r>
        <w:rPr>
          <w:bCs/>
          <w:b/>
        </w:rPr>
        <w:t xml:space="preserve">1869</w:t>
      </w:r>
      <w:r>
        <w:t xml:space="preserve"> </w:t>
      </w:r>
      <w:r>
        <w:t xml:space="preserve">— Autodafé des</w:t>
      </w:r>
      <w:r>
        <w:t xml:space="preserve"> </w:t>
      </w:r>
      <w:r>
        <w:rPr>
          <w:iCs/>
          <w:i/>
          <w:bCs/>
          <w:b/>
        </w:rPr>
        <w:t xml:space="preserve">sampy</w:t>
      </w:r>
      <w:r>
        <w:t xml:space="preserve">, les idoles royales, sur ordre de la cour.</w:t>
      </w:r>
      <w:r>
        <w:t xml:space="preserve"> </w:t>
      </w:r>
      <w:r>
        <w:rPr>
          <w:bCs/>
          <w:b/>
        </w:rPr>
        <w:t xml:space="preserve">[SÛR]</w:t>
      </w:r>
    </w:p>
    <w:p>
      <w:pPr>
        <w:numPr>
          <w:ilvl w:val="0"/>
          <w:numId w:val="1014"/>
        </w:numPr>
        <w:pStyle w:val="Compact"/>
      </w:pPr>
      <w:r>
        <w:rPr>
          <w:bCs/>
          <w:b/>
        </w:rPr>
        <w:t xml:space="preserve">1877</w:t>
      </w:r>
      <w:r>
        <w:t xml:space="preserve"> </w:t>
      </w:r>
      <w:r>
        <w:t xml:space="preserve">— Édit abolissant le statut servile des esclaves d’origine mozambicaine (</w:t>
      </w:r>
      <w:r>
        <w:rPr>
          <w:iCs/>
          <w:i/>
        </w:rPr>
        <w:t xml:space="preserve">Masombika</w:t>
      </w:r>
      <w:r>
        <w:t xml:space="preserve">). L’esclavage intérieur (</w:t>
      </w:r>
      <w:r>
        <w:rPr>
          <w:iCs/>
          <w:i/>
        </w:rPr>
        <w:t xml:space="preserve">andevo</w:t>
      </w:r>
      <w:r>
        <w:t xml:space="preserve">) subsiste.</w:t>
      </w:r>
      <w:r>
        <w:t xml:space="preserve"> </w:t>
      </w:r>
      <w:r>
        <w:rPr>
          <w:bCs/>
          <w:b/>
        </w:rPr>
        <w:t xml:space="preserve">[SÛR]</w:t>
      </w:r>
    </w:p>
    <w:p>
      <w:pPr>
        <w:numPr>
          <w:ilvl w:val="0"/>
          <w:numId w:val="1014"/>
        </w:numPr>
        <w:pStyle w:val="Compact"/>
      </w:pPr>
      <w:r>
        <w:rPr>
          <w:bCs/>
          <w:b/>
        </w:rPr>
        <w:t xml:space="preserve">1881</w:t>
      </w:r>
      <w:r>
        <w:t xml:space="preserve"> </w:t>
      </w:r>
      <w:r>
        <w:t xml:space="preserve">— Promulgation du</w:t>
      </w:r>
      <w:r>
        <w:t xml:space="preserve"> </w:t>
      </w:r>
      <w:r>
        <w:rPr>
          <w:bCs/>
          <w:b/>
        </w:rPr>
        <w:t xml:space="preserve">Code des 305 articles</w:t>
      </w:r>
      <w:r>
        <w:t xml:space="preserve">, grande réforme judiciaire et administrative.</w:t>
      </w:r>
      <w:r>
        <w:t xml:space="preserve"> </w:t>
      </w:r>
      <w:r>
        <w:rPr>
          <w:bCs/>
          <w:b/>
        </w:rPr>
        <w:t xml:space="preserve">[SÛR]</w:t>
      </w:r>
    </w:p>
    <w:p>
      <w:pPr>
        <w:numPr>
          <w:ilvl w:val="0"/>
          <w:numId w:val="1014"/>
        </w:numPr>
        <w:pStyle w:val="Compact"/>
      </w:pPr>
      <w:r>
        <w:rPr>
          <w:bCs/>
          <w:b/>
        </w:rPr>
        <w:t xml:space="preserve">1883</w:t>
      </w:r>
      <w:r>
        <w:t xml:space="preserve"> </w:t>
      </w:r>
      <w:r>
        <w:t xml:space="preserve">— Mort de Ranavalona II ;</w:t>
      </w:r>
      <w:r>
        <w:t xml:space="preserve"> </w:t>
      </w:r>
      <w:r>
        <w:rPr>
          <w:bCs/>
          <w:b/>
        </w:rPr>
        <w:t xml:space="preserve">Ranavalona III</w:t>
      </w:r>
      <w:r>
        <w:t xml:space="preserve">, dernière reine.</w:t>
      </w:r>
      <w:r>
        <w:t xml:space="preserve"> </w:t>
      </w:r>
      <w:r>
        <w:rPr>
          <w:bCs/>
          <w:b/>
        </w:rPr>
        <w:t xml:space="preserve">[SÛR]</w:t>
      </w:r>
    </w:p>
    <w:p>
      <w:pPr>
        <w:numPr>
          <w:ilvl w:val="0"/>
          <w:numId w:val="1014"/>
        </w:numPr>
        <w:pStyle w:val="Compact"/>
      </w:pPr>
      <w:r>
        <w:rPr>
          <w:bCs/>
          <w:b/>
        </w:rPr>
        <w:t xml:space="preserve">Mai 1883 – déc. 1885</w:t>
      </w:r>
      <w:r>
        <w:t xml:space="preserve"> </w:t>
      </w:r>
      <w:r>
        <w:t xml:space="preserve">—</w:t>
      </w:r>
      <w:r>
        <w:t xml:space="preserve"> </w:t>
      </w:r>
      <w:r>
        <w:rPr>
          <w:bCs/>
          <w:b/>
        </w:rPr>
        <w:t xml:space="preserve">Première guerre franco-malgache</w:t>
      </w:r>
      <w:r>
        <w:t xml:space="preserve"> </w:t>
      </w:r>
      <w:r>
        <w:t xml:space="preserve">: bombardement et occupation de Toamasina et Mahajanga, revers français à Farafaty (sept. 1885).</w:t>
      </w:r>
      <w:r>
        <w:t xml:space="preserve"> </w:t>
      </w:r>
      <w:r>
        <w:rPr>
          <w:bCs/>
          <w:b/>
        </w:rPr>
        <w:t xml:space="preserve">[SÛR]</w:t>
      </w:r>
    </w:p>
    <w:p>
      <w:pPr>
        <w:numPr>
          <w:ilvl w:val="0"/>
          <w:numId w:val="1014"/>
        </w:numPr>
        <w:pStyle w:val="Compact"/>
      </w:pPr>
      <w:r>
        <w:rPr>
          <w:bCs/>
          <w:b/>
        </w:rPr>
        <w:t xml:space="preserve">17 décembre 1885</w:t>
      </w:r>
      <w:r>
        <w:t xml:space="preserve"> </w:t>
      </w:r>
      <w:r>
        <w:t xml:space="preserve">— Traité établissant un protectorat de fait : la France représente Madagascar à l’étranger ; emprunt forcé de 10 millions de francs.</w:t>
      </w:r>
      <w:r>
        <w:t xml:space="preserve"> </w:t>
      </w:r>
      <w:r>
        <w:rPr>
          <w:bCs/>
          <w:b/>
        </w:rPr>
        <w:t xml:space="preserve">[SÛR]</w:t>
      </w:r>
    </w:p>
    <w:p>
      <w:pPr>
        <w:numPr>
          <w:ilvl w:val="0"/>
          <w:numId w:val="1014"/>
        </w:numPr>
        <w:pStyle w:val="Compact"/>
      </w:pPr>
      <w:r>
        <w:rPr>
          <w:bCs/>
          <w:b/>
        </w:rPr>
        <w:t xml:space="preserve">1890</w:t>
      </w:r>
      <w:r>
        <w:t xml:space="preserve"> </w:t>
      </w:r>
      <w:r>
        <w:t xml:space="preserve">— Accord franco-britannique : Londres reconnaît la zone d’influence française à Madagascar contre Zanzibar.</w:t>
      </w:r>
      <w:r>
        <w:t xml:space="preserve"> </w:t>
      </w:r>
      <w:r>
        <w:rPr>
          <w:bCs/>
          <w:b/>
        </w:rPr>
        <w:t xml:space="preserve">[SÛR]</w:t>
      </w:r>
    </w:p>
    <w:p>
      <w:pPr>
        <w:numPr>
          <w:ilvl w:val="0"/>
          <w:numId w:val="1014"/>
        </w:numPr>
        <w:pStyle w:val="Compact"/>
      </w:pPr>
      <w:r>
        <w:rPr>
          <w:bCs/>
          <w:b/>
        </w:rPr>
        <w:t xml:space="preserve">1894-1895</w:t>
      </w:r>
      <w:r>
        <w:t xml:space="preserve"> </w:t>
      </w:r>
      <w:r>
        <w:t xml:space="preserve">— Ultimatum français rejeté ; seconde expédition sous le général</w:t>
      </w:r>
      <w:r>
        <w:t xml:space="preserve"> </w:t>
      </w:r>
      <w:r>
        <w:rPr>
          <w:bCs/>
          <w:b/>
        </w:rPr>
        <w:t xml:space="preserve">Duchesne</w:t>
      </w:r>
      <w:r>
        <w:t xml:space="preserve">, débarquement à Mahajanga, marche vers les Hautes Terres.</w:t>
      </w:r>
      <w:r>
        <w:t xml:space="preserve"> </w:t>
      </w:r>
      <w:r>
        <w:rPr>
          <w:bCs/>
          <w:b/>
        </w:rPr>
        <w:t xml:space="preserve">[SÛR]</w:t>
      </w:r>
    </w:p>
    <w:p>
      <w:pPr>
        <w:numPr>
          <w:ilvl w:val="0"/>
          <w:numId w:val="1014"/>
        </w:numPr>
        <w:pStyle w:val="Compact"/>
      </w:pPr>
      <w:r>
        <w:rPr>
          <w:bCs/>
          <w:b/>
        </w:rPr>
        <w:t xml:space="preserve">30 septembre 1895</w:t>
      </w:r>
      <w:r>
        <w:t xml:space="preserve"> </w:t>
      </w:r>
      <w:r>
        <w:t xml:space="preserve">— Prise d’Antananarivo, bombardement du Rova, capitulation de la reine.</w:t>
      </w:r>
      <w:r>
        <w:t xml:space="preserve"> </w:t>
      </w:r>
      <w:r>
        <w:rPr>
          <w:bCs/>
          <w:b/>
        </w:rPr>
        <w:t xml:space="preserve">[SÛR]</w:t>
      </w:r>
    </w:p>
    <w:p>
      <w:pPr>
        <w:numPr>
          <w:ilvl w:val="0"/>
          <w:numId w:val="1014"/>
        </w:numPr>
        <w:pStyle w:val="Compact"/>
      </w:pPr>
      <w:r>
        <w:rPr>
          <w:bCs/>
          <w:b/>
        </w:rPr>
        <w:t xml:space="preserve">1895-1896</w:t>
      </w:r>
      <w:r>
        <w:t xml:space="preserve"> </w:t>
      </w:r>
      <w:r>
        <w:t xml:space="preserve">— Bilan du corps expéditionnaire (~15 000 militaires et 7 000 convoyeurs) :</w:t>
      </w:r>
      <w:r>
        <w:t xml:space="preserve"> </w:t>
      </w:r>
      <w:r>
        <w:rPr>
          <w:bCs/>
          <w:b/>
        </w:rPr>
        <w:t xml:space="preserve">25 morts au combat, 5 756 morts de maladie</w:t>
      </w:r>
      <w:r>
        <w:t xml:space="preserve">.</w:t>
      </w:r>
      <w:r>
        <w:t xml:space="preserve"> </w:t>
      </w:r>
      <w:r>
        <w:rPr>
          <w:bCs/>
          <w:b/>
        </w:rPr>
        <w:t xml:space="preserve">[SÛR]</w:t>
      </w:r>
    </w:p>
    <w:p>
      <w:pPr>
        <w:numPr>
          <w:ilvl w:val="0"/>
          <w:numId w:val="1014"/>
        </w:numPr>
        <w:pStyle w:val="Compact"/>
      </w:pPr>
      <w:r>
        <w:rPr>
          <w:bCs/>
          <w:b/>
        </w:rPr>
        <w:t xml:space="preserve">6 août 1896</w:t>
      </w:r>
      <w:r>
        <w:t xml:space="preserve"> </w:t>
      </w:r>
      <w:r>
        <w:t xml:space="preserve">— Loi française annexant Madagascar comme colonie.</w:t>
      </w:r>
      <w:r>
        <w:t xml:space="preserve"> </w:t>
      </w:r>
      <w:r>
        <w:rPr>
          <w:bCs/>
          <w:b/>
        </w:rPr>
        <w:t xml:space="preserve">[SÛR]</w:t>
      </w:r>
    </w:p>
    <w:bookmarkEnd w:id="55"/>
    <w:bookmarkStart w:id="56" w:name="personnages-1"/>
    <w:p>
      <w:pPr>
        <w:pStyle w:val="Heading2"/>
      </w:pPr>
      <w:r>
        <w:t xml:space="preserve">Personnages</w:t>
      </w:r>
    </w:p>
    <w:p>
      <w:pPr>
        <w:pStyle w:val="FirstParagraph"/>
      </w:pPr>
      <w:r>
        <w:rPr>
          <w:bCs/>
          <w:b/>
        </w:rPr>
        <w:t xml:space="preserve">Andrianampoinimerina</w:t>
      </w:r>
      <w:r>
        <w:t xml:space="preserve"> </w:t>
      </w:r>
      <w:r>
        <w:t xml:space="preserve">·</w:t>
      </w:r>
      <w:r>
        <w:t xml:space="preserve"> </w:t>
      </w:r>
      <w:r>
        <w:rPr>
          <w:bCs/>
          <w:b/>
        </w:rPr>
        <w:t xml:space="preserve">Radama Ier</w:t>
      </w:r>
      <w:r>
        <w:t xml:space="preserve"> </w:t>
      </w:r>
      <w:r>
        <w:t xml:space="preserve">·</w:t>
      </w:r>
      <w:r>
        <w:t xml:space="preserve"> </w:t>
      </w:r>
      <w:r>
        <w:rPr>
          <w:bCs/>
          <w:b/>
        </w:rPr>
        <w:t xml:space="preserve">Robert Farquhar</w:t>
      </w:r>
      <w:r>
        <w:t xml:space="preserve"> </w:t>
      </w:r>
      <w:r>
        <w:t xml:space="preserve">·</w:t>
      </w:r>
      <w:r>
        <w:t xml:space="preserve"> </w:t>
      </w:r>
      <w:r>
        <w:rPr>
          <w:bCs/>
          <w:b/>
        </w:rPr>
        <w:t xml:space="preserve">James Hastie</w:t>
      </w:r>
      <w:r>
        <w:t xml:space="preserve"> </w:t>
      </w:r>
      <w:r>
        <w:t xml:space="preserve">·</w:t>
      </w:r>
      <w:r>
        <w:t xml:space="preserve"> </w:t>
      </w:r>
      <w:r>
        <w:rPr>
          <w:bCs/>
          <w:b/>
        </w:rPr>
        <w:t xml:space="preserve">David Jones</w:t>
      </w:r>
      <w:r>
        <w:t xml:space="preserve"> </w:t>
      </w:r>
      <w:r>
        <w:t xml:space="preserve">et</w:t>
      </w:r>
      <w:r>
        <w:t xml:space="preserve"> </w:t>
      </w:r>
      <w:r>
        <w:rPr>
          <w:bCs/>
          <w:b/>
        </w:rPr>
        <w:t xml:space="preserve">David Griffiths</w:t>
      </w:r>
      <w:r>
        <w:t xml:space="preserve"> </w:t>
      </w:r>
      <w:r>
        <w:t xml:space="preserve">(LMS) ·</w:t>
      </w:r>
      <w:r>
        <w:t xml:space="preserve"> </w:t>
      </w:r>
      <w:r>
        <w:rPr>
          <w:bCs/>
          <w:b/>
        </w:rPr>
        <w:t xml:space="preserve">Ranavalona Ire</w:t>
      </w:r>
      <w:r>
        <w:t xml:space="preserve"> </w:t>
      </w:r>
      <w:r>
        <w:t xml:space="preserve">·</w:t>
      </w:r>
      <w:r>
        <w:t xml:space="preserve"> </w:t>
      </w:r>
      <w:r>
        <w:rPr>
          <w:bCs/>
          <w:b/>
        </w:rPr>
        <w:t xml:space="preserve">Jean Laborde</w:t>
      </w:r>
      <w:r>
        <w:t xml:space="preserve"> </w:t>
      </w:r>
      <w:r>
        <w:t xml:space="preserve">·</w:t>
      </w:r>
      <w:r>
        <w:t xml:space="preserve"> </w:t>
      </w:r>
      <w:r>
        <w:rPr>
          <w:bCs/>
          <w:b/>
        </w:rPr>
        <w:t xml:space="preserve">Radama II</w:t>
      </w:r>
      <w:r>
        <w:t xml:space="preserve"> </w:t>
      </w:r>
      <w:r>
        <w:t xml:space="preserve">·</w:t>
      </w:r>
      <w:r>
        <w:t xml:space="preserve"> </w:t>
      </w:r>
      <w:r>
        <w:rPr>
          <w:bCs/>
          <w:b/>
        </w:rPr>
        <w:t xml:space="preserve">Joseph-François Lambert</w:t>
      </w:r>
      <w:r>
        <w:t xml:space="preserve"> </w:t>
      </w:r>
      <w:r>
        <w:t xml:space="preserve">·</w:t>
      </w:r>
      <w:r>
        <w:t xml:space="preserve"> </w:t>
      </w:r>
      <w:r>
        <w:rPr>
          <w:bCs/>
          <w:b/>
        </w:rPr>
        <w:t xml:space="preserve">Rainivoninahitriniony</w:t>
      </w:r>
      <w:r>
        <w:t xml:space="preserve"> </w:t>
      </w:r>
      <w:r>
        <w:t xml:space="preserve">·</w:t>
      </w:r>
      <w:r>
        <w:t xml:space="preserve"> </w:t>
      </w:r>
      <w:r>
        <w:rPr>
          <w:bCs/>
          <w:b/>
        </w:rPr>
        <w:t xml:space="preserve">Rasoherina</w:t>
      </w:r>
      <w:r>
        <w:t xml:space="preserve"> </w:t>
      </w:r>
      <w:r>
        <w:t xml:space="preserve">·</w:t>
      </w:r>
      <w:r>
        <w:t xml:space="preserve"> </w:t>
      </w:r>
      <w:r>
        <w:rPr>
          <w:bCs/>
          <w:b/>
        </w:rPr>
        <w:t xml:space="preserve">Rainilaiarivony</w:t>
      </w:r>
      <w:r>
        <w:t xml:space="preserve"> </w:t>
      </w:r>
      <w:r>
        <w:t xml:space="preserve">·</w:t>
      </w:r>
      <w:r>
        <w:t xml:space="preserve"> </w:t>
      </w:r>
      <w:r>
        <w:rPr>
          <w:bCs/>
          <w:b/>
        </w:rPr>
        <w:t xml:space="preserve">Ranavalona II</w:t>
      </w:r>
      <w:r>
        <w:t xml:space="preserve"> </w:t>
      </w:r>
      <w:r>
        <w:t xml:space="preserve">·</w:t>
      </w:r>
      <w:r>
        <w:t xml:space="preserve"> </w:t>
      </w:r>
      <w:r>
        <w:rPr>
          <w:bCs/>
          <w:b/>
        </w:rPr>
        <w:t xml:space="preserve">Ranavalona III</w:t>
      </w:r>
      <w:r>
        <w:t xml:space="preserve"> </w:t>
      </w:r>
      <w:r>
        <w:t xml:space="preserve">· général</w:t>
      </w:r>
      <w:r>
        <w:t xml:space="preserve"> </w:t>
      </w:r>
      <w:r>
        <w:rPr>
          <w:bCs/>
          <w:b/>
        </w:rPr>
        <w:t xml:space="preserve">Jacques Duchesne</w:t>
      </w:r>
      <w:r>
        <w:t xml:space="preserve"> </w:t>
      </w:r>
      <w:r>
        <w:t xml:space="preserve">·</w:t>
      </w:r>
      <w:r>
        <w:t xml:space="preserve"> </w:t>
      </w:r>
      <w:r>
        <w:rPr>
          <w:bCs/>
          <w:b/>
        </w:rPr>
        <w:t xml:space="preserve">Joseph Gallieni</w:t>
      </w:r>
      <w:r>
        <w:t xml:space="preserve">.</w:t>
      </w:r>
    </w:p>
    <w:bookmarkEnd w:id="56"/>
    <w:bookmarkStart w:id="57" w:name="lieux-2"/>
    <w:p>
      <w:pPr>
        <w:pStyle w:val="Heading2"/>
      </w:pPr>
      <w:r>
        <w:t xml:space="preserve">Lieux</w:t>
      </w:r>
    </w:p>
    <w:p>
      <w:pPr>
        <w:pStyle w:val="FirstParagraph"/>
      </w:pPr>
      <w:r>
        <w:rPr>
          <w:bCs/>
          <w:b/>
        </w:rPr>
        <w:t xml:space="preserve">Ambohimanga</w:t>
      </w:r>
      <w:r>
        <w:t xml:space="preserve"> </w:t>
      </w:r>
      <w:r>
        <w:t xml:space="preserve">(colline royale sacrée) ·</w:t>
      </w:r>
      <w:r>
        <w:t xml:space="preserve"> </w:t>
      </w:r>
      <w:r>
        <w:rPr>
          <w:bCs/>
          <w:b/>
        </w:rPr>
        <w:t xml:space="preserve">Antananarivo</w:t>
      </w:r>
      <w:r>
        <w:t xml:space="preserve"> </w:t>
      </w:r>
      <w:r>
        <w:t xml:space="preserve">et le</w:t>
      </w:r>
      <w:r>
        <w:t xml:space="preserve"> </w:t>
      </w:r>
      <w:r>
        <w:rPr>
          <w:bCs/>
          <w:b/>
        </w:rPr>
        <w:t xml:space="preserve">Rova</w:t>
      </w:r>
      <w:r>
        <w:t xml:space="preserve"> </w:t>
      </w:r>
      <w:r>
        <w:t xml:space="preserve">· plaine du</w:t>
      </w:r>
      <w:r>
        <w:t xml:space="preserve"> </w:t>
      </w:r>
      <w:r>
        <w:rPr>
          <w:bCs/>
          <w:b/>
        </w:rPr>
        <w:t xml:space="preserve">Betsimitatatra</w:t>
      </w:r>
      <w:r>
        <w:t xml:space="preserve"> </w:t>
      </w:r>
      <w:r>
        <w:t xml:space="preserve">·</w:t>
      </w:r>
      <w:r>
        <w:t xml:space="preserve"> </w:t>
      </w:r>
      <w:r>
        <w:rPr>
          <w:bCs/>
          <w:b/>
        </w:rPr>
        <w:t xml:space="preserve">Mantasoa</w:t>
      </w:r>
      <w:r>
        <w:t xml:space="preserve"> </w:t>
      </w:r>
      <w:r>
        <w:t xml:space="preserve">· rocher d’</w:t>
      </w:r>
      <w:r>
        <w:rPr>
          <w:bCs/>
          <w:b/>
        </w:rPr>
        <w:t xml:space="preserve">Ampamarinana</w:t>
      </w:r>
      <w:r>
        <w:t xml:space="preserve"> </w:t>
      </w:r>
      <w:r>
        <w:t xml:space="preserve">·</w:t>
      </w:r>
      <w:r>
        <w:t xml:space="preserve"> </w:t>
      </w:r>
      <w:r>
        <w:rPr>
          <w:bCs/>
          <w:b/>
        </w:rPr>
        <w:t xml:space="preserve">Toamasina</w:t>
      </w:r>
      <w:r>
        <w:t xml:space="preserve"> </w:t>
      </w:r>
      <w:r>
        <w:t xml:space="preserve">·</w:t>
      </w:r>
      <w:r>
        <w:t xml:space="preserve"> </w:t>
      </w:r>
      <w:r>
        <w:rPr>
          <w:bCs/>
          <w:b/>
        </w:rPr>
        <w:t xml:space="preserve">Mahajanga</w:t>
      </w:r>
      <w:r>
        <w:t xml:space="preserve"> </w:t>
      </w:r>
      <w:r>
        <w:t xml:space="preserve">·</w:t>
      </w:r>
      <w:r>
        <w:t xml:space="preserve"> </w:t>
      </w:r>
      <w:r>
        <w:rPr>
          <w:bCs/>
          <w:b/>
        </w:rPr>
        <w:t xml:space="preserve">Farafaty</w:t>
      </w:r>
      <w:r>
        <w:t xml:space="preserve"> </w:t>
      </w:r>
      <w:r>
        <w:t xml:space="preserve">·</w:t>
      </w:r>
      <w:r>
        <w:t xml:space="preserve"> </w:t>
      </w:r>
      <w:r>
        <w:rPr>
          <w:bCs/>
          <w:b/>
        </w:rPr>
        <w:t xml:space="preserve">Andohalo</w:t>
      </w:r>
      <w:r>
        <w:t xml:space="preserve"> </w:t>
      </w:r>
      <w:r>
        <w:t xml:space="preserve">(place des kabary royaux).</w:t>
      </w:r>
    </w:p>
    <w:bookmarkEnd w:id="57"/>
    <w:bookmarkStart w:id="58" w:name="ce-qui-est-établi-2"/>
    <w:p>
      <w:pPr>
        <w:pStyle w:val="Heading2"/>
      </w:pPr>
      <w:r>
        <w:t xml:space="preserve">Ce qui est établi</w:t>
      </w:r>
    </w:p>
    <w:p>
      <w:pPr>
        <w:pStyle w:val="FirstParagraph"/>
      </w:pPr>
      <w:r>
        <w:t xml:space="preserve">Andrianampoinimerina unifie l’Imerina et pose les bases institutionnelles du royaume : foncier, fanompoana, hydraulique.</w:t>
      </w:r>
    </w:p>
    <w:p>
      <w:pPr>
        <w:pStyle w:val="BodyText"/>
      </w:pPr>
      <w:r>
        <w:t xml:space="preserve">Radama Ier internationalise le royaume — traités britanniques, armée réorganisée, alphabet latin, missions.</w:t>
      </w:r>
    </w:p>
    <w:p>
      <w:pPr>
        <w:pStyle w:val="BodyText"/>
      </w:pPr>
      <w:r>
        <w:rPr>
          <w:bCs/>
          <w:b/>
        </w:rPr>
        <w:t xml:space="preserve">Rainilaiarivony est le véritable chef de l’État pendant plus de trente ans</w:t>
      </w:r>
      <w:r>
        <w:t xml:space="preserve">, contrôlant le pouvoir par ses mariages successifs avec trois reines. C’est le personnage le plus sous-estimé de l’histoire malgache.</w:t>
      </w:r>
    </w:p>
    <w:p>
      <w:pPr>
        <w:pStyle w:val="BodyText"/>
      </w:pPr>
      <w:r>
        <w:t xml:space="preserve">La christianisation officielle (1869) et le Code des 305 articles (1881) marquent une occidentalisation juridique et religieuse rapide de la cour.</w:t>
      </w:r>
    </w:p>
    <w:p>
      <w:pPr>
        <w:pStyle w:val="BodyText"/>
      </w:pPr>
      <w:r>
        <w:rPr>
          <w:bCs/>
          <w:b/>
        </w:rPr>
        <w:t xml:space="preserve">La conquête de 1895 est un désastre sanitaire bien plus qu’une victoire militaire.</w:t>
      </w:r>
      <w:r>
        <w:t xml:space="preserve"> </w:t>
      </w:r>
      <w:r>
        <w:t xml:space="preserve">Le rapport morts-de-maladie / morts-au-combat dépasse</w:t>
      </w:r>
      <w:r>
        <w:t xml:space="preserve"> </w:t>
      </w:r>
      <w:r>
        <w:rPr>
          <w:bCs/>
          <w:b/>
        </w:rPr>
        <w:t xml:space="preserve">200 pour 1</w:t>
      </w:r>
      <w:r>
        <w:t xml:space="preserve">.</w:t>
      </w:r>
    </w:p>
    <w:bookmarkEnd w:id="58"/>
    <w:bookmarkStart w:id="61" w:name="ce-qui-est-controversé-2"/>
    <w:p>
      <w:pPr>
        <w:pStyle w:val="Heading2"/>
      </w:pPr>
      <w:r>
        <w:t xml:space="preserve">Ce qui est controversé</w:t>
      </w:r>
    </w:p>
    <w:bookmarkStart w:id="59" w:name="X18d7930ea80a051e3c82e32061ae07a779ffcd8"/>
    <w:p>
      <w:pPr>
        <w:pStyle w:val="Heading3"/>
      </w:pPr>
      <w:r>
        <w:t xml:space="preserve">La « légende noire » de Ranavalona Ire — le cœur de l’épisode 12</w:t>
      </w:r>
    </w:p>
    <w:p>
      <w:pPr>
        <w:pStyle w:val="FirstParagraph"/>
      </w:pPr>
      <w:r>
        <w:t xml:space="preserve">Les chiffres de mortalité attribués à son règne — population de l’Imerina qui serait passée de 750 000 à 130 000 habitants entre 1829 et 1842, ou chute démographique nationale de 5 à 2,5 millions — proviennent</w:t>
      </w:r>
      <w:r>
        <w:t xml:space="preserve"> </w:t>
      </w:r>
      <w:r>
        <w:rPr>
          <w:bCs/>
          <w:b/>
        </w:rPr>
        <w:t xml:space="preserve">essentiellement de sources missionnaires britanniques hostiles</w:t>
      </w:r>
      <w:r>
        <w:t xml:space="preserve">, et</w:t>
      </w:r>
      <w:r>
        <w:t xml:space="preserve"> </w:t>
      </w:r>
      <w:r>
        <w:rPr>
          <w:bCs/>
          <w:b/>
        </w:rPr>
        <w:t xml:space="preserve">ne sont vérifiables par aucune source démographique fiable</w:t>
      </w:r>
      <w:r>
        <w:t xml:space="preserve">.</w:t>
      </w:r>
    </w:p>
    <w:p>
      <w:pPr>
        <w:pStyle w:val="BodyText"/>
      </w:pPr>
      <w:r>
        <w:rPr>
          <w:bCs/>
          <w:b/>
        </w:rPr>
        <w:t xml:space="preserve">Gwyn Campbell</w:t>
      </w:r>
      <w:r>
        <w:t xml:space="preserve"> </w:t>
      </w:r>
      <w:r>
        <w:t xml:space="preserve">(McGill,</w:t>
      </w:r>
      <w:r>
        <w:t xml:space="preserve"> </w:t>
      </w:r>
      <w:r>
        <w:rPr>
          <w:iCs/>
          <w:i/>
        </w:rPr>
        <w:t xml:space="preserve">An Economic History of Imperial Madagascar, 1750-1895</w:t>
      </w:r>
      <w:r>
        <w:t xml:space="preserve">, Cambridge University Press, 2005) appelle à une lecture critique de ces statistiques et de l’image de « reine sanguinaire » forgée par la propagande missionnaire du XIXe siècle.</w:t>
      </w:r>
    </w:p>
    <w:p>
      <w:pPr>
        <w:pStyle w:val="BodyText"/>
      </w:pPr>
      <w:r>
        <w:t xml:space="preserve">Le nombre de victimes du</w:t>
      </w:r>
      <w:r>
        <w:t xml:space="preserve"> </w:t>
      </w:r>
      <w:r>
        <w:rPr>
          <w:bCs/>
          <w:b/>
        </w:rPr>
        <w:t xml:space="preserve">tanguin</w:t>
      </w:r>
      <w:r>
        <w:t xml:space="preserve"> </w:t>
      </w:r>
      <w:r>
        <w:t xml:space="preserve">est de même impossible à chiffrer : les estimations vont de quelques centaines à plusieurs dizaines de milliers, aucune n’étant statistiquement fondée.</w:t>
      </w:r>
    </w:p>
    <w:p>
      <w:pPr>
        <w:pStyle w:val="BodyText"/>
      </w:pPr>
      <w:r>
        <w:t xml:space="preserve">Une historiographie récente, dans la lignée des travaux de</w:t>
      </w:r>
      <w:r>
        <w:t xml:space="preserve"> </w:t>
      </w:r>
      <w:r>
        <w:rPr>
          <w:bCs/>
          <w:b/>
        </w:rPr>
        <w:t xml:space="preserve">Pier Larson</w:t>
      </w:r>
      <w:r>
        <w:t xml:space="preserve">, réévalue Ranavalona Ire comme une souveraine</w:t>
      </w:r>
      <w:r>
        <w:t xml:space="preserve"> </w:t>
      </w:r>
      <w:r>
        <w:rPr>
          <w:bCs/>
          <w:b/>
        </w:rPr>
        <w:t xml:space="preserve">nationaliste</w:t>
      </w:r>
      <w:r>
        <w:t xml:space="preserve">, défendant l’indépendance de son royaume face à l’ingérence culturelle et commerciale européenne. Cette lecture est elle-même débattue — et c’est cette bataille de mémoire, plus que la reine, qui fait l’épisode.</w:t>
      </w:r>
    </w:p>
    <w:bookmarkEnd w:id="59"/>
    <w:bookmarkStart w:id="60" w:name="la-mort-de-radama-ii"/>
    <w:p>
      <w:pPr>
        <w:pStyle w:val="Heading3"/>
      </w:pPr>
      <w:r>
        <w:t xml:space="preserve">La mort de Radama II</w:t>
      </w:r>
    </w:p>
    <w:p>
      <w:pPr>
        <w:pStyle w:val="FirstParagraph"/>
      </w:pPr>
      <w:r>
        <w:t xml:space="preserve">La correspondance de Jean Laborde, étudiée par des historiens dès les années 1950, documente la persistance de la rumeur de sa survie sans jamais la trancher.</w:t>
      </w:r>
    </w:p>
    <w:bookmarkEnd w:id="60"/>
    <w:bookmarkEnd w:id="61"/>
    <w:bookmarkStart w:id="62" w:name="ce-que-raconte-la-tradition-2"/>
    <w:p>
      <w:pPr>
        <w:pStyle w:val="Heading2"/>
      </w:pPr>
      <w:r>
        <w:t xml:space="preserve">Ce que raconte la tradition</w:t>
      </w:r>
    </w:p>
    <w:p>
      <w:pPr>
        <w:pStyle w:val="FirstParagraph"/>
      </w:pPr>
      <w:r>
        <w:t xml:space="preserve">La geste d’Andrianampoinimerina, transmise oralement puis fixée dans le</w:t>
      </w:r>
      <w:r>
        <w:t xml:space="preserve"> </w:t>
      </w:r>
      <w:r>
        <w:rPr>
          <w:iCs/>
          <w:i/>
        </w:rPr>
        <w:t xml:space="preserve">Tantara ny Andriana</w:t>
      </w:r>
      <w:r>
        <w:t xml:space="preserve">, en fait un stratège rusé et un père fondateur quasi mythique, dont chaque kabary est cité comme une leçon de gouvernance.</w:t>
      </w:r>
    </w:p>
    <w:p>
      <w:pPr>
        <w:pStyle w:val="BodyText"/>
      </w:pPr>
      <w:r>
        <w:t xml:space="preserve">Les</w:t>
      </w:r>
      <w:r>
        <w:t xml:space="preserve"> </w:t>
      </w:r>
      <w:r>
        <w:rPr>
          <w:iCs/>
          <w:i/>
        </w:rPr>
        <w:t xml:space="preserve">sampy</w:t>
      </w:r>
      <w:r>
        <w:t xml:space="preserve">, idoles tutélaires, sont avant 1869 les protecteurs du royaume et des ancêtres (</w:t>
      </w:r>
      <w:r>
        <w:rPr>
          <w:iCs/>
          <w:i/>
        </w:rPr>
        <w:t xml:space="preserve">razana</w:t>
      </w:r>
      <w:r>
        <w:t xml:space="preserve">).</w:t>
      </w:r>
      <w:r>
        <w:t xml:space="preserve"> </w:t>
      </w:r>
      <w:r>
        <w:rPr>
          <w:bCs/>
          <w:b/>
        </w:rPr>
        <w:t xml:space="preserve">Leur destruction publique reste, dans la mémoire populaire, une rupture spirituelle majeure autant qu’une conversion politique.</w:t>
      </w:r>
    </w:p>
    <w:bookmarkEnd w:id="62"/>
    <w:bookmarkStart w:id="63" w:name="erreurs-à-éviter-à-lantenne-2"/>
    <w:p>
      <w:pPr>
        <w:pStyle w:val="Heading2"/>
      </w:pPr>
      <w:r>
        <w:t xml:space="preserve">Erreurs à éviter à l’antenne</w:t>
      </w:r>
    </w:p>
    <w:p>
      <w:pPr>
        <w:numPr>
          <w:ilvl w:val="0"/>
          <w:numId w:val="1015"/>
        </w:numPr>
        <w:pStyle w:val="Compact"/>
      </w:pPr>
      <w:r>
        <w:rPr>
          <w:bCs/>
          <w:b/>
        </w:rPr>
        <w:t xml:space="preserve">Ne jamais dire que le « royaume de Madagascar » contrôlait l’île entière.</w:t>
      </w:r>
      <w:r>
        <w:t xml:space="preserve"> </w:t>
      </w:r>
      <w:r>
        <w:t xml:space="preserve">Les royaumes sakalava (Menabe, Boina), les chefferies du Sud (Bara, Antandroy, Mahafaly) et une partie de la côte est sont restés largement autonomes jusqu’à la conquête française — qui a dû les « pacifier » séparément après 1896.</w:t>
      </w:r>
    </w:p>
    <w:p>
      <w:pPr>
        <w:numPr>
          <w:ilvl w:val="0"/>
          <w:numId w:val="1015"/>
        </w:numPr>
        <w:pStyle w:val="Compact"/>
      </w:pPr>
      <w:r>
        <w:rPr>
          <w:bCs/>
          <w:b/>
        </w:rPr>
        <w:t xml:space="preserve">Ne pas asséner les chiffres de mortalité de Ranavalona Ire.</w:t>
      </w:r>
      <w:r>
        <w:t xml:space="preserve"> </w:t>
      </w:r>
      <w:r>
        <w:t xml:space="preserve">Toujours les qualifier : « selon des estimations britanniques de l’époque, invérifiables ».</w:t>
      </w:r>
    </w:p>
    <w:p>
      <w:pPr>
        <w:numPr>
          <w:ilvl w:val="0"/>
          <w:numId w:val="1015"/>
        </w:numPr>
        <w:pStyle w:val="Compact"/>
      </w:pPr>
      <w:r>
        <w:rPr>
          <w:bCs/>
          <w:b/>
        </w:rPr>
        <w:t xml:space="preserve">Ne pas réduire Rainilaiarivony à un ministre.</w:t>
      </w:r>
      <w:r>
        <w:t xml:space="preserve"> </w:t>
      </w:r>
      <w:r>
        <w:t xml:space="preserve">Il est le pouvoir exécutif réel derrière trois reines.</w:t>
      </w:r>
    </w:p>
    <w:p>
      <w:pPr>
        <w:numPr>
          <w:ilvl w:val="0"/>
          <w:numId w:val="1015"/>
        </w:numPr>
        <w:pStyle w:val="Compact"/>
      </w:pPr>
      <w:r>
        <w:rPr>
          <w:bCs/>
          <w:b/>
        </w:rPr>
        <w:t xml:space="preserve">Ne pas dire que le christianisme est « introduit » en 1869.</w:t>
      </w:r>
      <w:r>
        <w:t xml:space="preserve"> </w:t>
      </w:r>
      <w:r>
        <w:t xml:space="preserve">Il est présent dès 1820, interdit de 1835 à 1861, officialisé en 1869.</w:t>
      </w:r>
    </w:p>
    <w:p>
      <w:pPr>
        <w:numPr>
          <w:ilvl w:val="0"/>
          <w:numId w:val="1015"/>
        </w:numPr>
        <w:pStyle w:val="Compact"/>
      </w:pPr>
      <w:r>
        <w:rPr>
          <w:bCs/>
          <w:b/>
        </w:rPr>
        <w:t xml:space="preserve">Ne pas confondre le protectorat (1885, puis 1895) et l’annexion (1896).</w:t>
      </w:r>
      <w:r>
        <w:t xml:space="preserve"> </w:t>
      </w:r>
      <w:r>
        <w:t xml:space="preserve">Deux actes juridiques distincts.</w:t>
      </w:r>
    </w:p>
    <w:bookmarkEnd w:id="63"/>
    <w:bookmarkStart w:id="64" w:name="citations-dépoque-utilisables"/>
    <w:p>
      <w:pPr>
        <w:pStyle w:val="Heading2"/>
      </w:pPr>
      <w:r>
        <w:t xml:space="preserve">Citations d’époque utilisables</w:t>
      </w:r>
    </w:p>
    <w:p>
      <w:pPr>
        <w:numPr>
          <w:ilvl w:val="0"/>
          <w:numId w:val="1016"/>
        </w:numPr>
        <w:pStyle w:val="Compact"/>
      </w:pPr>
      <w:r>
        <w:rPr>
          <w:iCs/>
          <w:i/>
        </w:rPr>
        <w:t xml:space="preserve">« Ny ranomasina no valamparihiko »</w:t>
      </w:r>
      <w:r>
        <w:t xml:space="preserve"> </w:t>
      </w:r>
      <w:r>
        <w:t xml:space="preserve">— attribué à Andrianampoinimerina, transmis dans le</w:t>
      </w:r>
      <w:r>
        <w:t xml:space="preserve"> </w:t>
      </w:r>
      <w:r>
        <w:rPr>
          <w:iCs/>
          <w:i/>
        </w:rPr>
        <w:t xml:space="preserve">Tantara ny Andriana eto Madagasikara</w:t>
      </w:r>
      <w:r>
        <w:t xml:space="preserve">, recueil du père François Callet (compilation 1873-1902).</w:t>
      </w:r>
    </w:p>
    <w:p>
      <w:pPr>
        <w:numPr>
          <w:ilvl w:val="0"/>
          <w:numId w:val="1016"/>
        </w:numPr>
        <w:pStyle w:val="Compact"/>
      </w:pPr>
      <w:r>
        <w:t xml:space="preserve">Sur l’interdiction du christianisme (kabary de 1835) et la répression qui suit : récit de première main dans</w:t>
      </w:r>
      <w:r>
        <w:t xml:space="preserve"> </w:t>
      </w:r>
      <w:r>
        <w:rPr>
          <w:bCs/>
          <w:b/>
        </w:rPr>
        <w:t xml:space="preserve">William Ellis,</w:t>
      </w:r>
      <w:r>
        <w:rPr>
          <w:bCs/>
          <w:b/>
        </w:rPr>
        <w:t xml:space="preserve"> </w:t>
      </w:r>
      <w:r>
        <w:rPr>
          <w:iCs/>
          <w:i/>
          <w:bCs/>
          <w:b/>
        </w:rPr>
        <w:t xml:space="preserve">History of Madagascar</w:t>
      </w:r>
      <w:r>
        <w:rPr>
          <w:bCs/>
          <w:b/>
        </w:rPr>
        <w:t xml:space="preserve">, vol. 2, Fisher, Son &amp; Co., Londres, 1838</w:t>
      </w:r>
      <w:r>
        <w:t xml:space="preserve">. Source missionnaire —</w:t>
      </w:r>
      <w:r>
        <w:t xml:space="preserve"> </w:t>
      </w:r>
      <w:r>
        <w:rPr>
          <w:bCs/>
          <w:b/>
        </w:rPr>
        <w:t xml:space="preserve">à introduire comme telle, c’est une partie prenante du conflit qu’elle décrit</w:t>
      </w:r>
      <w:r>
        <w:t xml:space="preserve">.</w:t>
      </w:r>
    </w:p>
    <w:p>
      <w:pPr>
        <w:numPr>
          <w:ilvl w:val="0"/>
          <w:numId w:val="1016"/>
        </w:numPr>
        <w:pStyle w:val="Compact"/>
      </w:pPr>
      <w:r>
        <w:t xml:space="preserve">Traité de 1817, clause d’interdiction de la traite extérieure contre subside annuel : analysé dans « Le traité conclu entre Radama Ier et Lesage le 4 février 1817 »,</w:t>
      </w:r>
      <w:r>
        <w:t xml:space="preserve"> </w:t>
      </w:r>
      <w:r>
        <w:rPr>
          <w:iCs/>
          <w:i/>
        </w:rPr>
        <w:t xml:space="preserve">Revue française d’histoire d’outre-mer</w:t>
      </w:r>
      <w:r>
        <w:t xml:space="preserve">, 1974 (Persée).</w:t>
      </w:r>
    </w:p>
    <w:bookmarkEnd w:id="64"/>
    <w:bookmarkStart w:id="65" w:name="accroches-2"/>
    <w:p>
      <w:pPr>
        <w:pStyle w:val="Heading2"/>
      </w:pPr>
      <w:r>
        <w:t xml:space="preserve">Accroches</w:t>
      </w:r>
    </w:p>
    <w:p>
      <w:pPr>
        <w:pStyle w:val="BlockText"/>
      </w:pPr>
      <w:r>
        <w:t xml:space="preserve">« Un roi qui rêvait que sa rizière touche la mer — et un empire de rizières bâti à la corvée. »</w:t>
      </w:r>
    </w:p>
    <w:p>
      <w:pPr>
        <w:pStyle w:val="BlockText"/>
      </w:pPr>
      <w:r>
        <w:t xml:space="preserve">« Une reine que l’Empire britannique a surnommée tyran, et que l’histoire redécouvre aujourd’hui comme la dernière résistante d’un royaume libre. »</w:t>
      </w:r>
    </w:p>
    <w:p>
      <w:pPr>
        <w:pStyle w:val="BlockText"/>
      </w:pPr>
      <w:r>
        <w:t xml:space="preserve">« Quinze mille soldats envoyés conquérir une reine — et presque tous vaincus, non par les armes malgaches, mais par la fièvre. »</w:t>
      </w:r>
    </w:p>
    <w:bookmarkEnd w:id="65"/>
    <w:bookmarkEnd w:id="66"/>
    <w:bookmarkStart w:id="81" w:name="période-4-madagascar-française-1895-1960"/>
    <w:p>
      <w:pPr>
        <w:pStyle w:val="Heading1"/>
      </w:pPr>
      <w:r>
        <w:t xml:space="preserve">PÉRIODE 4 — Madagascar française (1895-1960)</w:t>
      </w:r>
    </w:p>
    <w:p>
      <w:pPr>
        <w:pStyle w:val="FirstParagraph"/>
      </w:pPr>
      <w:r>
        <w:rPr>
          <w:iCs/>
          <w:i/>
        </w:rPr>
        <w:t xml:space="preserve">Épisodes 16 à 20</w:t>
      </w:r>
    </w:p>
    <w:bookmarkStart w:id="67" w:name="chronologie-3"/>
    <w:p>
      <w:pPr>
        <w:pStyle w:val="Heading2"/>
      </w:pPr>
      <w:r>
        <w:t xml:space="preserve">Chronologie</w:t>
      </w:r>
    </w:p>
    <w:p>
      <w:pPr>
        <w:numPr>
          <w:ilvl w:val="0"/>
          <w:numId w:val="1017"/>
        </w:numPr>
        <w:pStyle w:val="Compact"/>
      </w:pPr>
      <w:r>
        <w:rPr>
          <w:bCs/>
          <w:b/>
        </w:rPr>
        <w:t xml:space="preserve">1895-1898</w:t>
      </w:r>
      <w:r>
        <w:t xml:space="preserve"> </w:t>
      </w:r>
      <w:r>
        <w:t xml:space="preserve">— Insurrection des</w:t>
      </w:r>
      <w:r>
        <w:t xml:space="preserve"> </w:t>
      </w:r>
      <w:r>
        <w:rPr>
          <w:bCs/>
          <w:b/>
        </w:rPr>
        <w:t xml:space="preserve">Menalamba</w:t>
      </w:r>
      <w:r>
        <w:t xml:space="preserve"> </w:t>
      </w:r>
      <w:r>
        <w:t xml:space="preserve">(« châles rouges »), révolte rurale dans l’Imerina et le Betsileo contre la conquête, la christianisation forcée et la fiscalité coloniale.</w:t>
      </w:r>
      <w:r>
        <w:t xml:space="preserve"> </w:t>
      </w:r>
      <w:r>
        <w:rPr>
          <w:bCs/>
          <w:b/>
        </w:rPr>
        <w:t xml:space="preserve">[SÛR]</w:t>
      </w:r>
    </w:p>
    <w:p>
      <w:pPr>
        <w:numPr>
          <w:ilvl w:val="0"/>
          <w:numId w:val="1017"/>
        </w:numPr>
        <w:pStyle w:val="Compact"/>
      </w:pPr>
      <w:r>
        <w:rPr>
          <w:bCs/>
          <w:b/>
        </w:rPr>
        <w:t xml:space="preserve">6 août 1896</w:t>
      </w:r>
      <w:r>
        <w:t xml:space="preserve"> </w:t>
      </w:r>
      <w:r>
        <w:t xml:space="preserve">— Le Parlement français vote la loi annexant Madagascar comme colonie.</w:t>
      </w:r>
      <w:r>
        <w:t xml:space="preserve"> </w:t>
      </w:r>
      <w:r>
        <w:rPr>
          <w:bCs/>
          <w:b/>
        </w:rPr>
        <w:t xml:space="preserve">[SÛR]</w:t>
      </w:r>
    </w:p>
    <w:p>
      <w:pPr>
        <w:numPr>
          <w:ilvl w:val="0"/>
          <w:numId w:val="1017"/>
        </w:numPr>
        <w:pStyle w:val="Compact"/>
      </w:pPr>
      <w:r>
        <w:rPr>
          <w:bCs/>
          <w:b/>
        </w:rPr>
        <w:t xml:space="preserve">15 octobre 1896</w:t>
      </w:r>
      <w:r>
        <w:t xml:space="preserve"> </w:t>
      </w:r>
      <w:r>
        <w:t xml:space="preserve">— Exécution sur ordre de Gallieni du ministre</w:t>
      </w:r>
      <w:r>
        <w:t xml:space="preserve"> </w:t>
      </w:r>
      <w:r>
        <w:rPr>
          <w:bCs/>
          <w:b/>
        </w:rPr>
        <w:t xml:space="preserve">Rainandriamampandry</w:t>
      </w:r>
      <w:r>
        <w:t xml:space="preserve"> </w:t>
      </w:r>
      <w:r>
        <w:t xml:space="preserve">et du prince</w:t>
      </w:r>
      <w:r>
        <w:t xml:space="preserve"> </w:t>
      </w:r>
      <w:r>
        <w:rPr>
          <w:bCs/>
          <w:b/>
        </w:rPr>
        <w:t xml:space="preserve">Ratsimamanga</w:t>
      </w:r>
      <w:r>
        <w:t xml:space="preserve">, accusés d’avoir soutenu les Menalamba. Procès sommaire, dossier étudié par Stephen Ellis et jugé entaché de manipulations.</w:t>
      </w:r>
      <w:r>
        <w:t xml:space="preserve"> </w:t>
      </w:r>
      <w:r>
        <w:rPr>
          <w:bCs/>
          <w:b/>
        </w:rPr>
        <w:t xml:space="preserve">[CONTROVERSÉ]</w:t>
      </w:r>
      <w:r>
        <w:t xml:space="preserve"> </w:t>
      </w:r>
      <w:r>
        <w:t xml:space="preserve">quant à leur culpabilité réelle.</w:t>
      </w:r>
    </w:p>
    <w:p>
      <w:pPr>
        <w:numPr>
          <w:ilvl w:val="0"/>
          <w:numId w:val="1017"/>
        </w:numPr>
        <w:pStyle w:val="Compact"/>
      </w:pPr>
      <w:r>
        <w:rPr>
          <w:bCs/>
          <w:b/>
        </w:rPr>
        <w:t xml:space="preserve">1896-1905</w:t>
      </w:r>
      <w:r>
        <w:t xml:space="preserve"> </w:t>
      </w:r>
      <w:r>
        <w:t xml:space="preserve">—</w:t>
      </w:r>
      <w:r>
        <w:t xml:space="preserve"> </w:t>
      </w:r>
      <w:r>
        <w:rPr>
          <w:bCs/>
          <w:b/>
        </w:rPr>
        <w:t xml:space="preserve">Gallieni</w:t>
      </w:r>
      <w:r>
        <w:t xml:space="preserve"> </w:t>
      </w:r>
      <w:r>
        <w:t xml:space="preserve">gouverneur général : mise en place de la « politique des races », cantonnement administratif par provinces ethniques, généralisation du travail obligatoire.</w:t>
      </w:r>
      <w:r>
        <w:t xml:space="preserve"> </w:t>
      </w:r>
      <w:r>
        <w:rPr>
          <w:bCs/>
          <w:b/>
        </w:rPr>
        <w:t xml:space="preserve">[SÛR]</w:t>
      </w:r>
    </w:p>
    <w:p>
      <w:pPr>
        <w:numPr>
          <w:ilvl w:val="0"/>
          <w:numId w:val="1017"/>
        </w:numPr>
        <w:pStyle w:val="Compact"/>
      </w:pPr>
      <w:r>
        <w:rPr>
          <w:bCs/>
          <w:b/>
        </w:rPr>
        <w:t xml:space="preserve">28 septembre 1897</w:t>
      </w:r>
      <w:r>
        <w:t xml:space="preserve"> </w:t>
      </w:r>
      <w:r>
        <w:t xml:space="preserve">— Gallieni fait arrêter de nuit la reine</w:t>
      </w:r>
      <w:r>
        <w:t xml:space="preserve"> </w:t>
      </w:r>
      <w:r>
        <w:rPr>
          <w:bCs/>
          <w:b/>
        </w:rPr>
        <w:t xml:space="preserve">Ranavalona III</w:t>
      </w:r>
      <w:r>
        <w:t xml:space="preserve"> </w:t>
      </w:r>
      <w:r>
        <w:t xml:space="preserve">et abolit la monarchie le lendemain.</w:t>
      </w:r>
      <w:r>
        <w:t xml:space="preserve"> </w:t>
      </w:r>
      <w:r>
        <w:rPr>
          <w:bCs/>
          <w:b/>
        </w:rPr>
        <w:t xml:space="preserve">[SÛR]</w:t>
      </w:r>
    </w:p>
    <w:p>
      <w:pPr>
        <w:numPr>
          <w:ilvl w:val="0"/>
          <w:numId w:val="1017"/>
        </w:numPr>
        <w:pStyle w:val="Compact"/>
      </w:pPr>
      <w:r>
        <w:rPr>
          <w:bCs/>
          <w:b/>
        </w:rPr>
        <w:t xml:space="preserve">1897</w:t>
      </w:r>
      <w:r>
        <w:t xml:space="preserve"> </w:t>
      </w:r>
      <w:r>
        <w:t xml:space="preserve">— Exil de Ranavalona III à La Réunion, puis</w:t>
      </w:r>
      <w:r>
        <w:t xml:space="preserve"> </w:t>
      </w:r>
      <w:r>
        <w:rPr>
          <w:bCs/>
          <w:b/>
        </w:rPr>
        <w:t xml:space="preserve">1899</w:t>
      </w:r>
      <w:r>
        <w:t xml:space="preserve"> </w:t>
      </w:r>
      <w:r>
        <w:t xml:space="preserve">à Alger.</w:t>
      </w:r>
      <w:r>
        <w:t xml:space="preserve"> </w:t>
      </w:r>
      <w:r>
        <w:rPr>
          <w:bCs/>
          <w:b/>
        </w:rPr>
        <w:t xml:space="preserve">[SÛR]</w:t>
      </w:r>
    </w:p>
    <w:p>
      <w:pPr>
        <w:numPr>
          <w:ilvl w:val="0"/>
          <w:numId w:val="1017"/>
        </w:numPr>
        <w:pStyle w:val="Compact"/>
      </w:pPr>
      <w:r>
        <w:rPr>
          <w:bCs/>
          <w:b/>
        </w:rPr>
        <w:t xml:space="preserve">1913</w:t>
      </w:r>
      <w:r>
        <w:t xml:space="preserve"> </w:t>
      </w:r>
      <w:r>
        <w:t xml:space="preserve">— Fondation à Antananarivo du</w:t>
      </w:r>
      <w:r>
        <w:t xml:space="preserve"> </w:t>
      </w:r>
      <w:r>
        <w:rPr>
          <w:bCs/>
          <w:b/>
        </w:rPr>
        <w:t xml:space="preserve">VVS</w:t>
      </w:r>
      <w:r>
        <w:t xml:space="preserve"> </w:t>
      </w:r>
      <w:r>
        <w:t xml:space="preserve">(</w:t>
      </w:r>
      <w:r>
        <w:rPr>
          <w:iCs/>
          <w:i/>
        </w:rPr>
        <w:t xml:space="preserve">Vy Vato Sakelika</w:t>
      </w:r>
      <w:r>
        <w:t xml:space="preserve">, « Fer, Pierre, Réseau »), société secrète nationaliste initiée par sept étudiants en médecine, inspirée par le pasteur</w:t>
      </w:r>
      <w:r>
        <w:t xml:space="preserve"> </w:t>
      </w:r>
      <w:r>
        <w:rPr>
          <w:bCs/>
          <w:b/>
        </w:rPr>
        <w:t xml:space="preserve">Ravelojaona</w:t>
      </w:r>
      <w:r>
        <w:t xml:space="preserve">.</w:t>
      </w:r>
      <w:r>
        <w:t xml:space="preserve"> </w:t>
      </w:r>
      <w:r>
        <w:rPr>
          <w:bCs/>
          <w:b/>
        </w:rPr>
        <w:t xml:space="preserve">[SÛR]</w:t>
      </w:r>
    </w:p>
    <w:p>
      <w:pPr>
        <w:numPr>
          <w:ilvl w:val="0"/>
          <w:numId w:val="1017"/>
        </w:numPr>
        <w:pStyle w:val="Compact"/>
      </w:pPr>
      <w:r>
        <w:rPr>
          <w:bCs/>
          <w:b/>
        </w:rPr>
        <w:t xml:space="preserve">1914-1918</w:t>
      </w:r>
      <w:r>
        <w:t xml:space="preserve"> </w:t>
      </w:r>
      <w:r>
        <w:t xml:space="preserve">— Plus de</w:t>
      </w:r>
      <w:r>
        <w:t xml:space="preserve"> </w:t>
      </w:r>
      <w:r>
        <w:rPr>
          <w:bCs/>
          <w:b/>
        </w:rPr>
        <w:t xml:space="preserve">41 000 Malgaches mobilisés</w:t>
      </w:r>
      <w:r>
        <w:t xml:space="preserve">, dont 34 000 envoyés en métropole, plus environ 5 500 travailleurs civils.</w:t>
      </w:r>
      <w:r>
        <w:t xml:space="preserve"> </w:t>
      </w:r>
      <w:r>
        <w:rPr>
          <w:bCs/>
          <w:b/>
        </w:rPr>
        <w:t xml:space="preserve">2 368 morts</w:t>
      </w:r>
      <w:r>
        <w:t xml:space="preserve"> </w:t>
      </w:r>
      <w:r>
        <w:t xml:space="preserve">officiellement recensés.</w:t>
      </w:r>
      <w:r>
        <w:t xml:space="preserve"> </w:t>
      </w:r>
      <w:r>
        <w:rPr>
          <w:bCs/>
          <w:b/>
        </w:rPr>
        <w:t xml:space="preserve">[SÛR]</w:t>
      </w:r>
    </w:p>
    <w:p>
      <w:pPr>
        <w:numPr>
          <w:ilvl w:val="0"/>
          <w:numId w:val="1017"/>
        </w:numPr>
        <w:pStyle w:val="Compact"/>
      </w:pPr>
      <w:r>
        <w:rPr>
          <w:bCs/>
          <w:b/>
        </w:rPr>
        <w:t xml:space="preserve">1915-1916</w:t>
      </w:r>
      <w:r>
        <w:t xml:space="preserve"> </w:t>
      </w:r>
      <w:r>
        <w:t xml:space="preserve">— Rumeur de complot, répression du VVS : interdiction début 1916, journal fermé, dirigeants déportés à Nosy Lava, travaux forcés. Libérations en 1918, grâce en 1922.</w:t>
      </w:r>
      <w:r>
        <w:t xml:space="preserve"> </w:t>
      </w:r>
      <w:r>
        <w:rPr>
          <w:bCs/>
          <w:b/>
        </w:rPr>
        <w:t xml:space="preserve">[SÛR]</w:t>
      </w:r>
    </w:p>
    <w:p>
      <w:pPr>
        <w:numPr>
          <w:ilvl w:val="0"/>
          <w:numId w:val="1017"/>
        </w:numPr>
        <w:pStyle w:val="Compact"/>
      </w:pPr>
      <w:r>
        <w:rPr>
          <w:bCs/>
          <w:b/>
        </w:rPr>
        <w:t xml:space="preserve">1920</w:t>
      </w:r>
      <w:r>
        <w:t xml:space="preserve"> </w:t>
      </w:r>
      <w:r>
        <w:t xml:space="preserve">—</w:t>
      </w:r>
      <w:r>
        <w:t xml:space="preserve"> </w:t>
      </w:r>
      <w:r>
        <w:rPr>
          <w:bCs/>
          <w:b/>
        </w:rPr>
        <w:t xml:space="preserve">Jean Ralaimongo</w:t>
      </w:r>
      <w:r>
        <w:t xml:space="preserve"> </w:t>
      </w:r>
      <w:r>
        <w:t xml:space="preserve">fonde la Ligue pour l’accession des indigènes de Madagascar aux droits de citoyens français ; campagne « Madagascar département français » via son journal</w:t>
      </w:r>
      <w:r>
        <w:t xml:space="preserve"> </w:t>
      </w:r>
      <w:r>
        <w:rPr>
          <w:iCs/>
          <w:i/>
        </w:rPr>
        <w:t xml:space="preserve">L’Opinion</w:t>
      </w:r>
      <w:r>
        <w:t xml:space="preserve">.</w:t>
      </w:r>
      <w:r>
        <w:t xml:space="preserve"> </w:t>
      </w:r>
      <w:r>
        <w:rPr>
          <w:bCs/>
          <w:b/>
        </w:rPr>
        <w:t xml:space="preserve">[SÛR]</w:t>
      </w:r>
    </w:p>
    <w:p>
      <w:pPr>
        <w:numPr>
          <w:ilvl w:val="0"/>
          <w:numId w:val="1017"/>
        </w:numPr>
        <w:pStyle w:val="Compact"/>
      </w:pPr>
      <w:r>
        <w:rPr>
          <w:bCs/>
          <w:b/>
        </w:rPr>
        <w:t xml:space="preserve">1926</w:t>
      </w:r>
      <w:r>
        <w:t xml:space="preserve"> </w:t>
      </w:r>
      <w:r>
        <w:t xml:space="preserve">— Création du</w:t>
      </w:r>
      <w:r>
        <w:t xml:space="preserve"> </w:t>
      </w:r>
      <w:r>
        <w:rPr>
          <w:bCs/>
          <w:b/>
        </w:rPr>
        <w:t xml:space="preserve">SMOTIG</w:t>
      </w:r>
      <w:r>
        <w:t xml:space="preserve"> </w:t>
      </w:r>
      <w:r>
        <w:t xml:space="preserve">(Service de la Main-d’Œuvre des Travaux d’Intérêt Général) par le gouverneur Marcel Olivier : travail obligatoire encadré, utilisé notamment pour le chemin de fer Fianarantsoa–Côte Est.</w:t>
      </w:r>
      <w:r>
        <w:t xml:space="preserve"> </w:t>
      </w:r>
      <w:r>
        <w:rPr>
          <w:bCs/>
          <w:b/>
        </w:rPr>
        <w:t xml:space="preserve">[SÛR]</w:t>
      </w:r>
    </w:p>
    <w:p>
      <w:pPr>
        <w:numPr>
          <w:ilvl w:val="0"/>
          <w:numId w:val="1017"/>
        </w:numPr>
        <w:pStyle w:val="Compact"/>
      </w:pPr>
      <w:r>
        <w:rPr>
          <w:bCs/>
          <w:b/>
        </w:rPr>
        <w:t xml:space="preserve">5 mai – 8 novembre 1942</w:t>
      </w:r>
      <w:r>
        <w:t xml:space="preserve"> </w:t>
      </w:r>
      <w:r>
        <w:t xml:space="preserve">—</w:t>
      </w:r>
      <w:r>
        <w:t xml:space="preserve"> </w:t>
      </w:r>
      <w:r>
        <w:rPr>
          <w:bCs/>
          <w:b/>
        </w:rPr>
        <w:t xml:space="preserve">Opération Ironclad</w:t>
      </w:r>
      <w:r>
        <w:t xml:space="preserve"> </w:t>
      </w:r>
      <w:r>
        <w:t xml:space="preserve">: les Britanniques envahissent Madagascar, sous administration vichyste, pour prévenir une occupation japonaise. Capitulation française le 8 novembre.</w:t>
      </w:r>
      <w:r>
        <w:t xml:space="preserve"> </w:t>
      </w:r>
      <w:r>
        <w:rPr>
          <w:bCs/>
          <w:b/>
        </w:rPr>
        <w:t xml:space="preserve">[SÛR]</w:t>
      </w:r>
    </w:p>
    <w:p>
      <w:pPr>
        <w:numPr>
          <w:ilvl w:val="0"/>
          <w:numId w:val="1017"/>
        </w:numPr>
        <w:pStyle w:val="Compact"/>
      </w:pPr>
      <w:r>
        <w:rPr>
          <w:bCs/>
          <w:b/>
        </w:rPr>
        <w:t xml:space="preserve">Janvier 1943</w:t>
      </w:r>
      <w:r>
        <w:t xml:space="preserve"> </w:t>
      </w:r>
      <w:r>
        <w:t xml:space="preserve">— Les Forces françaises libres prennent effectivement le contrôle de l’île.</w:t>
      </w:r>
      <w:r>
        <w:t xml:space="preserve"> </w:t>
      </w:r>
      <w:r>
        <w:rPr>
          <w:bCs/>
          <w:b/>
        </w:rPr>
        <w:t xml:space="preserve">[SÛR]</w:t>
      </w:r>
    </w:p>
    <w:p>
      <w:pPr>
        <w:numPr>
          <w:ilvl w:val="0"/>
          <w:numId w:val="1017"/>
        </w:numPr>
        <w:pStyle w:val="Compact"/>
      </w:pPr>
      <w:r>
        <w:rPr>
          <w:bCs/>
          <w:b/>
        </w:rPr>
        <w:t xml:space="preserve">1945</w:t>
      </w:r>
      <w:r>
        <w:t xml:space="preserve"> </w:t>
      </w:r>
      <w:r>
        <w:t xml:space="preserve">— Suppression officielle du travail forcé colonial dans l’empire français.</w:t>
      </w:r>
      <w:r>
        <w:t xml:space="preserve"> </w:t>
      </w:r>
      <w:r>
        <w:rPr>
          <w:bCs/>
          <w:b/>
        </w:rPr>
        <w:t xml:space="preserve">[SÛR]</w:t>
      </w:r>
    </w:p>
    <w:p>
      <w:pPr>
        <w:numPr>
          <w:ilvl w:val="0"/>
          <w:numId w:val="1017"/>
        </w:numPr>
        <w:pStyle w:val="Compact"/>
      </w:pPr>
      <w:r>
        <w:rPr>
          <w:bCs/>
          <w:b/>
        </w:rPr>
        <w:t xml:space="preserve">14 février 1946</w:t>
      </w:r>
      <w:r>
        <w:t xml:space="preserve"> </w:t>
      </w:r>
      <w:r>
        <w:t xml:space="preserve">— Fondation à Paris du</w:t>
      </w:r>
      <w:r>
        <w:t xml:space="preserve"> </w:t>
      </w:r>
      <w:r>
        <w:rPr>
          <w:bCs/>
          <w:b/>
        </w:rPr>
        <w:t xml:space="preserve">MDRM</w:t>
      </w:r>
      <w:r>
        <w:t xml:space="preserve"> </w:t>
      </w:r>
      <w:r>
        <w:t xml:space="preserve">(Mouvement démocratique de la rénovation malgache) par</w:t>
      </w:r>
      <w:r>
        <w:t xml:space="preserve"> </w:t>
      </w:r>
      <w:r>
        <w:rPr>
          <w:bCs/>
          <w:b/>
        </w:rPr>
        <w:t xml:space="preserve">Joseph Raseta</w:t>
      </w:r>
      <w:r>
        <w:t xml:space="preserve">,</w:t>
      </w:r>
      <w:r>
        <w:t xml:space="preserve"> </w:t>
      </w:r>
      <w:r>
        <w:rPr>
          <w:bCs/>
          <w:b/>
        </w:rPr>
        <w:t xml:space="preserve">Joseph Ravoahangy</w:t>
      </w:r>
      <w:r>
        <w:t xml:space="preserve"> </w:t>
      </w:r>
      <w:r>
        <w:t xml:space="preserve">et</w:t>
      </w:r>
      <w:r>
        <w:t xml:space="preserve"> </w:t>
      </w:r>
      <w:r>
        <w:rPr>
          <w:bCs/>
          <w:b/>
        </w:rPr>
        <w:t xml:space="preserve">Jacques Rabemananjara</w:t>
      </w:r>
      <w:r>
        <w:t xml:space="preserve">.</w:t>
      </w:r>
      <w:r>
        <w:t xml:space="preserve"> </w:t>
      </w:r>
      <w:r>
        <w:rPr>
          <w:bCs/>
          <w:b/>
        </w:rPr>
        <w:t xml:space="preserve">[SÛR]</w:t>
      </w:r>
    </w:p>
    <w:p>
      <w:pPr>
        <w:numPr>
          <w:ilvl w:val="0"/>
          <w:numId w:val="1017"/>
        </w:numPr>
        <w:pStyle w:val="Compact"/>
      </w:pPr>
      <w:r>
        <w:rPr>
          <w:bCs/>
          <w:b/>
        </w:rPr>
        <w:t xml:space="preserve">7 mai 1946</w:t>
      </w:r>
      <w:r>
        <w:t xml:space="preserve"> </w:t>
      </w:r>
      <w:r>
        <w:t xml:space="preserve">— Loi Lamine Guèye accordant la citoyenneté française aux ressortissants d’outre-mer — sans abolir dans les faits le statut de sujet colonial.</w:t>
      </w:r>
      <w:r>
        <w:t xml:space="preserve"> </w:t>
      </w:r>
      <w:r>
        <w:rPr>
          <w:bCs/>
          <w:b/>
        </w:rPr>
        <w:t xml:space="preserve">[SÛR]</w:t>
      </w:r>
    </w:p>
    <w:p>
      <w:pPr>
        <w:numPr>
          <w:ilvl w:val="0"/>
          <w:numId w:val="1017"/>
        </w:numPr>
        <w:pStyle w:val="Compact"/>
      </w:pPr>
      <w:r>
        <w:rPr>
          <w:bCs/>
          <w:b/>
        </w:rPr>
        <w:t xml:space="preserve">29-30 mars 1947</w:t>
      </w:r>
      <w:r>
        <w:t xml:space="preserve"> </w:t>
      </w:r>
      <w:r>
        <w:t xml:space="preserve">— Déclenchement de l’</w:t>
      </w:r>
      <w:r>
        <w:rPr>
          <w:bCs/>
          <w:b/>
        </w:rPr>
        <w:t xml:space="preserve">insurrection malgache</w:t>
      </w:r>
      <w:r>
        <w:t xml:space="preserve"> </w:t>
      </w:r>
      <w:r>
        <w:t xml:space="preserve">: attaques nocturnes contre des postes et des colons dans l’Est et le Sud-Est.</w:t>
      </w:r>
      <w:r>
        <w:t xml:space="preserve"> </w:t>
      </w:r>
      <w:r>
        <w:rPr>
          <w:bCs/>
          <w:b/>
        </w:rPr>
        <w:t xml:space="preserve">[SÛR]</w:t>
      </w:r>
    </w:p>
    <w:p>
      <w:pPr>
        <w:numPr>
          <w:ilvl w:val="0"/>
          <w:numId w:val="1017"/>
        </w:numPr>
        <w:pStyle w:val="Compact"/>
      </w:pPr>
      <w:r>
        <w:rPr>
          <w:bCs/>
          <w:b/>
        </w:rPr>
        <w:t xml:space="preserve">13 mai 1947</w:t>
      </w:r>
      <w:r>
        <w:t xml:space="preserve"> </w:t>
      </w:r>
      <w:r>
        <w:t xml:space="preserve">— Dissolution du MDRM.</w:t>
      </w:r>
      <w:r>
        <w:t xml:space="preserve"> </w:t>
      </w:r>
      <w:r>
        <w:rPr>
          <w:bCs/>
          <w:b/>
        </w:rPr>
        <w:t xml:space="preserve">[SÛR]</w:t>
      </w:r>
    </w:p>
    <w:p>
      <w:pPr>
        <w:numPr>
          <w:ilvl w:val="0"/>
          <w:numId w:val="1017"/>
        </w:numPr>
        <w:pStyle w:val="Compact"/>
      </w:pPr>
      <w:r>
        <w:rPr>
          <w:bCs/>
          <w:b/>
        </w:rPr>
        <w:t xml:space="preserve">1947-1948</w:t>
      </w:r>
      <w:r>
        <w:t xml:space="preserve"> </w:t>
      </w:r>
      <w:r>
        <w:t xml:space="preserve">— Répression militaire, policière et judiciaire ; guérilla résiduelle jusqu’à fin 1948.</w:t>
      </w:r>
      <w:r>
        <w:t xml:space="preserve"> </w:t>
      </w:r>
      <w:r>
        <w:rPr>
          <w:bCs/>
          <w:b/>
        </w:rPr>
        <w:t xml:space="preserve">[SÛR]</w:t>
      </w:r>
    </w:p>
    <w:p>
      <w:pPr>
        <w:numPr>
          <w:ilvl w:val="0"/>
          <w:numId w:val="1017"/>
        </w:numPr>
        <w:pStyle w:val="Compact"/>
      </w:pPr>
      <w:r>
        <w:rPr>
          <w:bCs/>
          <w:b/>
        </w:rPr>
        <w:t xml:space="preserve">1948</w:t>
      </w:r>
      <w:r>
        <w:t xml:space="preserve"> </w:t>
      </w:r>
      <w:r>
        <w:t xml:space="preserve">— Procès des dirigeants du MDRM. Raseta et Ravoahangy condamnés à mort, peine commuée ; Rabemananjara aux travaux forcés à perpétuité.</w:t>
      </w:r>
      <w:r>
        <w:t xml:space="preserve"> </w:t>
      </w:r>
      <w:r>
        <w:rPr>
          <w:bCs/>
          <w:b/>
        </w:rPr>
        <w:t xml:space="preserve">[SÛR]</w:t>
      </w:r>
    </w:p>
    <w:p>
      <w:pPr>
        <w:numPr>
          <w:ilvl w:val="0"/>
          <w:numId w:val="1017"/>
        </w:numPr>
        <w:pStyle w:val="Compact"/>
      </w:pPr>
      <w:r>
        <w:rPr>
          <w:bCs/>
          <w:b/>
        </w:rPr>
        <w:t xml:space="preserve">1954</w:t>
      </w:r>
      <w:r>
        <w:t xml:space="preserve"> </w:t>
      </w:r>
      <w:r>
        <w:t xml:space="preserve">— Amnistie des condamnés.</w:t>
      </w:r>
      <w:r>
        <w:t xml:space="preserve"> </w:t>
      </w:r>
      <w:r>
        <w:rPr>
          <w:bCs/>
          <w:b/>
        </w:rPr>
        <w:t xml:space="preserve">[SÛR]</w:t>
      </w:r>
    </w:p>
    <w:p>
      <w:pPr>
        <w:numPr>
          <w:ilvl w:val="0"/>
          <w:numId w:val="1017"/>
        </w:numPr>
        <w:pStyle w:val="Compact"/>
      </w:pPr>
      <w:r>
        <w:rPr>
          <w:bCs/>
          <w:b/>
        </w:rPr>
        <w:t xml:space="preserve">23 juin 1956</w:t>
      </w:r>
      <w:r>
        <w:t xml:space="preserve"> </w:t>
      </w:r>
      <w:r>
        <w:t xml:space="preserve">—</w:t>
      </w:r>
      <w:r>
        <w:t xml:space="preserve"> </w:t>
      </w:r>
      <w:r>
        <w:rPr>
          <w:bCs/>
          <w:b/>
        </w:rPr>
        <w:t xml:space="preserve">Loi-cadre Defferre</w:t>
      </w:r>
      <w:r>
        <w:t xml:space="preserve"> </w:t>
      </w:r>
      <w:r>
        <w:t xml:space="preserve">: suffrage universel et exécutifs locaux dans les colonies.</w:t>
      </w:r>
      <w:r>
        <w:t xml:space="preserve"> </w:t>
      </w:r>
      <w:r>
        <w:rPr>
          <w:bCs/>
          <w:b/>
        </w:rPr>
        <w:t xml:space="preserve">[SÛR]</w:t>
      </w:r>
    </w:p>
    <w:p>
      <w:pPr>
        <w:numPr>
          <w:ilvl w:val="0"/>
          <w:numId w:val="1017"/>
        </w:numPr>
        <w:pStyle w:val="Compact"/>
      </w:pPr>
      <w:r>
        <w:rPr>
          <w:bCs/>
          <w:b/>
        </w:rPr>
        <w:t xml:space="preserve">28 septembre 1958</w:t>
      </w:r>
      <w:r>
        <w:t xml:space="preserve"> </w:t>
      </w:r>
      <w:r>
        <w:t xml:space="preserve">— Référendum sur la Communauté française :</w:t>
      </w:r>
      <w:r>
        <w:t xml:space="preserve"> </w:t>
      </w:r>
      <w:r>
        <w:rPr>
          <w:bCs/>
          <w:b/>
        </w:rPr>
        <w:t xml:space="preserve">77,2 % de « oui »</w:t>
      </w:r>
      <w:r>
        <w:t xml:space="preserve"> </w:t>
      </w:r>
      <w:r>
        <w:t xml:space="preserve">au niveau national, mais</w:t>
      </w:r>
      <w:r>
        <w:t xml:space="preserve"> </w:t>
      </w:r>
      <w:r>
        <w:rPr>
          <w:bCs/>
          <w:b/>
        </w:rPr>
        <w:t xml:space="preserve">« non » majoritaire à Tananarive</w:t>
      </w:r>
      <w:r>
        <w:t xml:space="preserve">.</w:t>
      </w:r>
      <w:r>
        <w:t xml:space="preserve"> </w:t>
      </w:r>
      <w:r>
        <w:rPr>
          <w:bCs/>
          <w:b/>
        </w:rPr>
        <w:t xml:space="preserve">[SÛR]</w:t>
      </w:r>
    </w:p>
    <w:p>
      <w:pPr>
        <w:numPr>
          <w:ilvl w:val="0"/>
          <w:numId w:val="1017"/>
        </w:numPr>
        <w:pStyle w:val="Compact"/>
      </w:pPr>
      <w:r>
        <w:rPr>
          <w:bCs/>
          <w:b/>
        </w:rPr>
        <w:t xml:space="preserve">14 octobre 1958</w:t>
      </w:r>
      <w:r>
        <w:t xml:space="preserve"> </w:t>
      </w:r>
      <w:r>
        <w:t xml:space="preserve">— Proclamation de la République malgache, autonome au sein de la Communauté.</w:t>
      </w:r>
      <w:r>
        <w:t xml:space="preserve"> </w:t>
      </w:r>
      <w:r>
        <w:rPr>
          <w:bCs/>
          <w:b/>
        </w:rPr>
        <w:t xml:space="preserve">[SÛR]</w:t>
      </w:r>
    </w:p>
    <w:p>
      <w:pPr>
        <w:numPr>
          <w:ilvl w:val="0"/>
          <w:numId w:val="1017"/>
        </w:numPr>
        <w:pStyle w:val="Compact"/>
      </w:pPr>
      <w:r>
        <w:rPr>
          <w:bCs/>
          <w:b/>
        </w:rPr>
        <w:t xml:space="preserve">1er mai 1959</w:t>
      </w:r>
      <w:r>
        <w:t xml:space="preserve"> </w:t>
      </w:r>
      <w:r>
        <w:t xml:space="preserve">—</w:t>
      </w:r>
      <w:r>
        <w:t xml:space="preserve"> </w:t>
      </w:r>
      <w:r>
        <w:rPr>
          <w:bCs/>
          <w:b/>
        </w:rPr>
        <w:t xml:space="preserve">Philibert Tsiranana</w:t>
      </w:r>
      <w:r>
        <w:t xml:space="preserve"> </w:t>
      </w:r>
      <w:r>
        <w:t xml:space="preserve">élu premier président.</w:t>
      </w:r>
      <w:r>
        <w:t xml:space="preserve"> </w:t>
      </w:r>
      <w:r>
        <w:rPr>
          <w:bCs/>
          <w:b/>
        </w:rPr>
        <w:t xml:space="preserve">[SÛR]</w:t>
      </w:r>
    </w:p>
    <w:p>
      <w:pPr>
        <w:numPr>
          <w:ilvl w:val="0"/>
          <w:numId w:val="1017"/>
        </w:numPr>
        <w:pStyle w:val="Compact"/>
      </w:pPr>
      <w:r>
        <w:rPr>
          <w:bCs/>
          <w:b/>
        </w:rPr>
        <w:t xml:space="preserve">2 avril 1960</w:t>
      </w:r>
      <w:r>
        <w:t xml:space="preserve"> </w:t>
      </w:r>
      <w:r>
        <w:t xml:space="preserve">— Signature des accords de coopération franco-malgaches.</w:t>
      </w:r>
      <w:r>
        <w:t xml:space="preserve"> </w:t>
      </w:r>
      <w:r>
        <w:rPr>
          <w:bCs/>
          <w:b/>
        </w:rPr>
        <w:t xml:space="preserve">[SÛR]</w:t>
      </w:r>
    </w:p>
    <w:p>
      <w:pPr>
        <w:numPr>
          <w:ilvl w:val="0"/>
          <w:numId w:val="1017"/>
        </w:numPr>
        <w:pStyle w:val="Compact"/>
      </w:pPr>
      <w:r>
        <w:rPr>
          <w:bCs/>
          <w:b/>
        </w:rPr>
        <w:t xml:space="preserve">26 juin 1960</w:t>
      </w:r>
      <w:r>
        <w:t xml:space="preserve"> </w:t>
      </w:r>
      <w:r>
        <w:t xml:space="preserve">—</w:t>
      </w:r>
      <w:r>
        <w:t xml:space="preserve"> </w:t>
      </w:r>
      <w:r>
        <w:rPr>
          <w:bCs/>
          <w:b/>
        </w:rPr>
        <w:t xml:space="preserve">Indépendance</w:t>
      </w:r>
      <w:r>
        <w:t xml:space="preserve">, proclamée au stade de Mahamasina.</w:t>
      </w:r>
      <w:r>
        <w:t xml:space="preserve"> </w:t>
      </w:r>
      <w:r>
        <w:rPr>
          <w:bCs/>
          <w:b/>
        </w:rPr>
        <w:t xml:space="preserve">[SÛR]</w:t>
      </w:r>
    </w:p>
    <w:bookmarkEnd w:id="67"/>
    <w:bookmarkStart w:id="68" w:name="personnages-2"/>
    <w:p>
      <w:pPr>
        <w:pStyle w:val="Heading2"/>
      </w:pPr>
      <w:r>
        <w:t xml:space="preserve">Personnages</w:t>
      </w:r>
    </w:p>
    <w:p>
      <w:pPr>
        <w:pStyle w:val="FirstParagraph"/>
      </w:pPr>
      <w:r>
        <w:rPr>
          <w:bCs/>
          <w:b/>
        </w:rPr>
        <w:t xml:space="preserve">Joseph Gallieni</w:t>
      </w:r>
      <w:r>
        <w:t xml:space="preserve"> </w:t>
      </w:r>
      <w:r>
        <w:t xml:space="preserve">·</w:t>
      </w:r>
      <w:r>
        <w:t xml:space="preserve"> </w:t>
      </w:r>
      <w:r>
        <w:rPr>
          <w:bCs/>
          <w:b/>
        </w:rPr>
        <w:t xml:space="preserve">Ranavalona III</w:t>
      </w:r>
      <w:r>
        <w:t xml:space="preserve"> </w:t>
      </w:r>
      <w:r>
        <w:t xml:space="preserve">·</w:t>
      </w:r>
      <w:r>
        <w:t xml:space="preserve"> </w:t>
      </w:r>
      <w:r>
        <w:rPr>
          <w:bCs/>
          <w:b/>
        </w:rPr>
        <w:t xml:space="preserve">Rainandriamampandry</w:t>
      </w:r>
      <w:r>
        <w:t xml:space="preserve"> </w:t>
      </w:r>
      <w:r>
        <w:t xml:space="preserve">et le prince</w:t>
      </w:r>
      <w:r>
        <w:t xml:space="preserve"> </w:t>
      </w:r>
      <w:r>
        <w:rPr>
          <w:bCs/>
          <w:b/>
        </w:rPr>
        <w:t xml:space="preserve">Ratsimamanga</w:t>
      </w:r>
      <w:r>
        <w:t xml:space="preserve"> </w:t>
      </w:r>
      <w:r>
        <w:t xml:space="preserve">· le pasteur</w:t>
      </w:r>
      <w:r>
        <w:t xml:space="preserve"> </w:t>
      </w:r>
      <w:r>
        <w:rPr>
          <w:bCs/>
          <w:b/>
        </w:rPr>
        <w:t xml:space="preserve">Ravelojaona</w:t>
      </w:r>
      <w:r>
        <w:t xml:space="preserve"> </w:t>
      </w:r>
      <w:r>
        <w:t xml:space="preserve">·</w:t>
      </w:r>
      <w:r>
        <w:t xml:space="preserve"> </w:t>
      </w:r>
      <w:r>
        <w:rPr>
          <w:bCs/>
          <w:b/>
        </w:rPr>
        <w:t xml:space="preserve">Jean Ralaimongo</w:t>
      </w:r>
      <w:r>
        <w:t xml:space="preserve"> </w:t>
      </w:r>
      <w:r>
        <w:t xml:space="preserve">(1884-1943, ancien tirailleur, figure de transition entre nationalisme culturel et revendication politique) ·</w:t>
      </w:r>
      <w:r>
        <w:t xml:space="preserve"> </w:t>
      </w:r>
      <w:r>
        <w:rPr>
          <w:bCs/>
          <w:b/>
        </w:rPr>
        <w:t xml:space="preserve">Raseta</w:t>
      </w:r>
      <w:r>
        <w:t xml:space="preserve">,</w:t>
      </w:r>
      <w:r>
        <w:t xml:space="preserve"> </w:t>
      </w:r>
      <w:r>
        <w:rPr>
          <w:bCs/>
          <w:b/>
        </w:rPr>
        <w:t xml:space="preserve">Ravoahangy</w:t>
      </w:r>
      <w:r>
        <w:t xml:space="preserve">,</w:t>
      </w:r>
      <w:r>
        <w:t xml:space="preserve"> </w:t>
      </w:r>
      <w:r>
        <w:rPr>
          <w:bCs/>
          <w:b/>
        </w:rPr>
        <w:t xml:space="preserve">Rabemananjara</w:t>
      </w:r>
      <w:r>
        <w:t xml:space="preserve"> </w:t>
      </w:r>
      <w:r>
        <w:t xml:space="preserve">·</w:t>
      </w:r>
      <w:r>
        <w:t xml:space="preserve"> </w:t>
      </w:r>
      <w:r>
        <w:rPr>
          <w:bCs/>
          <w:b/>
        </w:rPr>
        <w:t xml:space="preserve">Philibert Tsiranana</w:t>
      </w:r>
      <w:r>
        <w:t xml:space="preserve"> </w:t>
      </w:r>
      <w:r>
        <w:t xml:space="preserve">·</w:t>
      </w:r>
      <w:r>
        <w:t xml:space="preserve"> </w:t>
      </w:r>
      <w:r>
        <w:rPr>
          <w:bCs/>
          <w:b/>
        </w:rPr>
        <w:t xml:space="preserve">Pierre de Chevigné</w:t>
      </w:r>
      <w:r>
        <w:t xml:space="preserve"> </w:t>
      </w:r>
      <w:r>
        <w:t xml:space="preserve">(haut-commissaire pendant la répression de 1947) · les historiens</w:t>
      </w:r>
      <w:r>
        <w:t xml:space="preserve"> </w:t>
      </w:r>
      <w:r>
        <w:rPr>
          <w:bCs/>
          <w:b/>
        </w:rPr>
        <w:t xml:space="preserve">Jacques Tronchon</w:t>
      </w:r>
      <w:r>
        <w:t xml:space="preserve"> </w:t>
      </w:r>
      <w:r>
        <w:t xml:space="preserve">et</w:t>
      </w:r>
      <w:r>
        <w:t xml:space="preserve"> </w:t>
      </w:r>
      <w:r>
        <w:rPr>
          <w:bCs/>
          <w:b/>
        </w:rPr>
        <w:t xml:space="preserve">Jean Fremigacci</w:t>
      </w:r>
      <w:r>
        <w:t xml:space="preserve">.</w:t>
      </w:r>
    </w:p>
    <w:bookmarkEnd w:id="68"/>
    <w:bookmarkStart w:id="69" w:name="lieux-3"/>
    <w:p>
      <w:pPr>
        <w:pStyle w:val="Heading2"/>
      </w:pPr>
      <w:r>
        <w:t xml:space="preserve">Lieux</w:t>
      </w:r>
    </w:p>
    <w:p>
      <w:pPr>
        <w:pStyle w:val="FirstParagraph"/>
      </w:pPr>
      <w:r>
        <w:rPr>
          <w:bCs/>
          <w:b/>
        </w:rPr>
        <w:t xml:space="preserve">Antananarivo</w:t>
      </w:r>
      <w:r>
        <w:t xml:space="preserve"> </w:t>
      </w:r>
      <w:r>
        <w:t xml:space="preserve">·</w:t>
      </w:r>
      <w:r>
        <w:t xml:space="preserve"> </w:t>
      </w:r>
      <w:r>
        <w:rPr>
          <w:bCs/>
          <w:b/>
        </w:rPr>
        <w:t xml:space="preserve">Diego-Suarez</w:t>
      </w:r>
      <w:r>
        <w:t xml:space="preserve"> </w:t>
      </w:r>
      <w:r>
        <w:t xml:space="preserve">(base navale, cible d’Ironclad) ·</w:t>
      </w:r>
      <w:r>
        <w:t xml:space="preserve"> </w:t>
      </w:r>
      <w:r>
        <w:rPr>
          <w:bCs/>
          <w:b/>
        </w:rPr>
        <w:t xml:space="preserve">Toamasina</w:t>
      </w:r>
      <w:r>
        <w:t xml:space="preserve"> </w:t>
      </w:r>
      <w:r>
        <w:t xml:space="preserve">(port d’exportation) ·</w:t>
      </w:r>
      <w:r>
        <w:t xml:space="preserve"> </w:t>
      </w:r>
      <w:r>
        <w:rPr>
          <w:bCs/>
          <w:b/>
        </w:rPr>
        <w:t xml:space="preserve">Moramanga</w:t>
      </w:r>
      <w:r>
        <w:t xml:space="preserve"> </w:t>
      </w:r>
      <w:r>
        <w:t xml:space="preserve">(massacre des wagons, 1947) ·</w:t>
      </w:r>
      <w:r>
        <w:t xml:space="preserve"> </w:t>
      </w:r>
      <w:r>
        <w:rPr>
          <w:bCs/>
          <w:b/>
        </w:rPr>
        <w:t xml:space="preserve">Fianarantsoa</w:t>
      </w:r>
      <w:r>
        <w:t xml:space="preserve"> </w:t>
      </w:r>
      <w:r>
        <w:t xml:space="preserve">et la côte Est (ligne TCE, zones insurgées) ·</w:t>
      </w:r>
      <w:r>
        <w:t xml:space="preserve"> </w:t>
      </w:r>
      <w:r>
        <w:rPr>
          <w:bCs/>
          <w:b/>
        </w:rPr>
        <w:t xml:space="preserve">Nosy Lava</w:t>
      </w:r>
      <w:r>
        <w:t xml:space="preserve"> </w:t>
      </w:r>
      <w:r>
        <w:t xml:space="preserve">(bagne des militants du VVS) ·</w:t>
      </w:r>
      <w:r>
        <w:t xml:space="preserve"> </w:t>
      </w:r>
      <w:r>
        <w:rPr>
          <w:bCs/>
          <w:b/>
        </w:rPr>
        <w:t xml:space="preserve">Alger</w:t>
      </w:r>
      <w:r>
        <w:t xml:space="preserve"> </w:t>
      </w:r>
      <w:r>
        <w:t xml:space="preserve">(exil et mort de la reine, 1917).</w:t>
      </w:r>
    </w:p>
    <w:bookmarkEnd w:id="69"/>
    <w:bookmarkStart w:id="70" w:name="ce-qui-est-établi-3"/>
    <w:p>
      <w:pPr>
        <w:pStyle w:val="Heading2"/>
      </w:pPr>
      <w:r>
        <w:t xml:space="preserve">Ce qui est établi</w:t>
      </w:r>
    </w:p>
    <w:p>
      <w:pPr>
        <w:pStyle w:val="FirstParagraph"/>
      </w:pPr>
      <w:r>
        <w:t xml:space="preserve">La conquête s’accompagne d’une résistance rurale durable, réprimée avec dureté. La royauté est abolie et la reine exilée</w:t>
      </w:r>
      <w:r>
        <w:t xml:space="preserve"> </w:t>
      </w:r>
      <w:r>
        <w:rPr>
          <w:bCs/>
          <w:b/>
        </w:rPr>
        <w:t xml:space="preserve">sans procès</w:t>
      </w:r>
      <w:r>
        <w:t xml:space="preserve">.</w:t>
      </w:r>
    </w:p>
    <w:p>
      <w:pPr>
        <w:pStyle w:val="BodyText"/>
      </w:pPr>
      <w:r>
        <w:t xml:space="preserve">Gallieni construit une administration fondée sur la division ethno-régionale.</w:t>
      </w:r>
      <w:r>
        <w:t xml:space="preserve"> </w:t>
      </w:r>
      <w:r>
        <w:rPr>
          <w:bCs/>
          <w:b/>
        </w:rPr>
        <w:t xml:space="preserve">Cette « politique des races » a contribué à cristalliser des catégories ethniques</w:t>
      </w:r>
      <w:r>
        <w:t xml:space="preserve"> </w:t>
      </w:r>
      <w:r>
        <w:t xml:space="preserve">(Merina, Betsileo, Sakalava…) qui servent ensuite de grille administrative et politique — jusqu’à aujourd’hui.</w:t>
      </w:r>
    </w:p>
    <w:p>
      <w:pPr>
        <w:pStyle w:val="BodyText"/>
      </w:pPr>
      <w:r>
        <w:t xml:space="preserve">Le travail obligatoire est un pilier de l’économie coloniale : prestations, puis SMOTIG à partir de 1926. Il n’est aboli qu’en</w:t>
      </w:r>
      <w:r>
        <w:t xml:space="preserve"> </w:t>
      </w:r>
      <w:r>
        <w:rPr>
          <w:bCs/>
          <w:b/>
        </w:rPr>
        <w:t xml:space="preserve">1945</w:t>
      </w:r>
      <w:r>
        <w:t xml:space="preserve">.</w:t>
      </w:r>
    </w:p>
    <w:p>
      <w:pPr>
        <w:pStyle w:val="BodyText"/>
      </w:pPr>
      <w:r>
        <w:t xml:space="preserve">L’économie repose sur les concessions foncières aux colons, l’exportation de vanille, café, girofle et riz, et un réseau ferroviaire limité centré sur Toamasina.</w:t>
      </w:r>
    </w:p>
    <w:p>
      <w:pPr>
        <w:pStyle w:val="BodyText"/>
      </w:pPr>
      <w:r>
        <w:t xml:space="preserve">Le nationalisme malgache naît</w:t>
      </w:r>
      <w:r>
        <w:t xml:space="preserve"> </w:t>
      </w:r>
      <w:r>
        <w:rPr>
          <w:bCs/>
          <w:b/>
        </w:rPr>
        <w:t xml:space="preserve">dès 1913</w:t>
      </w:r>
      <w:r>
        <w:t xml:space="preserve"> </w:t>
      </w:r>
      <w:r>
        <w:t xml:space="preserve">avec le VVS, puis se politise dans l’entre-deux-guerres autour de la revendication de citoyenneté portée par Ralaimongo.</w:t>
      </w:r>
    </w:p>
    <w:p>
      <w:pPr>
        <w:pStyle w:val="BodyText"/>
      </w:pPr>
      <w:r>
        <w:t xml:space="preserve">Madagascar bascule sous administration vichyste après 1940 — ce qui motive l’invasion britannique de 1942, suivie du passage à la France libre début 1943.</w:t>
      </w:r>
    </w:p>
    <w:bookmarkEnd w:id="70"/>
    <w:bookmarkStart w:id="77" w:name="ce-qui-est-controversé-le-bilan-de-1947"/>
    <w:p>
      <w:pPr>
        <w:pStyle w:val="Heading2"/>
      </w:pPr>
      <w:r>
        <w:t xml:space="preserve">Ce qui est controversé : le bilan de 1947</w:t>
      </w:r>
    </w:p>
    <w:p>
      <w:pPr>
        <w:pStyle w:val="FirstParagraph"/>
      </w:pPr>
      <w:r>
        <w:rPr>
          <w:bCs/>
          <w:b/>
        </w:rPr>
        <w:t xml:space="preserve">C’est le point le plus sensible de tout le podcast.</w:t>
      </w:r>
      <w:r>
        <w:t xml:space="preserve"> </w:t>
      </w:r>
      <w:r>
        <w:t xml:space="preserve">Trois ordres de chiffres circulent, et ils ne viennent pas du même endroit.</w:t>
      </w:r>
    </w:p>
    <w:bookmarkStart w:id="71" w:name="à-100-000-morts"/>
    <w:p>
      <w:pPr>
        <w:pStyle w:val="Heading3"/>
      </w:pPr>
      <w:r>
        <w:t xml:space="preserve">89 000 à 100 000 morts</w:t>
      </w:r>
    </w:p>
    <w:p>
      <w:pPr>
        <w:pStyle w:val="FirstParagraph"/>
      </w:pPr>
      <w:r>
        <w:t xml:space="preserve">Chiffre popularisé à partir d’une estimation avancée fin 1948-1949 par une mission d’information de l’Assemblée de l’Union française, relayée sous l’autorité du haut-commissaire</w:t>
      </w:r>
      <w:r>
        <w:t xml:space="preserve"> </w:t>
      </w:r>
      <w:r>
        <w:rPr>
          <w:bCs/>
          <w:b/>
        </w:rPr>
        <w:t xml:space="preserve">Pierre de Chevigné</w:t>
      </w:r>
      <w:r>
        <w:t xml:space="preserve">. Fremigacci qualifie cette estimation de chiffre qui</w:t>
      </w:r>
      <w:r>
        <w:t xml:space="preserve"> </w:t>
      </w:r>
      <w:r>
        <w:rPr>
          <w:bCs/>
          <w:b/>
        </w:rPr>
        <w:t xml:space="preserve">« ne repose sur rien »</w:t>
      </w:r>
      <w:r>
        <w:t xml:space="preserve">, et suggère qu’elle a pu être gonflée pour valoriser devant Paris l’ampleur de la répression menée. Le PCF l’a également repris sans vérification, pour dénoncer la violence coloniale.</w:t>
      </w:r>
      <w:r>
        <w:t xml:space="preserve"> </w:t>
      </w:r>
      <w:r>
        <w:rPr>
          <w:bCs/>
          <w:b/>
        </w:rPr>
        <w:t xml:space="preserve">Deux camps opposés avaient intérêt au même chiffre.</w:t>
      </w:r>
    </w:p>
    <w:bookmarkEnd w:id="71"/>
    <w:bookmarkStart w:id="72" w:name="à-11-342-morts"/>
    <w:p>
      <w:pPr>
        <w:pStyle w:val="Heading3"/>
      </w:pPr>
      <w:r>
        <w:t xml:space="preserve">11 000 à 11 342 morts</w:t>
      </w:r>
    </w:p>
    <w:p>
      <w:pPr>
        <w:pStyle w:val="FirstParagraph"/>
      </w:pPr>
      <w:r>
        <w:t xml:space="preserve">Chiffre issu de décomptes administratifs coloniaux ultérieurs (vers 1950), puis d’un rapport de 1952 distinguant environ 5 126 rebelles tués au combat et 5 390 civils morts de faim ou de froid dans les zones de fuite.</w:t>
      </w:r>
    </w:p>
    <w:bookmarkEnd w:id="72"/>
    <w:bookmarkStart w:id="73" w:name="à-40-000-morts-la-fourchette-académique"/>
    <w:p>
      <w:pPr>
        <w:pStyle w:val="Heading3"/>
      </w:pPr>
      <w:r>
        <w:t xml:space="preserve">30 000 à 40 000 morts — la fourchette académique</w:t>
      </w:r>
    </w:p>
    <w:p>
      <w:pPr>
        <w:pStyle w:val="FirstParagraph"/>
      </w:pPr>
      <w:r>
        <w:t xml:space="preserve">Position de</w:t>
      </w:r>
      <w:r>
        <w:t xml:space="preserve"> </w:t>
      </w:r>
      <w:r>
        <w:rPr>
          <w:bCs/>
          <w:b/>
        </w:rPr>
        <w:t xml:space="preserve">Jacques Tronchon</w:t>
      </w:r>
      <w:r>
        <w:t xml:space="preserve"> </w:t>
      </w:r>
      <w:r>
        <w:t xml:space="preserve">(</w:t>
      </w:r>
      <w:r>
        <w:rPr>
          <w:iCs/>
          <w:i/>
        </w:rPr>
        <w:t xml:space="preserve">L’Insurrection malgache de 1947</w:t>
      </w:r>
      <w:r>
        <w:t xml:space="preserve">, 1974) et surtout de</w:t>
      </w:r>
      <w:r>
        <w:t xml:space="preserve"> </w:t>
      </w:r>
      <w:r>
        <w:rPr>
          <w:bCs/>
          <w:b/>
        </w:rPr>
        <w:t xml:space="preserve">Jean Fremigacci</w:t>
      </w:r>
      <w:r>
        <w:t xml:space="preserve">, qui décompose ainsi :</w:t>
      </w:r>
    </w:p>
    <w:p>
      <w:pPr>
        <w:numPr>
          <w:ilvl w:val="0"/>
          <w:numId w:val="1018"/>
        </w:numPr>
        <w:pStyle w:val="Compact"/>
      </w:pPr>
      <w:r>
        <w:t xml:space="preserve">environ</w:t>
      </w:r>
      <w:r>
        <w:t xml:space="preserve"> </w:t>
      </w:r>
      <w:r>
        <w:rPr>
          <w:bCs/>
          <w:b/>
        </w:rPr>
        <w:t xml:space="preserve">10 000 morts violentes</w:t>
      </w:r>
      <w:r>
        <w:t xml:space="preserve"> </w:t>
      </w:r>
      <w:r>
        <w:t xml:space="preserve">: 2 000 tués par les insurgés, 5 000 à 6 000 insurgés tués par les forces coloniales, environ 140 Européens ;</w:t>
      </w:r>
    </w:p>
    <w:p>
      <w:pPr>
        <w:numPr>
          <w:ilvl w:val="0"/>
          <w:numId w:val="1018"/>
        </w:numPr>
        <w:pStyle w:val="Compact"/>
      </w:pPr>
      <w:r>
        <w:rPr>
          <w:bCs/>
          <w:b/>
        </w:rPr>
        <w:t xml:space="preserve">20 000 à 30 000 morts « de misère »</w:t>
      </w:r>
      <w:r>
        <w:t xml:space="preserve"> </w:t>
      </w:r>
      <w:r>
        <w:t xml:space="preserve">: malnutrition et maladie parmi les populations réfugiées en forêt.</w:t>
      </w:r>
    </w:p>
    <w:bookmarkEnd w:id="73"/>
    <w:bookmarkStart w:id="74" w:name="pourquoi-lécart"/>
    <w:p>
      <w:pPr>
        <w:pStyle w:val="Heading3"/>
      </w:pPr>
      <w:r>
        <w:t xml:space="preserve">Pourquoi l’écart</w:t>
      </w:r>
    </w:p>
    <w:p>
      <w:pPr>
        <w:pStyle w:val="FirstParagraph"/>
      </w:pPr>
      <w:r>
        <w:t xml:space="preserve">Trois raisons, à expliquer clairement à l’antenne : la</w:t>
      </w:r>
      <w:r>
        <w:t xml:space="preserve"> </w:t>
      </w:r>
      <w:r>
        <w:rPr>
          <w:bCs/>
          <w:b/>
        </w:rPr>
        <w:t xml:space="preserve">nature des sources</w:t>
      </w:r>
      <w:r>
        <w:t xml:space="preserve"> </w:t>
      </w:r>
      <w:r>
        <w:t xml:space="preserve">(estimation politique vs dénombrement administratif vs reconstruction historienne à partir des archives locales) ; la</w:t>
      </w:r>
      <w:r>
        <w:t xml:space="preserve"> </w:t>
      </w:r>
      <w:r>
        <w:rPr>
          <w:bCs/>
          <w:b/>
        </w:rPr>
        <w:t xml:space="preserve">confusion entre morts violentes et surmortalité indirecte</w:t>
      </w:r>
      <w:r>
        <w:t xml:space="preserve"> </w:t>
      </w:r>
      <w:r>
        <w:t xml:space="preserve">; et des</w:t>
      </w:r>
      <w:r>
        <w:t xml:space="preserve"> </w:t>
      </w:r>
      <w:r>
        <w:rPr>
          <w:bCs/>
          <w:b/>
        </w:rPr>
        <w:t xml:space="preserve">enjeux mémoriels opposés</w:t>
      </w:r>
      <w:r>
        <w:t xml:space="preserve">. Aucun recensement exhaustif n’a jamais été mené sur le terrain en 1947-48.</w:t>
      </w:r>
    </w:p>
    <w:bookmarkEnd w:id="74"/>
    <w:bookmarkStart w:id="75" w:name="la-nature-de-la-répression"/>
    <w:p>
      <w:pPr>
        <w:pStyle w:val="Heading3"/>
      </w:pPr>
      <w:r>
        <w:t xml:space="preserve">La nature de la répression</w:t>
      </w:r>
    </w:p>
    <w:p>
      <w:pPr>
        <w:pStyle w:val="FirstParagraph"/>
      </w:pPr>
      <w:r>
        <w:t xml:space="preserve">Fremigacci distingue trois phases : une répression</w:t>
      </w:r>
      <w:r>
        <w:t xml:space="preserve"> </w:t>
      </w:r>
      <w:r>
        <w:rPr>
          <w:bCs/>
          <w:b/>
        </w:rPr>
        <w:t xml:space="preserve">militaire</w:t>
      </w:r>
      <w:r>
        <w:t xml:space="preserve"> </w:t>
      </w:r>
      <w:r>
        <w:t xml:space="preserve">initiale très violente (30 mars – 10 mai 1947), incluant des crimes de guerre et l’épisode des</w:t>
      </w:r>
      <w:r>
        <w:t xml:space="preserve"> </w:t>
      </w:r>
      <w:r>
        <w:rPr>
          <w:bCs/>
          <w:b/>
        </w:rPr>
        <w:t xml:space="preserve">wagons de Moramanga</w:t>
      </w:r>
      <w:r>
        <w:t xml:space="preserve">, où des soldats français ont mitraillé des prisonniers enfermés (environ 166 morts) ; une répression</w:t>
      </w:r>
      <w:r>
        <w:t xml:space="preserve"> </w:t>
      </w:r>
      <w:r>
        <w:rPr>
          <w:bCs/>
          <w:b/>
        </w:rPr>
        <w:t xml:space="preserve">policière</w:t>
      </w:r>
      <w:r>
        <w:t xml:space="preserve"> </w:t>
      </w:r>
      <w:r>
        <w:t xml:space="preserve">marquée par la torture systématique pour obtenir des aveux contre les dirigeants du MDRM ; une</w:t>
      </w:r>
      <w:r>
        <w:t xml:space="preserve"> </w:t>
      </w:r>
      <w:r>
        <w:rPr>
          <w:bCs/>
          <w:b/>
        </w:rPr>
        <w:t xml:space="preserve">justice militaire</w:t>
      </w:r>
      <w:r>
        <w:t xml:space="preserve"> </w:t>
      </w:r>
      <w:r>
        <w:t xml:space="preserve">distincte (entre 44 et 160 condamnations à mort selon les sources, bien moins d’exécutions effectives).</w:t>
      </w:r>
    </w:p>
    <w:bookmarkEnd w:id="75"/>
    <w:bookmarkStart w:id="76" w:name="qui-a-déclenché-linsurrection"/>
    <w:p>
      <w:pPr>
        <w:pStyle w:val="Heading3"/>
      </w:pPr>
      <w:r>
        <w:t xml:space="preserve">Qui a déclenché l’insurrection ?</w:t>
      </w:r>
    </w:p>
    <w:p>
      <w:pPr>
        <w:pStyle w:val="FirstParagraph"/>
      </w:pPr>
      <w:r>
        <w:t xml:space="preserve">Mouvement spontané et multi-centré, ou organisé par une structure clandestine (PANAMA, JINY) liée au MDRM ? Le MDRM a toujours nié toute implication ; ses cadres ont pourtant été jugés et condamnés comme instigateurs.</w:t>
      </w:r>
      <w:r>
        <w:t xml:space="preserve"> </w:t>
      </w:r>
      <w:r>
        <w:rPr>
          <w:bCs/>
          <w:b/>
        </w:rPr>
        <w:t xml:space="preserve">La thèse de l’organisation par le MDRM est celle de l’accusation coloniale de l’époque — elle est contestée.</w:t>
      </w:r>
    </w:p>
    <w:bookmarkEnd w:id="76"/>
    <w:bookmarkEnd w:id="77"/>
    <w:bookmarkStart w:id="78" w:name="mémoire-et-enjeux-actuels"/>
    <w:p>
      <w:pPr>
        <w:pStyle w:val="Heading2"/>
      </w:pPr>
      <w:r>
        <w:t xml:space="preserve">Mémoire et enjeux actuels</w:t>
      </w:r>
    </w:p>
    <w:p>
      <w:pPr>
        <w:pStyle w:val="FirstParagraph"/>
      </w:pPr>
      <w:r>
        <w:t xml:space="preserve">Le</w:t>
      </w:r>
      <w:r>
        <w:t xml:space="preserve"> </w:t>
      </w:r>
      <w:r>
        <w:rPr>
          <w:bCs/>
          <w:b/>
        </w:rPr>
        <w:t xml:space="preserve">29 mars est jour de deuil national</w:t>
      </w:r>
      <w:r>
        <w:t xml:space="preserve"> </w:t>
      </w:r>
      <w:r>
        <w:t xml:space="preserve">à Madagascar depuis 1967.</w:t>
      </w:r>
    </w:p>
    <w:p>
      <w:pPr>
        <w:pStyle w:val="BodyText"/>
      </w:pPr>
      <w:r>
        <w:rPr>
          <w:bCs/>
          <w:b/>
        </w:rPr>
        <w:t xml:space="preserve">Jacques Chirac</w:t>
      </w:r>
      <w:r>
        <w:t xml:space="preserve">, discours d’Antananarivo, 21 juillet 2005 : il évoque une répression « inacceptable » et déclare que</w:t>
      </w:r>
      <w:r>
        <w:t xml:space="preserve"> </w:t>
      </w:r>
      <w:r>
        <w:rPr>
          <w:iCs/>
          <w:i/>
        </w:rPr>
        <w:t xml:space="preserve">« rien ni personne ne peut effacer le souvenir de toutes celles et de tous ceux qui perdirent injustement la vie »</w:t>
      </w:r>
      <w:r>
        <w:t xml:space="preserve"> </w:t>
      </w:r>
      <w:r>
        <w:t xml:space="preserve">— sans reconnaissance d’un chiffre ni excuses formelles au nom de l’État.</w:t>
      </w:r>
    </w:p>
    <w:p>
      <w:pPr>
        <w:pStyle w:val="BodyText"/>
      </w:pPr>
      <w:r>
        <w:rPr>
          <w:bCs/>
          <w:b/>
        </w:rPr>
        <w:t xml:space="preserve">Emmanuel Macron</w:t>
      </w:r>
      <w:r>
        <w:t xml:space="preserve">, avril 2025, première visite d’un président français depuis vingt ans : il évoque les « atrocités » de 1947 et annonce la création d’une</w:t>
      </w:r>
      <w:r>
        <w:t xml:space="preserve"> </w:t>
      </w:r>
      <w:r>
        <w:rPr>
          <w:bCs/>
          <w:b/>
        </w:rPr>
        <w:t xml:space="preserve">commission mixte d’historiens franco-malgaches</w:t>
      </w:r>
      <w:r>
        <w:t xml:space="preserve"> </w:t>
      </w:r>
      <w:r>
        <w:t xml:space="preserve">chargée d’établir les faits, y compris le bilan humain. Démarche saluée par certains historiens, jugée insuffisante par des associations mémorielles malgaches qui réclament une reconnaissance officielle et, pour certaines, des réparations.</w:t>
      </w:r>
    </w:p>
    <w:bookmarkEnd w:id="78"/>
    <w:bookmarkStart w:id="79" w:name="erreurs-à-éviter-à-lantenne-3"/>
    <w:p>
      <w:pPr>
        <w:pStyle w:val="Heading2"/>
      </w:pPr>
      <w:r>
        <w:t xml:space="preserve">Erreurs à éviter à l’antenne</w:t>
      </w:r>
    </w:p>
    <w:p>
      <w:pPr>
        <w:numPr>
          <w:ilvl w:val="0"/>
          <w:numId w:val="1019"/>
        </w:numPr>
        <w:pStyle w:val="Compact"/>
      </w:pPr>
      <w:r>
        <w:rPr>
          <w:bCs/>
          <w:b/>
        </w:rPr>
        <w:t xml:space="preserve">Ne pas présenter 89 000 morts comme une vérité établie.</w:t>
      </w:r>
      <w:r>
        <w:t xml:space="preserve"> </w:t>
      </w:r>
      <w:r>
        <w:t xml:space="preserve">C’est une estimation d’origine politique de 1948-49, largement révisée à la baisse par l’historiographie.</w:t>
      </w:r>
    </w:p>
    <w:p>
      <w:pPr>
        <w:numPr>
          <w:ilvl w:val="0"/>
          <w:numId w:val="1019"/>
        </w:numPr>
        <w:pStyle w:val="Compact"/>
      </w:pPr>
      <w:r>
        <w:rPr>
          <w:bCs/>
          <w:b/>
        </w:rPr>
        <w:t xml:space="preserve">Ne pas confondre le VVS et le MDRM.</w:t>
      </w:r>
      <w:r>
        <w:t xml:space="preserve"> </w:t>
      </w:r>
      <w:r>
        <w:t xml:space="preserve">Deux générations distinctes du nationalisme, séparées de trente ans.</w:t>
      </w:r>
    </w:p>
    <w:p>
      <w:pPr>
        <w:numPr>
          <w:ilvl w:val="0"/>
          <w:numId w:val="1019"/>
        </w:numPr>
        <w:pStyle w:val="Compact"/>
      </w:pPr>
      <w:r>
        <w:rPr>
          <w:bCs/>
          <w:b/>
        </w:rPr>
        <w:t xml:space="preserve">Ne pas dire que le MDRM a « organisé » l’insurrection</w:t>
      </w:r>
      <w:r>
        <w:t xml:space="preserve"> </w:t>
      </w:r>
      <w:r>
        <w:t xml:space="preserve">comme un fait avéré.</w:t>
      </w:r>
    </w:p>
    <w:p>
      <w:pPr>
        <w:numPr>
          <w:ilvl w:val="0"/>
          <w:numId w:val="1019"/>
        </w:numPr>
        <w:pStyle w:val="Compact"/>
      </w:pPr>
      <w:r>
        <w:rPr>
          <w:bCs/>
          <w:b/>
        </w:rPr>
        <w:t xml:space="preserve">Ne pas confondre l’abolition de la monarchie (1897, par Gallieni) et l’annexion (votée en août 1896).</w:t>
      </w:r>
      <w:r>
        <w:t xml:space="preserve"> </w:t>
      </w:r>
      <w:r>
        <w:t xml:space="preserve">Deux actes distincts, à un an d’écart, dans cet ordre.</w:t>
      </w:r>
    </w:p>
    <w:p>
      <w:pPr>
        <w:numPr>
          <w:ilvl w:val="0"/>
          <w:numId w:val="1019"/>
        </w:numPr>
        <w:pStyle w:val="Compact"/>
      </w:pPr>
      <w:r>
        <w:rPr>
          <w:bCs/>
          <w:b/>
        </w:rPr>
        <w:t xml:space="preserve">Ne pas présenter la « politique des races » comme une ethnographie neutre.</w:t>
      </w:r>
      <w:r>
        <w:t xml:space="preserve"> </w:t>
      </w:r>
      <w:r>
        <w:t xml:space="preserve">C’est un outil de gouvernement.</w:t>
      </w:r>
    </w:p>
    <w:p>
      <w:pPr>
        <w:numPr>
          <w:ilvl w:val="0"/>
          <w:numId w:val="1019"/>
        </w:numPr>
        <w:pStyle w:val="Compact"/>
      </w:pPr>
      <w:r>
        <w:rPr>
          <w:bCs/>
          <w:b/>
        </w:rPr>
        <w:t xml:space="preserve">Ne pas dire que Madagascar a rejoint la France libre en 1940.</w:t>
      </w:r>
      <w:r>
        <w:t xml:space="preserve"> </w:t>
      </w:r>
      <w:r>
        <w:t xml:space="preserve">L’île reste vichyste jusqu’à l’invasion britannique de 1942.</w:t>
      </w:r>
    </w:p>
    <w:bookmarkEnd w:id="79"/>
    <w:bookmarkStart w:id="80" w:name="accroches-3"/>
    <w:p>
      <w:pPr>
        <w:pStyle w:val="Heading2"/>
      </w:pPr>
      <w:r>
        <w:t xml:space="preserve">Accroches</w:t>
      </w:r>
    </w:p>
    <w:p>
      <w:pPr>
        <w:pStyle w:val="BlockText"/>
      </w:pPr>
      <w:r>
        <w:t xml:space="preserve">« Une reine déposée sans procès, exilée à trois mille kilomètres de son royaume : en une nuit de 1897, Gallieni efface un siècle de monarchie malgache. »</w:t>
      </w:r>
    </w:p>
    <w:p>
      <w:pPr>
        <w:pStyle w:val="BlockText"/>
      </w:pPr>
      <w:r>
        <w:t xml:space="preserve">« Quatre-vingt-neuf mille morts, disait-on. Trente ans de recherches ont réduit ce chiffre de moitié — sans jamais apaiser la douleur de Madagascar. »</w:t>
      </w:r>
    </w:p>
    <w:p>
      <w:pPr>
        <w:pStyle w:val="BlockText"/>
      </w:pPr>
      <w:r>
        <w:t xml:space="preserve">« En 1913, sept étudiants en médecine juraient sur le fer et la pierre de libérer leur île : le premier mouvement nationaliste malgache tenait dans une salle de classe. »</w:t>
      </w:r>
    </w:p>
    <w:bookmarkEnd w:id="80"/>
    <w:bookmarkEnd w:id="81"/>
    <w:bookmarkStart w:id="90" w:name="période-5-les-républiques-1960-2009"/>
    <w:p>
      <w:pPr>
        <w:pStyle w:val="Heading1"/>
      </w:pPr>
      <w:r>
        <w:t xml:space="preserve">PÉRIODE 5 — Les Républiques (1960-2009)</w:t>
      </w:r>
    </w:p>
    <w:p>
      <w:pPr>
        <w:pStyle w:val="FirstParagraph"/>
      </w:pPr>
      <w:r>
        <w:rPr>
          <w:iCs/>
          <w:i/>
        </w:rPr>
        <w:t xml:space="preserve">Épisodes 21 à 25</w:t>
      </w:r>
    </w:p>
    <w:bookmarkStart w:id="82" w:name="chronologie-4"/>
    <w:p>
      <w:pPr>
        <w:pStyle w:val="Heading2"/>
      </w:pPr>
      <w:r>
        <w:t xml:space="preserve">Chronologie</w:t>
      </w:r>
    </w:p>
    <w:p>
      <w:pPr>
        <w:numPr>
          <w:ilvl w:val="0"/>
          <w:numId w:val="1020"/>
        </w:numPr>
        <w:pStyle w:val="Compact"/>
      </w:pPr>
      <w:r>
        <w:rPr>
          <w:bCs/>
          <w:b/>
        </w:rPr>
        <w:t xml:space="preserve">26 juin 1960</w:t>
      </w:r>
      <w:r>
        <w:t xml:space="preserve"> </w:t>
      </w:r>
      <w:r>
        <w:t xml:space="preserve">— Indépendance.</w:t>
      </w:r>
      <w:r>
        <w:t xml:space="preserve"> </w:t>
      </w:r>
      <w:r>
        <w:rPr>
          <w:bCs/>
          <w:b/>
        </w:rPr>
        <w:t xml:space="preserve">Philibert Tsiranana</w:t>
      </w:r>
      <w:r>
        <w:t xml:space="preserve">, chef du PSD, devient président. Signature de onze accords de coopération avec la France (défense, monnaie, culture, économie).</w:t>
      </w:r>
      <w:r>
        <w:t xml:space="preserve"> </w:t>
      </w:r>
      <w:r>
        <w:rPr>
          <w:bCs/>
          <w:b/>
        </w:rPr>
        <w:t xml:space="preserve">[SÛR]</w:t>
      </w:r>
    </w:p>
    <w:p>
      <w:pPr>
        <w:numPr>
          <w:ilvl w:val="0"/>
          <w:numId w:val="1020"/>
        </w:numPr>
        <w:pStyle w:val="Compact"/>
      </w:pPr>
      <w:r>
        <w:rPr>
          <w:bCs/>
          <w:b/>
        </w:rPr>
        <w:t xml:space="preserve">1960-1972</w:t>
      </w:r>
      <w:r>
        <w:t xml:space="preserve"> </w:t>
      </w:r>
      <w:r>
        <w:t xml:space="preserve">— Première République : régime pro-français, économie de rente agricole (café, vanille, girofle), présence française maintenue, opposition de gauche marginalisée.</w:t>
      </w:r>
      <w:r>
        <w:t xml:space="preserve"> </w:t>
      </w:r>
      <w:r>
        <w:rPr>
          <w:bCs/>
          <w:b/>
        </w:rPr>
        <w:t xml:space="preserve">[SÛR]</w:t>
      </w:r>
    </w:p>
    <w:p>
      <w:pPr>
        <w:numPr>
          <w:ilvl w:val="0"/>
          <w:numId w:val="1020"/>
        </w:numPr>
        <w:pStyle w:val="Compact"/>
      </w:pPr>
      <w:r>
        <w:rPr>
          <w:bCs/>
          <w:b/>
        </w:rPr>
        <w:t xml:space="preserve">Avril 1971</w:t>
      </w:r>
      <w:r>
        <w:t xml:space="preserve"> </w:t>
      </w:r>
      <w:r>
        <w:t xml:space="preserve">— Soulèvement paysan du</w:t>
      </w:r>
      <w:r>
        <w:t xml:space="preserve"> </w:t>
      </w:r>
      <w:r>
        <w:rPr>
          <w:bCs/>
          <w:b/>
        </w:rPr>
        <w:t xml:space="preserve">MONIMA</w:t>
      </w:r>
      <w:r>
        <w:t xml:space="preserve"> </w:t>
      </w:r>
      <w:r>
        <w:t xml:space="preserve">mené par</w:t>
      </w:r>
      <w:r>
        <w:t xml:space="preserve"> </w:t>
      </w:r>
      <w:r>
        <w:rPr>
          <w:bCs/>
          <w:b/>
        </w:rPr>
        <w:t xml:space="preserve">Monja Jaona</w:t>
      </w:r>
      <w:r>
        <w:t xml:space="preserve"> </w:t>
      </w:r>
      <w:r>
        <w:t xml:space="preserve">dans la région de Tuléar, contre la fiscalité rurale et la marginalisation du Sud.</w:t>
      </w:r>
      <w:r>
        <w:t xml:space="preserve"> </w:t>
      </w:r>
      <w:r>
        <w:rPr>
          <w:bCs/>
          <w:b/>
        </w:rPr>
        <w:t xml:space="preserve">[SÛR]</w:t>
      </w:r>
    </w:p>
    <w:p>
      <w:pPr>
        <w:numPr>
          <w:ilvl w:val="0"/>
          <w:numId w:val="1020"/>
        </w:numPr>
        <w:pStyle w:val="Compact"/>
      </w:pPr>
      <w:r>
        <w:rPr>
          <w:bCs/>
          <w:b/>
        </w:rPr>
        <w:t xml:space="preserve">1971</w:t>
      </w:r>
      <w:r>
        <w:t xml:space="preserve"> </w:t>
      </w:r>
      <w:r>
        <w:t xml:space="preserve">— Répression brutale : arrestations massives, exécutions sommaires rapportées, Monja Jaona emprisonné puis déporté. Bilan humain jamais établi.</w:t>
      </w:r>
      <w:r>
        <w:t xml:space="preserve"> </w:t>
      </w:r>
      <w:r>
        <w:rPr>
          <w:bCs/>
          <w:b/>
        </w:rPr>
        <w:t xml:space="preserve">[PROBABLE]</w:t>
      </w:r>
    </w:p>
    <w:p>
      <w:pPr>
        <w:numPr>
          <w:ilvl w:val="0"/>
          <w:numId w:val="1020"/>
        </w:numPr>
        <w:pStyle w:val="Compact"/>
      </w:pPr>
      <w:r>
        <w:rPr>
          <w:bCs/>
          <w:b/>
        </w:rPr>
        <w:t xml:space="preserve">Janvier-avril 1972</w:t>
      </w:r>
      <w:r>
        <w:t xml:space="preserve"> </w:t>
      </w:r>
      <w:r>
        <w:t xml:space="preserve">— Grève des étudiants en médecine puis des lycéens à Tananarive, réclamant la fin de la tutelle culturelle française et la</w:t>
      </w:r>
      <w:r>
        <w:t xml:space="preserve"> </w:t>
      </w:r>
      <w:r>
        <w:rPr>
          <w:bCs/>
          <w:b/>
        </w:rPr>
        <w:t xml:space="preserve">malgachisation</w:t>
      </w:r>
      <w:r>
        <w:t xml:space="preserve"> </w:t>
      </w:r>
      <w:r>
        <w:t xml:space="preserve">de l’enseignement.</w:t>
      </w:r>
      <w:r>
        <w:t xml:space="preserve"> </w:t>
      </w:r>
      <w:r>
        <w:rPr>
          <w:bCs/>
          <w:b/>
        </w:rPr>
        <w:t xml:space="preserve">[SÛR]</w:t>
      </w:r>
    </w:p>
    <w:p>
      <w:pPr>
        <w:numPr>
          <w:ilvl w:val="0"/>
          <w:numId w:val="1020"/>
        </w:numPr>
        <w:pStyle w:val="Compact"/>
      </w:pPr>
      <w:r>
        <w:rPr>
          <w:bCs/>
          <w:b/>
        </w:rPr>
        <w:t xml:space="preserve">13 mai 1972</w:t>
      </w:r>
      <w:r>
        <w:t xml:space="preserve"> </w:t>
      </w:r>
      <w:r>
        <w:t xml:space="preserve">— Grève générale et manifestation massive (environ 100 000 personnes) après l’arrestation de près de 400 meneurs étudiants. Répression armée :</w:t>
      </w:r>
      <w:r>
        <w:t xml:space="preserve"> </w:t>
      </w:r>
      <w:r>
        <w:rPr>
          <w:bCs/>
          <w:b/>
        </w:rPr>
        <w:t xml:space="preserve">52 morts, dont 7 membres des forces de l’ordre</w:t>
      </w:r>
      <w:r>
        <w:t xml:space="preserve">.</w:t>
      </w:r>
      <w:r>
        <w:t xml:space="preserve"> </w:t>
      </w:r>
      <w:r>
        <w:rPr>
          <w:bCs/>
          <w:b/>
        </w:rPr>
        <w:t xml:space="preserve">[PROBABLE]</w:t>
      </w:r>
      <w:r>
        <w:t xml:space="preserve"> </w:t>
      </w:r>
      <w:r>
        <w:t xml:space="preserve">— le bilan varie selon les sources.</w:t>
      </w:r>
    </w:p>
    <w:p>
      <w:pPr>
        <w:numPr>
          <w:ilvl w:val="0"/>
          <w:numId w:val="1020"/>
        </w:numPr>
        <w:pStyle w:val="Compact"/>
      </w:pPr>
      <w:r>
        <w:rPr>
          <w:bCs/>
          <w:b/>
        </w:rPr>
        <w:t xml:space="preserve">18 mai 1972</w:t>
      </w:r>
      <w:r>
        <w:t xml:space="preserve"> </w:t>
      </w:r>
      <w:r>
        <w:t xml:space="preserve">— Tsiranana, discrédité, transfère les pleins pouvoirs au général</w:t>
      </w:r>
      <w:r>
        <w:t xml:space="preserve"> </w:t>
      </w:r>
      <w:r>
        <w:rPr>
          <w:bCs/>
          <w:b/>
        </w:rPr>
        <w:t xml:space="preserve">Gabriel Ramanantsoa</w:t>
      </w:r>
      <w:r>
        <w:t xml:space="preserve">. Référendum d’octobre 1972 approuvant ce transfert.</w:t>
      </w:r>
      <w:r>
        <w:t xml:space="preserve"> </w:t>
      </w:r>
      <w:r>
        <w:rPr>
          <w:bCs/>
          <w:b/>
        </w:rPr>
        <w:t xml:space="preserve">[SÛR]</w:t>
      </w:r>
    </w:p>
    <w:p>
      <w:pPr>
        <w:numPr>
          <w:ilvl w:val="0"/>
          <w:numId w:val="1020"/>
        </w:numPr>
        <w:pStyle w:val="Compact"/>
      </w:pPr>
      <w:r>
        <w:rPr>
          <w:bCs/>
          <w:b/>
        </w:rPr>
        <w:t xml:space="preserve">1972-1975</w:t>
      </w:r>
      <w:r>
        <w:t xml:space="preserve"> </w:t>
      </w:r>
      <w:r>
        <w:t xml:space="preserve">— Gouvernement militaire : malgachisation (langue, cadres, économie), renégociation des accords avec la France, rapprochement avec les non-alignés et le bloc de l’Est.</w:t>
      </w:r>
      <w:r>
        <w:t xml:space="preserve"> </w:t>
      </w:r>
      <w:r>
        <w:rPr>
          <w:bCs/>
          <w:b/>
        </w:rPr>
        <w:t xml:space="preserve">[SÛR]</w:t>
      </w:r>
    </w:p>
    <w:p>
      <w:pPr>
        <w:numPr>
          <w:ilvl w:val="0"/>
          <w:numId w:val="1020"/>
        </w:numPr>
        <w:pStyle w:val="Compact"/>
      </w:pPr>
      <w:r>
        <w:rPr>
          <w:bCs/>
          <w:b/>
        </w:rPr>
        <w:t xml:space="preserve">5 février 1975</w:t>
      </w:r>
      <w:r>
        <w:t xml:space="preserve"> </w:t>
      </w:r>
      <w:r>
        <w:t xml:space="preserve">— Ramanantsoa remet le pouvoir au colonel de gendarmerie</w:t>
      </w:r>
      <w:r>
        <w:t xml:space="preserve"> </w:t>
      </w:r>
      <w:r>
        <w:rPr>
          <w:bCs/>
          <w:b/>
        </w:rPr>
        <w:t xml:space="preserve">Richard Ratsimandrava</w:t>
      </w:r>
      <w:r>
        <w:t xml:space="preserve">.</w:t>
      </w:r>
      <w:r>
        <w:t xml:space="preserve"> </w:t>
      </w:r>
      <w:r>
        <w:rPr>
          <w:bCs/>
          <w:b/>
        </w:rPr>
        <w:t xml:space="preserve">[SÛR]</w:t>
      </w:r>
    </w:p>
    <w:p>
      <w:pPr>
        <w:numPr>
          <w:ilvl w:val="0"/>
          <w:numId w:val="1020"/>
        </w:numPr>
        <w:pStyle w:val="Compact"/>
      </w:pPr>
      <w:r>
        <w:rPr>
          <w:bCs/>
          <w:b/>
        </w:rPr>
        <w:t xml:space="preserve">11 février 1975</w:t>
      </w:r>
      <w:r>
        <w:t xml:space="preserve"> </w:t>
      </w:r>
      <w:r>
        <w:t xml:space="preserve">—</w:t>
      </w:r>
      <w:r>
        <w:t xml:space="preserve"> </w:t>
      </w:r>
      <w:r>
        <w:rPr>
          <w:bCs/>
          <w:b/>
        </w:rPr>
        <w:t xml:space="preserve">Assassinat de Ratsimandrava</w:t>
      </w:r>
      <w:r>
        <w:t xml:space="preserve"> </w:t>
      </w:r>
      <w:r>
        <w:t xml:space="preserve">par un commando,</w:t>
      </w:r>
      <w:r>
        <w:t xml:space="preserve"> </w:t>
      </w:r>
      <w:r>
        <w:rPr>
          <w:bCs/>
          <w:b/>
        </w:rPr>
        <w:t xml:space="preserve">six jours</w:t>
      </w:r>
      <w:r>
        <w:t xml:space="preserve"> </w:t>
      </w:r>
      <w:r>
        <w:t xml:space="preserve">après sa prise de fonction, alors qu’il rentrait du palais présidentiel.</w:t>
      </w:r>
      <w:r>
        <w:t xml:space="preserve"> </w:t>
      </w:r>
      <w:r>
        <w:rPr>
          <w:bCs/>
          <w:b/>
        </w:rPr>
        <w:t xml:space="preserve">[SÛR]</w:t>
      </w:r>
    </w:p>
    <w:p>
      <w:pPr>
        <w:numPr>
          <w:ilvl w:val="0"/>
          <w:numId w:val="1020"/>
        </w:numPr>
        <w:pStyle w:val="Compact"/>
      </w:pPr>
      <w:r>
        <w:rPr>
          <w:bCs/>
          <w:b/>
        </w:rPr>
        <w:t xml:space="preserve">Février 1975</w:t>
      </w:r>
      <w:r>
        <w:t xml:space="preserve"> </w:t>
      </w:r>
      <w:r>
        <w:t xml:space="preserve">— Directoire militaire du général</w:t>
      </w:r>
      <w:r>
        <w:t xml:space="preserve"> </w:t>
      </w:r>
      <w:r>
        <w:rPr>
          <w:bCs/>
          <w:b/>
        </w:rPr>
        <w:t xml:space="preserve">Gilles Andriamahazo</w:t>
      </w:r>
      <w:r>
        <w:t xml:space="preserve">, dans un climat de quasi-guerre civile. Un « procès du complot » est ouvert ;</w:t>
      </w:r>
      <w:r>
        <w:t xml:space="preserve"> </w:t>
      </w:r>
      <w:r>
        <w:rPr>
          <w:bCs/>
          <w:b/>
        </w:rPr>
        <w:t xml:space="preserve">les commanditaires réels n’ont jamais été établis</w:t>
      </w:r>
      <w:r>
        <w:t xml:space="preserve">.</w:t>
      </w:r>
      <w:r>
        <w:t xml:space="preserve"> </w:t>
      </w:r>
      <w:r>
        <w:rPr>
          <w:bCs/>
          <w:b/>
        </w:rPr>
        <w:t xml:space="preserve">[CONTROVERSÉ]</w:t>
      </w:r>
    </w:p>
    <w:p>
      <w:pPr>
        <w:numPr>
          <w:ilvl w:val="0"/>
          <w:numId w:val="1020"/>
        </w:numPr>
        <w:pStyle w:val="Compact"/>
      </w:pPr>
      <w:r>
        <w:rPr>
          <w:bCs/>
          <w:b/>
        </w:rPr>
        <w:t xml:space="preserve">15 juin 1975</w:t>
      </w:r>
      <w:r>
        <w:t xml:space="preserve"> </w:t>
      </w:r>
      <w:r>
        <w:t xml:space="preserve">— L’amiral</w:t>
      </w:r>
      <w:r>
        <w:t xml:space="preserve"> </w:t>
      </w:r>
      <w:r>
        <w:rPr>
          <w:bCs/>
          <w:b/>
        </w:rPr>
        <w:t xml:space="preserve">Didier Ratsiraka</w:t>
      </w:r>
      <w:r>
        <w:t xml:space="preserve"> </w:t>
      </w:r>
      <w:r>
        <w:t xml:space="preserve">est désigné pour diriger le pays.</w:t>
      </w:r>
      <w:r>
        <w:t xml:space="preserve"> </w:t>
      </w:r>
      <w:r>
        <w:rPr>
          <w:bCs/>
          <w:b/>
        </w:rPr>
        <w:t xml:space="preserve">[SÛR]</w:t>
      </w:r>
    </w:p>
    <w:p>
      <w:pPr>
        <w:numPr>
          <w:ilvl w:val="0"/>
          <w:numId w:val="1020"/>
        </w:numPr>
        <w:pStyle w:val="Compact"/>
      </w:pPr>
      <w:r>
        <w:rPr>
          <w:bCs/>
          <w:b/>
        </w:rPr>
        <w:t xml:space="preserve">21 décembre 1975</w:t>
      </w:r>
      <w:r>
        <w:t xml:space="preserve"> </w:t>
      </w:r>
      <w:r>
        <w:t xml:space="preserve">— Référendum approuvant la</w:t>
      </w:r>
      <w:r>
        <w:t xml:space="preserve"> </w:t>
      </w:r>
      <w:r>
        <w:rPr>
          <w:bCs/>
          <w:b/>
        </w:rPr>
        <w:t xml:space="preserve">Charte de la révolution socialiste malgache</w:t>
      </w:r>
      <w:r>
        <w:t xml:space="preserve"> </w:t>
      </w:r>
      <w:r>
        <w:t xml:space="preserve">(</w:t>
      </w:r>
      <w:r>
        <w:rPr>
          <w:iCs/>
          <w:i/>
        </w:rPr>
        <w:t xml:space="preserve">Boky Mena</w:t>
      </w:r>
      <w:r>
        <w:t xml:space="preserve">, le Livre rouge) et l’élection de Ratsiraka.</w:t>
      </w:r>
      <w:r>
        <w:t xml:space="preserve"> </w:t>
      </w:r>
      <w:r>
        <w:rPr>
          <w:bCs/>
          <w:b/>
        </w:rPr>
        <w:t xml:space="preserve">[SÛR]</w:t>
      </w:r>
    </w:p>
    <w:p>
      <w:pPr>
        <w:numPr>
          <w:ilvl w:val="0"/>
          <w:numId w:val="1020"/>
        </w:numPr>
        <w:pStyle w:val="Compact"/>
      </w:pPr>
      <w:r>
        <w:rPr>
          <w:bCs/>
          <w:b/>
        </w:rPr>
        <w:t xml:space="preserve">30 décembre 1975</w:t>
      </w:r>
      <w:r>
        <w:t xml:space="preserve"> </w:t>
      </w:r>
      <w:r>
        <w:t xml:space="preserve">— Proclamation de la</w:t>
      </w:r>
      <w:r>
        <w:t xml:space="preserve"> </w:t>
      </w:r>
      <w:r>
        <w:rPr>
          <w:bCs/>
          <w:b/>
        </w:rPr>
        <w:t xml:space="preserve">Deuxième République</w:t>
      </w:r>
      <w:r>
        <w:t xml:space="preserve"> </w:t>
      </w:r>
      <w:r>
        <w:t xml:space="preserve">(République démocratique de Madagascar).</w:t>
      </w:r>
      <w:r>
        <w:t xml:space="preserve"> </w:t>
      </w:r>
      <w:r>
        <w:rPr>
          <w:bCs/>
          <w:b/>
        </w:rPr>
        <w:t xml:space="preserve">[SÛR]</w:t>
      </w:r>
    </w:p>
    <w:p>
      <w:pPr>
        <w:numPr>
          <w:ilvl w:val="0"/>
          <w:numId w:val="1020"/>
        </w:numPr>
        <w:pStyle w:val="Compact"/>
      </w:pPr>
      <w:r>
        <w:rPr>
          <w:bCs/>
          <w:b/>
        </w:rPr>
        <w:t xml:space="preserve">1975-1978</w:t>
      </w:r>
      <w:r>
        <w:t xml:space="preserve"> </w:t>
      </w:r>
      <w:r>
        <w:t xml:space="preserve">— Nationalisations (banques, assurances, import-export, grandes plantations). Fondation de l’</w:t>
      </w:r>
      <w:r>
        <w:rPr>
          <w:bCs/>
          <w:b/>
        </w:rPr>
        <w:t xml:space="preserve">AREMA</w:t>
      </w:r>
      <w:r>
        <w:t xml:space="preserve">, parti unique de fait. Rupture progressive avec la France, rapprochement avec l’URSS, la Corée du Nord et la Chine.</w:t>
      </w:r>
      <w:r>
        <w:t xml:space="preserve"> </w:t>
      </w:r>
      <w:r>
        <w:rPr>
          <w:bCs/>
          <w:b/>
        </w:rPr>
        <w:t xml:space="preserve">[SÛR]</w:t>
      </w:r>
    </w:p>
    <w:p>
      <w:pPr>
        <w:numPr>
          <w:ilvl w:val="0"/>
          <w:numId w:val="1020"/>
        </w:numPr>
        <w:pStyle w:val="Compact"/>
      </w:pPr>
      <w:r>
        <w:rPr>
          <w:bCs/>
          <w:b/>
        </w:rPr>
        <w:t xml:space="preserve">1980-1982</w:t>
      </w:r>
      <w:r>
        <w:t xml:space="preserve"> </w:t>
      </w:r>
      <w:r>
        <w:t xml:space="preserve">— Crise de la dette ; suspension des paiements ; premier</w:t>
      </w:r>
      <w:r>
        <w:t xml:space="preserve"> </w:t>
      </w:r>
      <w:r>
        <w:rPr>
          <w:bCs/>
          <w:b/>
        </w:rPr>
        <w:t xml:space="preserve">programme d’ajustement structurel</w:t>
      </w:r>
      <w:r>
        <w:t xml:space="preserve"> </w:t>
      </w:r>
      <w:r>
        <w:t xml:space="preserve">FMI / Banque mondiale à partir de 1982.</w:t>
      </w:r>
      <w:r>
        <w:t xml:space="preserve"> </w:t>
      </w:r>
      <w:r>
        <w:rPr>
          <w:bCs/>
          <w:b/>
        </w:rPr>
        <w:t xml:space="preserve">[SÛR]</w:t>
      </w:r>
    </w:p>
    <w:p>
      <w:pPr>
        <w:numPr>
          <w:ilvl w:val="0"/>
          <w:numId w:val="1020"/>
        </w:numPr>
        <w:pStyle w:val="Compact"/>
      </w:pPr>
      <w:r>
        <w:rPr>
          <w:bCs/>
          <w:b/>
        </w:rPr>
        <w:t xml:space="preserve">Années 1980</w:t>
      </w:r>
      <w:r>
        <w:t xml:space="preserve"> </w:t>
      </w:r>
      <w:r>
        <w:t xml:space="preserve">— Effondrement du niveau de vie, épisodes de</w:t>
      </w:r>
      <w:r>
        <w:t xml:space="preserve"> </w:t>
      </w:r>
      <w:r>
        <w:rPr>
          <w:iCs/>
          <w:i/>
        </w:rPr>
        <w:t xml:space="preserve">kere</w:t>
      </w:r>
      <w:r>
        <w:t xml:space="preserve"> </w:t>
      </w:r>
      <w:r>
        <w:t xml:space="preserve">dans le Sud, exode rural, dégradation des services publics.</w:t>
      </w:r>
      <w:r>
        <w:t xml:space="preserve"> </w:t>
      </w:r>
      <w:r>
        <w:rPr>
          <w:bCs/>
          <w:b/>
        </w:rPr>
        <w:t xml:space="preserve">[SÛR]</w:t>
      </w:r>
    </w:p>
    <w:p>
      <w:pPr>
        <w:numPr>
          <w:ilvl w:val="0"/>
          <w:numId w:val="1020"/>
        </w:numPr>
        <w:pStyle w:val="Compact"/>
      </w:pPr>
      <w:r>
        <w:rPr>
          <w:bCs/>
          <w:b/>
        </w:rPr>
        <w:t xml:space="preserve">1989</w:t>
      </w:r>
      <w:r>
        <w:t xml:space="preserve"> </w:t>
      </w:r>
      <w:r>
        <w:t xml:space="preserve">— Ratsiraka réélu dans un contexte contesté ; montée des</w:t>
      </w:r>
      <w:r>
        <w:t xml:space="preserve"> </w:t>
      </w:r>
      <w:r>
        <w:rPr>
          <w:bCs/>
          <w:b/>
        </w:rPr>
        <w:t xml:space="preserve">Forces Vives</w:t>
      </w:r>
      <w:r>
        <w:t xml:space="preserve"> </w:t>
      </w:r>
      <w:r>
        <w:t xml:space="preserve">(</w:t>
      </w:r>
      <w:r>
        <w:rPr>
          <w:iCs/>
          <w:i/>
        </w:rPr>
        <w:t xml:space="preserve">Hery Velona</w:t>
      </w:r>
      <w:r>
        <w:t xml:space="preserve">).</w:t>
      </w:r>
      <w:r>
        <w:t xml:space="preserve"> </w:t>
      </w:r>
      <w:r>
        <w:rPr>
          <w:bCs/>
          <w:b/>
        </w:rPr>
        <w:t xml:space="preserve">[SÛR]</w:t>
      </w:r>
    </w:p>
    <w:p>
      <w:pPr>
        <w:numPr>
          <w:ilvl w:val="0"/>
          <w:numId w:val="1020"/>
        </w:numPr>
        <w:pStyle w:val="Compact"/>
      </w:pPr>
      <w:r>
        <w:rPr>
          <w:bCs/>
          <w:b/>
        </w:rPr>
        <w:t xml:space="preserve">31 juillet 1991</w:t>
      </w:r>
      <w:r>
        <w:t xml:space="preserve"> </w:t>
      </w:r>
      <w:r>
        <w:t xml:space="preserve">— Les Forces Vives, menées par</w:t>
      </w:r>
      <w:r>
        <w:t xml:space="preserve"> </w:t>
      </w:r>
      <w:r>
        <w:rPr>
          <w:bCs/>
          <w:b/>
        </w:rPr>
        <w:t xml:space="preserve">Albert Zafy</w:t>
      </w:r>
      <w:r>
        <w:t xml:space="preserve">, proclament un gouvernement parallèle et appellent à la grève générale illimitée.</w:t>
      </w:r>
      <w:r>
        <w:t xml:space="preserve"> </w:t>
      </w:r>
      <w:r>
        <w:rPr>
          <w:bCs/>
          <w:b/>
        </w:rPr>
        <w:t xml:space="preserve">[SÛR]</w:t>
      </w:r>
    </w:p>
    <w:p>
      <w:pPr>
        <w:numPr>
          <w:ilvl w:val="0"/>
          <w:numId w:val="1020"/>
        </w:numPr>
        <w:pStyle w:val="Compact"/>
      </w:pPr>
      <w:r>
        <w:rPr>
          <w:bCs/>
          <w:b/>
        </w:rPr>
        <w:t xml:space="preserve">10 août 1991</w:t>
      </w:r>
      <w:r>
        <w:t xml:space="preserve"> </w:t>
      </w:r>
      <w:r>
        <w:t xml:space="preserve">— Marche pacifique de dizaines de milliers de manifestants vers le palais d’</w:t>
      </w:r>
      <w:r>
        <w:rPr>
          <w:bCs/>
          <w:b/>
        </w:rPr>
        <w:t xml:space="preserve">Iavoloha</w:t>
      </w:r>
      <w:r>
        <w:t xml:space="preserve"> </w:t>
      </w:r>
      <w:r>
        <w:t xml:space="preserve">; la garde présidentielle ouvre le feu.</w:t>
      </w:r>
      <w:r>
        <w:t xml:space="preserve"> </w:t>
      </w:r>
      <w:r>
        <w:rPr>
          <w:bCs/>
          <w:b/>
        </w:rPr>
        <w:t xml:space="preserve">[SÛR]</w:t>
      </w:r>
    </w:p>
    <w:p>
      <w:pPr>
        <w:numPr>
          <w:ilvl w:val="0"/>
          <w:numId w:val="1020"/>
        </w:numPr>
        <w:pStyle w:val="Compact"/>
      </w:pPr>
      <w:r>
        <w:rPr>
          <w:bCs/>
          <w:b/>
        </w:rPr>
        <w:t xml:space="preserve">10 août 1991 (bilan)</w:t>
      </w:r>
      <w:r>
        <w:t xml:space="preserve"> </w:t>
      </w:r>
      <w:r>
        <w:t xml:space="preserve">— Entre une dizaine et plusieurs dizaines de morts selon les sources (chiffres cités entre 8 et 30).</w:t>
      </w:r>
      <w:r>
        <w:t xml:space="preserve"> </w:t>
      </w:r>
      <w:r>
        <w:rPr>
          <w:bCs/>
          <w:b/>
        </w:rPr>
        <w:t xml:space="preserve">Aucun bilan officiel n’a jamais été établi.</w:t>
      </w:r>
      <w:r>
        <w:t xml:space="preserve"> </w:t>
      </w:r>
      <w:r>
        <w:rPr>
          <w:bCs/>
          <w:b/>
        </w:rPr>
        <w:t xml:space="preserve">[CONTROVERSÉ]</w:t>
      </w:r>
    </w:p>
    <w:p>
      <w:pPr>
        <w:numPr>
          <w:ilvl w:val="0"/>
          <w:numId w:val="1020"/>
        </w:numPr>
        <w:pStyle w:val="Compact"/>
      </w:pPr>
      <w:r>
        <w:rPr>
          <w:bCs/>
          <w:b/>
        </w:rPr>
        <w:t xml:space="preserve">31 octobre 1991</w:t>
      </w:r>
      <w:r>
        <w:t xml:space="preserve"> </w:t>
      </w:r>
      <w:r>
        <w:t xml:space="preserve">—</w:t>
      </w:r>
      <w:r>
        <w:t xml:space="preserve"> </w:t>
      </w:r>
      <w:r>
        <w:rPr>
          <w:bCs/>
          <w:b/>
        </w:rPr>
        <w:t xml:space="preserve">Convention du Panorama</w:t>
      </w:r>
      <w:r>
        <w:t xml:space="preserve"> </w:t>
      </w:r>
      <w:r>
        <w:t xml:space="preserve">: transition à pouvoirs partagés entre Ratsiraka et les Forces Vives.</w:t>
      </w:r>
      <w:r>
        <w:t xml:space="preserve"> </w:t>
      </w:r>
      <w:r>
        <w:rPr>
          <w:bCs/>
          <w:b/>
        </w:rPr>
        <w:t xml:space="preserve">[SÛR]</w:t>
      </w:r>
    </w:p>
    <w:p>
      <w:pPr>
        <w:numPr>
          <w:ilvl w:val="0"/>
          <w:numId w:val="1020"/>
        </w:numPr>
        <w:pStyle w:val="Compact"/>
      </w:pPr>
      <w:r>
        <w:rPr>
          <w:bCs/>
          <w:b/>
        </w:rPr>
        <w:t xml:space="preserve">19 août 1992</w:t>
      </w:r>
      <w:r>
        <w:t xml:space="preserve"> </w:t>
      </w:r>
      <w:r>
        <w:t xml:space="preserve">— Adoption par référendum de la Constitution de la</w:t>
      </w:r>
      <w:r>
        <w:t xml:space="preserve"> </w:t>
      </w:r>
      <w:r>
        <w:rPr>
          <w:bCs/>
          <w:b/>
        </w:rPr>
        <w:t xml:space="preserve">Troisième République</w:t>
      </w:r>
      <w:r>
        <w:t xml:space="preserve">.</w:t>
      </w:r>
      <w:r>
        <w:t xml:space="preserve"> </w:t>
      </w:r>
      <w:r>
        <w:rPr>
          <w:bCs/>
          <w:b/>
        </w:rPr>
        <w:t xml:space="preserve">[SÛR]</w:t>
      </w:r>
    </w:p>
    <w:p>
      <w:pPr>
        <w:numPr>
          <w:ilvl w:val="0"/>
          <w:numId w:val="1020"/>
        </w:numPr>
        <w:pStyle w:val="Compact"/>
      </w:pPr>
      <w:r>
        <w:rPr>
          <w:bCs/>
          <w:b/>
        </w:rPr>
        <w:t xml:space="preserve">1993</w:t>
      </w:r>
      <w:r>
        <w:t xml:space="preserve"> </w:t>
      </w:r>
      <w:r>
        <w:t xml:space="preserve">—</w:t>
      </w:r>
      <w:r>
        <w:t xml:space="preserve"> </w:t>
      </w:r>
      <w:r>
        <w:rPr>
          <w:bCs/>
          <w:b/>
        </w:rPr>
        <w:t xml:space="preserve">Albert Zafy</w:t>
      </w:r>
      <w:r>
        <w:t xml:space="preserve"> </w:t>
      </w:r>
      <w:r>
        <w:t xml:space="preserve">élu président.</w:t>
      </w:r>
      <w:r>
        <w:t xml:space="preserve"> </w:t>
      </w:r>
      <w:r>
        <w:rPr>
          <w:bCs/>
          <w:b/>
        </w:rPr>
        <w:t xml:space="preserve">[SÛR]</w:t>
      </w:r>
    </w:p>
    <w:p>
      <w:pPr>
        <w:numPr>
          <w:ilvl w:val="0"/>
          <w:numId w:val="1020"/>
        </w:numPr>
        <w:pStyle w:val="Compact"/>
      </w:pPr>
      <w:r>
        <w:rPr>
          <w:bCs/>
          <w:b/>
        </w:rPr>
        <w:t xml:space="preserve">5 septembre 1996</w:t>
      </w:r>
      <w:r>
        <w:t xml:space="preserve"> </w:t>
      </w:r>
      <w:r>
        <w:t xml:space="preserve">—</w:t>
      </w:r>
      <w:r>
        <w:t xml:space="preserve"> </w:t>
      </w:r>
      <w:r>
        <w:rPr>
          <w:bCs/>
          <w:b/>
        </w:rPr>
        <w:t xml:space="preserve">Empêchement</w:t>
      </w:r>
      <w:r>
        <w:t xml:space="preserve"> </w:t>
      </w:r>
      <w:r>
        <w:t xml:space="preserve">(destitution) de Zafy par la Haute Cour constitutionnelle.</w:t>
      </w:r>
      <w:r>
        <w:t xml:space="preserve"> </w:t>
      </w:r>
      <w:r>
        <w:rPr>
          <w:bCs/>
          <w:b/>
        </w:rPr>
        <w:t xml:space="preserve">[SÛR]</w:t>
      </w:r>
    </w:p>
    <w:p>
      <w:pPr>
        <w:numPr>
          <w:ilvl w:val="0"/>
          <w:numId w:val="1020"/>
        </w:numPr>
        <w:pStyle w:val="Compact"/>
      </w:pPr>
      <w:r>
        <w:rPr>
          <w:bCs/>
          <w:b/>
        </w:rPr>
        <w:t xml:space="preserve">Déc. 1996 – janv. 1997</w:t>
      </w:r>
      <w:r>
        <w:t xml:space="preserve"> </w:t>
      </w:r>
      <w:r>
        <w:t xml:space="preserve">—</w:t>
      </w:r>
      <w:r>
        <w:t xml:space="preserve"> </w:t>
      </w:r>
      <w:r>
        <w:rPr>
          <w:bCs/>
          <w:b/>
        </w:rPr>
        <w:t xml:space="preserve">Ratsiraka</w:t>
      </w:r>
      <w:r>
        <w:t xml:space="preserve"> </w:t>
      </w:r>
      <w:r>
        <w:t xml:space="preserve">remporte la présidentielle anticipée et revient au pouvoir.</w:t>
      </w:r>
      <w:r>
        <w:t xml:space="preserve"> </w:t>
      </w:r>
      <w:r>
        <w:rPr>
          <w:bCs/>
          <w:b/>
        </w:rPr>
        <w:t xml:space="preserve">[SÛR]</w:t>
      </w:r>
    </w:p>
    <w:p>
      <w:pPr>
        <w:numPr>
          <w:ilvl w:val="0"/>
          <w:numId w:val="1020"/>
        </w:numPr>
        <w:pStyle w:val="Compact"/>
      </w:pPr>
      <w:r>
        <w:rPr>
          <w:bCs/>
          <w:b/>
        </w:rPr>
        <w:t xml:space="preserve">Décembre 2001</w:t>
      </w:r>
      <w:r>
        <w:t xml:space="preserve"> </w:t>
      </w:r>
      <w:r>
        <w:t xml:space="preserve">— Présidentielle très disputée entre</w:t>
      </w:r>
      <w:r>
        <w:t xml:space="preserve"> </w:t>
      </w:r>
      <w:r>
        <w:rPr>
          <w:bCs/>
          <w:b/>
        </w:rPr>
        <w:t xml:space="preserve">Marc Ravalomanana</w:t>
      </w:r>
      <w:r>
        <w:t xml:space="preserve">, maire d’Antananarivo et fondateur du groupe</w:t>
      </w:r>
      <w:r>
        <w:t xml:space="preserve"> </w:t>
      </w:r>
      <w:r>
        <w:rPr>
          <w:bCs/>
          <w:b/>
        </w:rPr>
        <w:t xml:space="preserve">Tiko</w:t>
      </w:r>
      <w:r>
        <w:t xml:space="preserve">, et Ratsiraka.</w:t>
      </w:r>
      <w:r>
        <w:t xml:space="preserve"> </w:t>
      </w:r>
      <w:r>
        <w:rPr>
          <w:bCs/>
          <w:b/>
        </w:rPr>
        <w:t xml:space="preserve">[SÛR]</w:t>
      </w:r>
    </w:p>
    <w:p>
      <w:pPr>
        <w:numPr>
          <w:ilvl w:val="0"/>
          <w:numId w:val="1020"/>
        </w:numPr>
        <w:pStyle w:val="Compact"/>
      </w:pPr>
      <w:r>
        <w:rPr>
          <w:bCs/>
          <w:b/>
        </w:rPr>
        <w:t xml:space="preserve">Janvier-juillet 2002</w:t>
      </w:r>
      <w:r>
        <w:t xml:space="preserve"> </w:t>
      </w:r>
      <w:r>
        <w:t xml:space="preserve">— Crise de six mois : Ravalomanana s’autoproclame président en février, Ratsiraka installe un gouvernement de fait à Toamasina, barrages routiers,</w:t>
      </w:r>
      <w:r>
        <w:t xml:space="preserve"> </w:t>
      </w:r>
      <w:r>
        <w:rPr>
          <w:bCs/>
          <w:b/>
        </w:rPr>
        <w:t xml:space="preserve">blocus économique</w:t>
      </w:r>
      <w:r>
        <w:t xml:space="preserve"> </w:t>
      </w:r>
      <w:r>
        <w:t xml:space="preserve">de la capitale, pénuries.</w:t>
      </w:r>
      <w:r>
        <w:t xml:space="preserve"> </w:t>
      </w:r>
      <w:r>
        <w:rPr>
          <w:bCs/>
          <w:b/>
        </w:rPr>
        <w:t xml:space="preserve">[SÛR]</w:t>
      </w:r>
    </w:p>
    <w:p>
      <w:pPr>
        <w:numPr>
          <w:ilvl w:val="0"/>
          <w:numId w:val="1020"/>
        </w:numPr>
        <w:pStyle w:val="Compact"/>
      </w:pPr>
      <w:r>
        <w:rPr>
          <w:bCs/>
          <w:b/>
        </w:rPr>
        <w:t xml:space="preserve">Juillet 2002</w:t>
      </w:r>
      <w:r>
        <w:t xml:space="preserve"> </w:t>
      </w:r>
      <w:r>
        <w:t xml:space="preserve">— Résultats définitifs confirmant la victoire de Ravalomanana dès le premier tour. Ratsiraka part en exil en France.</w:t>
      </w:r>
      <w:r>
        <w:t xml:space="preserve"> </w:t>
      </w:r>
      <w:r>
        <w:rPr>
          <w:bCs/>
          <w:b/>
        </w:rPr>
        <w:t xml:space="preserve">[SÛR]</w:t>
      </w:r>
    </w:p>
    <w:p>
      <w:pPr>
        <w:numPr>
          <w:ilvl w:val="0"/>
          <w:numId w:val="1020"/>
        </w:numPr>
        <w:pStyle w:val="Compact"/>
      </w:pPr>
      <w:r>
        <w:rPr>
          <w:bCs/>
          <w:b/>
        </w:rPr>
        <w:t xml:space="preserve">2002-2009</w:t>
      </w:r>
      <w:r>
        <w:t xml:space="preserve"> </w:t>
      </w:r>
      <w:r>
        <w:t xml:space="preserve">— Présidence Ravalomanana : plan</w:t>
      </w:r>
      <w:r>
        <w:t xml:space="preserve"> </w:t>
      </w:r>
      <w:r>
        <w:rPr>
          <w:bCs/>
          <w:b/>
        </w:rPr>
        <w:t xml:space="preserve">MAP</w:t>
      </w:r>
      <w:r>
        <w:t xml:space="preserve"> </w:t>
      </w:r>
      <w:r>
        <w:t xml:space="preserve">(Madagascar Action Plan), investissement massif dans les routes, croissance d’environ 5 à 7 % par an, relations étroites avec la Banque mondiale — mais concentration croissante du pouvoir et confusion entre intérêts publics et intérêts privés (Tiko).</w:t>
      </w:r>
      <w:r>
        <w:t xml:space="preserve"> </w:t>
      </w:r>
      <w:r>
        <w:rPr>
          <w:bCs/>
          <w:b/>
        </w:rPr>
        <w:t xml:space="preserve">[SÛR]</w:t>
      </w:r>
    </w:p>
    <w:p>
      <w:pPr>
        <w:numPr>
          <w:ilvl w:val="0"/>
          <w:numId w:val="1020"/>
        </w:numPr>
        <w:pStyle w:val="Compact"/>
      </w:pPr>
      <w:r>
        <w:rPr>
          <w:bCs/>
          <w:b/>
        </w:rPr>
        <w:t xml:space="preserve">Novembre 2008</w:t>
      </w:r>
      <w:r>
        <w:t xml:space="preserve"> </w:t>
      </w:r>
      <w:r>
        <w:t xml:space="preserve">— Révélation du projet de bail</w:t>
      </w:r>
      <w:r>
        <w:t xml:space="preserve"> </w:t>
      </w:r>
      <w:r>
        <w:rPr>
          <w:bCs/>
          <w:b/>
        </w:rPr>
        <w:t xml:space="preserve">Daewoo Logistics</w:t>
      </w:r>
      <w:r>
        <w:t xml:space="preserve"> </w:t>
      </w:r>
      <w:r>
        <w:t xml:space="preserve">: environ</w:t>
      </w:r>
      <w:r>
        <w:t xml:space="preserve"> </w:t>
      </w:r>
      <w:r>
        <w:rPr>
          <w:bCs/>
          <w:b/>
        </w:rPr>
        <w:t xml:space="preserve">1,3 million d’hectares</w:t>
      </w:r>
      <w:r>
        <w:t xml:space="preserve"> </w:t>
      </w:r>
      <w:r>
        <w:t xml:space="preserve">de terres arables, près de la moitié des terres cultivables du pays, pour 99 ans, quasiment sans contrepartie financière.</w:t>
      </w:r>
      <w:r>
        <w:t xml:space="preserve"> </w:t>
      </w:r>
      <w:r>
        <w:rPr>
          <w:bCs/>
          <w:b/>
        </w:rPr>
        <w:t xml:space="preserve">[SÛR]</w:t>
      </w:r>
    </w:p>
    <w:p>
      <w:pPr>
        <w:numPr>
          <w:ilvl w:val="0"/>
          <w:numId w:val="1020"/>
        </w:numPr>
        <w:pStyle w:val="Compact"/>
      </w:pPr>
      <w:r>
        <w:rPr>
          <w:bCs/>
          <w:b/>
        </w:rPr>
        <w:t xml:space="preserve">Décembre 2008</w:t>
      </w:r>
      <w:r>
        <w:t xml:space="preserve"> </w:t>
      </w:r>
      <w:r>
        <w:t xml:space="preserve">— Fermeture de</w:t>
      </w:r>
      <w:r>
        <w:t xml:space="preserve"> </w:t>
      </w:r>
      <w:r>
        <w:rPr>
          <w:bCs/>
          <w:b/>
        </w:rPr>
        <w:t xml:space="preserve">Viva TV</w:t>
      </w:r>
      <w:r>
        <w:t xml:space="preserve">, propriété d’</w:t>
      </w:r>
      <w:r>
        <w:rPr>
          <w:bCs/>
          <w:b/>
        </w:rPr>
        <w:t xml:space="preserve">Andry Rajoelina</w:t>
      </w:r>
      <w:r>
        <w:t xml:space="preserve">, après la diffusion d’une interview de Ratsiraka en exil.</w:t>
      </w:r>
      <w:r>
        <w:t xml:space="preserve"> </w:t>
      </w:r>
      <w:r>
        <w:rPr>
          <w:bCs/>
          <w:b/>
        </w:rPr>
        <w:t xml:space="preserve">[SÛR]</w:t>
      </w:r>
    </w:p>
    <w:p>
      <w:pPr>
        <w:numPr>
          <w:ilvl w:val="0"/>
          <w:numId w:val="1020"/>
        </w:numPr>
        <w:pStyle w:val="Compact"/>
      </w:pPr>
      <w:r>
        <w:rPr>
          <w:bCs/>
          <w:b/>
        </w:rPr>
        <w:t xml:space="preserve">Janvier 2009</w:t>
      </w:r>
      <w:r>
        <w:t xml:space="preserve"> </w:t>
      </w:r>
      <w:r>
        <w:t xml:space="preserve">— Manifestations de masse organisées par Rajoelina, maire d’Antananarivo ; pillages et incendies de biens liés à Ravalomanana (magasins Tiko, télévision MBS).</w:t>
      </w:r>
      <w:r>
        <w:t xml:space="preserve"> </w:t>
      </w:r>
      <w:r>
        <w:rPr>
          <w:bCs/>
          <w:b/>
        </w:rPr>
        <w:t xml:space="preserve">[SÛR]</w:t>
      </w:r>
    </w:p>
    <w:p>
      <w:pPr>
        <w:numPr>
          <w:ilvl w:val="0"/>
          <w:numId w:val="1020"/>
        </w:numPr>
        <w:pStyle w:val="Compact"/>
      </w:pPr>
      <w:r>
        <w:rPr>
          <w:bCs/>
          <w:b/>
        </w:rPr>
        <w:t xml:space="preserve">3 février 2009</w:t>
      </w:r>
      <w:r>
        <w:t xml:space="preserve"> </w:t>
      </w:r>
      <w:r>
        <w:t xml:space="preserve">— Ravalomanana destitue Rajoelina de ses fonctions de maire.</w:t>
      </w:r>
      <w:r>
        <w:t xml:space="preserve"> </w:t>
      </w:r>
      <w:r>
        <w:rPr>
          <w:bCs/>
          <w:b/>
        </w:rPr>
        <w:t xml:space="preserve">[SÛR]</w:t>
      </w:r>
    </w:p>
    <w:p>
      <w:pPr>
        <w:numPr>
          <w:ilvl w:val="0"/>
          <w:numId w:val="1020"/>
        </w:numPr>
        <w:pStyle w:val="Compact"/>
      </w:pPr>
      <w:r>
        <w:rPr>
          <w:bCs/>
          <w:b/>
        </w:rPr>
        <w:t xml:space="preserve">7 février 2009</w:t>
      </w:r>
      <w:r>
        <w:t xml:space="preserve"> </w:t>
      </w:r>
      <w:r>
        <w:t xml:space="preserve">— Marche vers le palais d’</w:t>
      </w:r>
      <w:r>
        <w:rPr>
          <w:bCs/>
          <w:b/>
        </w:rPr>
        <w:t xml:space="preserve">Ambohitsorohitra</w:t>
      </w:r>
      <w:r>
        <w:t xml:space="preserve"> </w:t>
      </w:r>
      <w:r>
        <w:t xml:space="preserve">; la garde présidentielle ouvre le feu. Bilan officiel initial ~20 morts et 30 blessés ; presse et témoins évoquent 28 à 40 morts et 170 à 212 blessés.</w:t>
      </w:r>
      <w:r>
        <w:t xml:space="preserve"> </w:t>
      </w:r>
      <w:r>
        <w:rPr>
          <w:bCs/>
          <w:b/>
        </w:rPr>
        <w:t xml:space="preserve">[CONTROVERSÉ]</w:t>
      </w:r>
    </w:p>
    <w:p>
      <w:pPr>
        <w:numPr>
          <w:ilvl w:val="0"/>
          <w:numId w:val="1020"/>
        </w:numPr>
        <w:pStyle w:val="Compact"/>
      </w:pPr>
      <w:r>
        <w:rPr>
          <w:bCs/>
          <w:b/>
        </w:rPr>
        <w:t xml:space="preserve">17 mars 2009</w:t>
      </w:r>
      <w:r>
        <w:t xml:space="preserve"> </w:t>
      </w:r>
      <w:r>
        <w:t xml:space="preserve">— Après des mutineries militaires, Ravalomanana démissionne et transfère le pouvoir à un directoire militaire, qui le remet aussitôt à</w:t>
      </w:r>
      <w:r>
        <w:t xml:space="preserve"> </w:t>
      </w:r>
      <w:r>
        <w:rPr>
          <w:bCs/>
          <w:b/>
        </w:rPr>
        <w:t xml:space="preserve">Andry Rajoelina</w:t>
      </w:r>
      <w:r>
        <w:t xml:space="preserve">, 34 ans, proclamé président de la</w:t>
      </w:r>
      <w:r>
        <w:t xml:space="preserve"> </w:t>
      </w:r>
      <w:r>
        <w:rPr>
          <w:bCs/>
          <w:b/>
        </w:rPr>
        <w:t xml:space="preserve">Haute Autorité de la Transition</w:t>
      </w:r>
      <w:r>
        <w:t xml:space="preserve">.</w:t>
      </w:r>
      <w:r>
        <w:t xml:space="preserve"> </w:t>
      </w:r>
      <w:r>
        <w:rPr>
          <w:bCs/>
          <w:b/>
        </w:rPr>
        <w:t xml:space="preserve">[SÛR]</w:t>
      </w:r>
    </w:p>
    <w:p>
      <w:pPr>
        <w:numPr>
          <w:ilvl w:val="0"/>
          <w:numId w:val="1020"/>
        </w:numPr>
        <w:pStyle w:val="Compact"/>
      </w:pPr>
      <w:r>
        <w:rPr>
          <w:bCs/>
          <w:b/>
        </w:rPr>
        <w:t xml:space="preserve">Mars 2009</w:t>
      </w:r>
      <w:r>
        <w:t xml:space="preserve"> </w:t>
      </w:r>
      <w:r>
        <w:t xml:space="preserve">— Annulation du bail Daewoo annoncée par le nouveau pouvoir.</w:t>
      </w:r>
      <w:r>
        <w:t xml:space="preserve"> </w:t>
      </w:r>
      <w:r>
        <w:rPr>
          <w:bCs/>
          <w:b/>
        </w:rPr>
        <w:t xml:space="preserve">[SÛR]</w:t>
      </w:r>
    </w:p>
    <w:p>
      <w:pPr>
        <w:numPr>
          <w:ilvl w:val="0"/>
          <w:numId w:val="1020"/>
        </w:numPr>
        <w:pStyle w:val="Compact"/>
      </w:pPr>
      <w:r>
        <w:rPr>
          <w:bCs/>
          <w:b/>
        </w:rPr>
        <w:t xml:space="preserve">2009-2010</w:t>
      </w:r>
      <w:r>
        <w:t xml:space="preserve"> </w:t>
      </w:r>
      <w:r>
        <w:t xml:space="preserve">— L’</w:t>
      </w:r>
      <w:r>
        <w:rPr>
          <w:bCs/>
          <w:b/>
        </w:rPr>
        <w:t xml:space="preserve">Union africaine</w:t>
      </w:r>
      <w:r>
        <w:t xml:space="preserve"> </w:t>
      </w:r>
      <w:r>
        <w:t xml:space="preserve">et la</w:t>
      </w:r>
      <w:r>
        <w:t xml:space="preserve"> </w:t>
      </w:r>
      <w:r>
        <w:rPr>
          <w:bCs/>
          <w:b/>
        </w:rPr>
        <w:t xml:space="preserve">SADC</w:t>
      </w:r>
      <w:r>
        <w:t xml:space="preserve"> </w:t>
      </w:r>
      <w:r>
        <w:t xml:space="preserve">suspendent Madagascar et qualifient la prise de pouvoir de coup d’État. Sanctions ciblées, suspension de l’aide non humanitaire, perte de l’éligibilité à l’AGOA.</w:t>
      </w:r>
      <w:r>
        <w:t xml:space="preserve"> </w:t>
      </w:r>
      <w:r>
        <w:rPr>
          <w:bCs/>
          <w:b/>
        </w:rPr>
        <w:t xml:space="preserve">[SÛR]</w:t>
      </w:r>
    </w:p>
    <w:bookmarkEnd w:id="82"/>
    <w:bookmarkStart w:id="83" w:name="personnages-3"/>
    <w:p>
      <w:pPr>
        <w:pStyle w:val="Heading2"/>
      </w:pPr>
      <w:r>
        <w:t xml:space="preserve">Personnages</w:t>
      </w:r>
    </w:p>
    <w:p>
      <w:pPr>
        <w:pStyle w:val="FirstParagraph"/>
      </w:pPr>
      <w:r>
        <w:rPr>
          <w:bCs/>
          <w:b/>
        </w:rPr>
        <w:t xml:space="preserve">Philibert Tsiranana</w:t>
      </w:r>
      <w:r>
        <w:t xml:space="preserve"> </w:t>
      </w:r>
      <w:r>
        <w:t xml:space="preserve">·</w:t>
      </w:r>
      <w:r>
        <w:t xml:space="preserve"> </w:t>
      </w:r>
      <w:r>
        <w:rPr>
          <w:bCs/>
          <w:b/>
        </w:rPr>
        <w:t xml:space="preserve">Monja Jaona</w:t>
      </w:r>
      <w:r>
        <w:t xml:space="preserve"> </w:t>
      </w:r>
      <w:r>
        <w:t xml:space="preserve">·</w:t>
      </w:r>
      <w:r>
        <w:t xml:space="preserve"> </w:t>
      </w:r>
      <w:r>
        <w:rPr>
          <w:bCs/>
          <w:b/>
        </w:rPr>
        <w:t xml:space="preserve">Gabriel Ramanantsoa</w:t>
      </w:r>
      <w:r>
        <w:t xml:space="preserve"> </w:t>
      </w:r>
      <w:r>
        <w:t xml:space="preserve">·</w:t>
      </w:r>
      <w:r>
        <w:t xml:space="preserve"> </w:t>
      </w:r>
      <w:r>
        <w:rPr>
          <w:bCs/>
          <w:b/>
        </w:rPr>
        <w:t xml:space="preserve">Richard Ratsimandrava</w:t>
      </w:r>
      <w:r>
        <w:t xml:space="preserve"> </w:t>
      </w:r>
      <w:r>
        <w:t xml:space="preserve">·</w:t>
      </w:r>
      <w:r>
        <w:t xml:space="preserve"> </w:t>
      </w:r>
      <w:r>
        <w:rPr>
          <w:bCs/>
          <w:b/>
        </w:rPr>
        <w:t xml:space="preserve">Gilles Andriamahazo</w:t>
      </w:r>
      <w:r>
        <w:t xml:space="preserve"> </w:t>
      </w:r>
      <w:r>
        <w:t xml:space="preserve">·</w:t>
      </w:r>
      <w:r>
        <w:t xml:space="preserve"> </w:t>
      </w:r>
      <w:r>
        <w:rPr>
          <w:bCs/>
          <w:b/>
        </w:rPr>
        <w:t xml:space="preserve">Didier Ratsiraka</w:t>
      </w:r>
      <w:r>
        <w:t xml:space="preserve"> </w:t>
      </w:r>
      <w:r>
        <w:t xml:space="preserve">·</w:t>
      </w:r>
      <w:r>
        <w:t xml:space="preserve"> </w:t>
      </w:r>
      <w:r>
        <w:rPr>
          <w:bCs/>
          <w:b/>
        </w:rPr>
        <w:t xml:space="preserve">Albert Zafy</w:t>
      </w:r>
      <w:r>
        <w:t xml:space="preserve"> </w:t>
      </w:r>
      <w:r>
        <w:t xml:space="preserve">·</w:t>
      </w:r>
      <w:r>
        <w:t xml:space="preserve"> </w:t>
      </w:r>
      <w:r>
        <w:rPr>
          <w:bCs/>
          <w:b/>
        </w:rPr>
        <w:t xml:space="preserve">Marc Ravalomanana</w:t>
      </w:r>
      <w:r>
        <w:t xml:space="preserve"> </w:t>
      </w:r>
      <w:r>
        <w:t xml:space="preserve">·</w:t>
      </w:r>
      <w:r>
        <w:t xml:space="preserve"> </w:t>
      </w:r>
      <w:r>
        <w:rPr>
          <w:bCs/>
          <w:b/>
        </w:rPr>
        <w:t xml:space="preserve">Andry Rajoelina</w:t>
      </w:r>
      <w:r>
        <w:t xml:space="preserve">.</w:t>
      </w:r>
    </w:p>
    <w:bookmarkEnd w:id="83"/>
    <w:bookmarkStart w:id="84" w:name="lieux-4"/>
    <w:p>
      <w:pPr>
        <w:pStyle w:val="Heading2"/>
      </w:pPr>
      <w:r>
        <w:t xml:space="preserve">Lieux</w:t>
      </w:r>
    </w:p>
    <w:p>
      <w:pPr>
        <w:pStyle w:val="FirstParagraph"/>
      </w:pPr>
      <w:r>
        <w:rPr>
          <w:bCs/>
          <w:b/>
        </w:rPr>
        <w:t xml:space="preserve">Tuléar</w:t>
      </w:r>
      <w:r>
        <w:t xml:space="preserve"> </w:t>
      </w:r>
      <w:r>
        <w:t xml:space="preserve">et le Sud (1971) ·</w:t>
      </w:r>
      <w:r>
        <w:t xml:space="preserve"> </w:t>
      </w:r>
      <w:r>
        <w:rPr>
          <w:bCs/>
          <w:b/>
        </w:rPr>
        <w:t xml:space="preserve">Antananarivo</w:t>
      </w:r>
      <w:r>
        <w:t xml:space="preserve">, place du 13-Mai · palais d’</w:t>
      </w:r>
      <w:r>
        <w:rPr>
          <w:bCs/>
          <w:b/>
        </w:rPr>
        <w:t xml:space="preserve">Iavoloha</w:t>
      </w:r>
      <w:r>
        <w:t xml:space="preserve"> </w:t>
      </w:r>
      <w:r>
        <w:t xml:space="preserve">(1991) · le</w:t>
      </w:r>
      <w:r>
        <w:t xml:space="preserve"> </w:t>
      </w:r>
      <w:r>
        <w:rPr>
          <w:bCs/>
          <w:b/>
        </w:rPr>
        <w:t xml:space="preserve">Panorama</w:t>
      </w:r>
      <w:r>
        <w:t xml:space="preserve"> </w:t>
      </w:r>
      <w:r>
        <w:t xml:space="preserve">(convention de 1991) ·</w:t>
      </w:r>
      <w:r>
        <w:t xml:space="preserve"> </w:t>
      </w:r>
      <w:r>
        <w:rPr>
          <w:bCs/>
          <w:b/>
        </w:rPr>
        <w:t xml:space="preserve">Toamasina</w:t>
      </w:r>
      <w:r>
        <w:t xml:space="preserve">, bastion de Ratsiraka (2002) · palais d’</w:t>
      </w:r>
      <w:r>
        <w:rPr>
          <w:bCs/>
          <w:b/>
        </w:rPr>
        <w:t xml:space="preserve">Ambohitsorohitra</w:t>
      </w:r>
      <w:r>
        <w:t xml:space="preserve"> </w:t>
      </w:r>
      <w:r>
        <w:t xml:space="preserve">(2009).</w:t>
      </w:r>
    </w:p>
    <w:bookmarkEnd w:id="84"/>
    <w:bookmarkStart w:id="85" w:name="ce-qui-est-établi-4"/>
    <w:p>
      <w:pPr>
        <w:pStyle w:val="Heading2"/>
      </w:pPr>
      <w:r>
        <w:t xml:space="preserve">Ce qui est établi</w:t>
      </w:r>
    </w:p>
    <w:p>
      <w:pPr>
        <w:pStyle w:val="FirstParagraph"/>
      </w:pPr>
      <w:r>
        <w:t xml:space="preserve">Les dates institutionnelles majeures sont consensuelles et solidement documentées. Le contenu idéologique du régime Ratsiraka est bien attesté. La trajectoire économique déclinante, la crise de la dette et l’ajustement structurel des années 1980 sont documentés par les institutions financières elles-mêmes. L’ampleur du projet Daewoo est confirmée par plusieurs enquêtes internationales convergentes.</w:t>
      </w:r>
    </w:p>
    <w:bookmarkEnd w:id="85"/>
    <w:bookmarkStart w:id="86" w:name="ce-qui-est-controversé-3"/>
    <w:p>
      <w:pPr>
        <w:pStyle w:val="Heading2"/>
      </w:pPr>
      <w:r>
        <w:t xml:space="preserve">Ce qui est controversé</w:t>
      </w:r>
    </w:p>
    <w:p>
      <w:pPr>
        <w:numPr>
          <w:ilvl w:val="0"/>
          <w:numId w:val="1021"/>
        </w:numPr>
        <w:pStyle w:val="Compact"/>
      </w:pPr>
      <w:r>
        <w:t xml:space="preserve">Le bilan de la répression du MONIMA en 1971 n’a jamais fait l’objet d’un décompte fiable.</w:t>
      </w:r>
    </w:p>
    <w:p>
      <w:pPr>
        <w:numPr>
          <w:ilvl w:val="0"/>
          <w:numId w:val="1021"/>
        </w:numPr>
        <w:pStyle w:val="Compact"/>
      </w:pPr>
      <w:r>
        <w:rPr>
          <w:bCs/>
          <w:b/>
        </w:rPr>
        <w:t xml:space="preserve">Les commanditaires de l’assassinat de Ratsimandrava restent inconnus.</w:t>
      </w:r>
      <w:r>
        <w:t xml:space="preserve"> </w:t>
      </w:r>
      <w:r>
        <w:t xml:space="preserve">Le « procès du complot » est largement considéré, y compris par des historiens malgaches, comme n’ayant pas établi la vérité.</w:t>
      </w:r>
      <w:r>
        <w:t xml:space="preserve"> </w:t>
      </w:r>
      <w:r>
        <w:rPr>
          <w:bCs/>
          <w:b/>
        </w:rPr>
        <w:t xml:space="preserve">C’est le meilleur sujet de la saison 5.</w:t>
      </w:r>
    </w:p>
    <w:p>
      <w:pPr>
        <w:numPr>
          <w:ilvl w:val="0"/>
          <w:numId w:val="1021"/>
        </w:numPr>
        <w:pStyle w:val="Compact"/>
      </w:pPr>
      <w:r>
        <w:t xml:space="preserve">Le bilan d’Iavoloha (10 août 1991) varie fortement ; aucune enquête officielle exhaustive n’a jamais été menée.</w:t>
      </w:r>
    </w:p>
    <w:p>
      <w:pPr>
        <w:numPr>
          <w:ilvl w:val="0"/>
          <w:numId w:val="1021"/>
        </w:numPr>
        <w:pStyle w:val="Compact"/>
      </w:pPr>
      <w:r>
        <w:t xml:space="preserve">Le bilan du 7 février 2009 oscille entre 20 (chiffre gouvernemental) et 40 morts (témoins et presse) ; les circonstances exactes des tirs sont contestées.</w:t>
      </w:r>
    </w:p>
    <w:p>
      <w:pPr>
        <w:numPr>
          <w:ilvl w:val="0"/>
          <w:numId w:val="1021"/>
        </w:numPr>
        <w:pStyle w:val="Compact"/>
      </w:pPr>
      <w:r>
        <w:rPr>
          <w:bCs/>
          <w:b/>
        </w:rPr>
        <w:t xml:space="preserve">La qualification de « coup d’État » pour 2009 est débattue.</w:t>
      </w:r>
      <w:r>
        <w:t xml:space="preserve"> </w:t>
      </w:r>
      <w:r>
        <w:t xml:space="preserve">L’UA, la SADC et l’ONU l’ont retenue ; certains observateurs parlent d’un mouvement populaire ayant abouti à un transfert forcé plutôt qu’à un putsch militaire classique.</w:t>
      </w:r>
    </w:p>
    <w:bookmarkEnd w:id="86"/>
    <w:bookmarkStart w:id="87" w:name="chiffres-clés-vérifiés"/>
    <w:p>
      <w:pPr>
        <w:pStyle w:val="Heading2"/>
      </w:pPr>
      <w:r>
        <w:t xml:space="preserve">Chiffres clés vérifiés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Donnée</w:t>
            </w:r>
          </w:p>
        </w:tc>
        <w:tc>
          <w:tcPr/>
          <w:p>
            <w:pPr>
              <w:pStyle w:val="Compact"/>
              <w:jc w:val="left"/>
            </w:pPr>
            <w:r>
              <w:t xml:space="preserve">Valeur</w:t>
            </w:r>
          </w:p>
        </w:tc>
        <w:tc>
          <w:tcPr/>
          <w:p>
            <w:pPr>
              <w:pStyle w:val="Compact"/>
              <w:jc w:val="left"/>
            </w:pPr>
            <w:r>
              <w:t xml:space="preserve">Source</w:t>
            </w:r>
          </w:p>
        </w:tc>
      </w:tr>
      <w:tr>
        <w:tc>
          <w:tcPr/>
          <w:p>
            <w:pPr>
              <w:pStyle w:val="Compact"/>
              <w:jc w:val="left"/>
            </w:pPr>
            <w:r>
              <w:t xml:space="preserve">PIB par habitant, 1960</w:t>
            </w:r>
          </w:p>
        </w:tc>
        <w:tc>
          <w:tcPr/>
          <w:p>
            <w:pPr>
              <w:pStyle w:val="Compact"/>
              <w:jc w:val="left"/>
            </w:pPr>
            <w:r>
              <w:t xml:space="preserve">812 USD courants</w:t>
            </w:r>
          </w:p>
        </w:tc>
        <w:tc>
          <w:tcPr/>
          <w:p>
            <w:pPr>
              <w:pStyle w:val="Compact"/>
              <w:jc w:val="left"/>
            </w:pPr>
            <w:r>
              <w:t xml:space="preserve">Banque mondiale (NY.GDP.PCAP.CD)</w:t>
            </w:r>
          </w:p>
        </w:tc>
      </w:tr>
      <w:tr>
        <w:tc>
          <w:tcPr/>
          <w:p>
            <w:pPr>
              <w:pStyle w:val="Compact"/>
              <w:jc w:val="left"/>
            </w:pPr>
            <w:r>
              <w:t xml:space="preserve">PIB par habitant, 2024</w:t>
            </w:r>
          </w:p>
        </w:tc>
        <w:tc>
          <w:tcPr/>
          <w:p>
            <w:pPr>
              <w:pStyle w:val="Compact"/>
              <w:jc w:val="left"/>
            </w:pPr>
            <w:r>
              <w:t xml:space="preserve">456 USD courants</w:t>
            </w:r>
          </w:p>
        </w:tc>
        <w:tc>
          <w:tcPr/>
          <w:p>
            <w:pPr>
              <w:pStyle w:val="Compact"/>
              <w:jc w:val="left"/>
            </w:pPr>
            <w:r>
              <w:t xml:space="preserve">Banque mondiale</w:t>
            </w:r>
          </w:p>
        </w:tc>
      </w:tr>
      <w:tr>
        <w:tc>
          <w:tcPr/>
          <w:p>
            <w:pPr>
              <w:pStyle w:val="Compact"/>
              <w:jc w:val="left"/>
            </w:pPr>
            <w:r>
              <w:t xml:space="preserve">Manifestants, 13 mai 1972</w:t>
            </w:r>
          </w:p>
        </w:tc>
        <w:tc>
          <w:tcPr/>
          <w:p>
            <w:pPr>
              <w:pStyle w:val="Compact"/>
              <w:jc w:val="left"/>
            </w:pPr>
            <w:r>
              <w:t xml:space="preserve">~100 000</w:t>
            </w:r>
          </w:p>
        </w:tc>
        <w:tc>
          <w:tcPr/>
          <w:p>
            <w:pPr>
              <w:pStyle w:val="Compact"/>
              <w:jc w:val="left"/>
            </w:pPr>
            <w:r>
              <w:t xml:space="preserve">presse et sources secondaires</w:t>
            </w:r>
          </w:p>
        </w:tc>
      </w:tr>
      <w:tr>
        <w:tc>
          <w:tcPr/>
          <w:p>
            <w:pPr>
              <w:pStyle w:val="Compact"/>
              <w:jc w:val="left"/>
            </w:pPr>
            <w:r>
              <w:t xml:space="preserve">Bilan du 13 mai 1972</w:t>
            </w:r>
          </w:p>
        </w:tc>
        <w:tc>
          <w:tcPr/>
          <w:p>
            <w:pPr>
              <w:pStyle w:val="Compact"/>
              <w:jc w:val="left"/>
            </w:pPr>
            <w:r>
              <w:t xml:space="preserve">52 morts, dont 7 des forces de l’ordre</w:t>
            </w:r>
          </w:p>
        </w:tc>
        <w:tc>
          <w:tcPr/>
          <w:p>
            <w:pPr>
              <w:pStyle w:val="Compact"/>
              <w:jc w:val="left"/>
            </w:pPr>
            <w:r>
              <w:t xml:space="preserve">idem</w:t>
            </w:r>
          </w:p>
        </w:tc>
      </w:tr>
      <w:tr>
        <w:tc>
          <w:tcPr/>
          <w:p>
            <w:pPr>
              <w:pStyle w:val="Compact"/>
              <w:jc w:val="left"/>
            </w:pPr>
            <w:r>
              <w:t xml:space="preserve">Bail Daewoo, 2008</w:t>
            </w:r>
          </w:p>
        </w:tc>
        <w:tc>
          <w:tcPr/>
          <w:p>
            <w:pPr>
              <w:pStyle w:val="Compact"/>
              <w:jc w:val="left"/>
            </w:pPr>
            <w:r>
              <w:t xml:space="preserve">~1,3 million d’ha, 99 ans</w:t>
            </w:r>
          </w:p>
        </w:tc>
        <w:tc>
          <w:tcPr/>
          <w:p>
            <w:pPr>
              <w:pStyle w:val="Compact"/>
              <w:jc w:val="left"/>
            </w:pPr>
            <w:r>
              <w:t xml:space="preserve">Mongabay, CADTM</w:t>
            </w:r>
          </w:p>
        </w:tc>
      </w:tr>
      <w:tr>
        <w:tc>
          <w:tcPr/>
          <w:p>
            <w:pPr>
              <w:pStyle w:val="Compact"/>
              <w:jc w:val="left"/>
            </w:pPr>
            <w:r>
              <w:t xml:space="preserve">7 février 2009</w:t>
            </w:r>
          </w:p>
        </w:tc>
        <w:tc>
          <w:tcPr/>
          <w:p>
            <w:pPr>
              <w:pStyle w:val="Compact"/>
              <w:jc w:val="left"/>
            </w:pPr>
            <w:r>
              <w:t xml:space="preserve">20 (officiel) à 40 morts (témoins)</w:t>
            </w:r>
          </w:p>
        </w:tc>
        <w:tc>
          <w:tcPr/>
          <w:p>
            <w:pPr>
              <w:pStyle w:val="Compact"/>
              <w:jc w:val="left"/>
            </w:pPr>
            <w:r>
              <w:t xml:space="preserve">AFP, Imazpress</w:t>
            </w:r>
          </w:p>
        </w:tc>
      </w:tr>
      <w:tr>
        <w:tc>
          <w:tcPr/>
          <w:p>
            <w:pPr>
              <w:pStyle w:val="Compact"/>
              <w:jc w:val="left"/>
            </w:pPr>
            <w:r>
              <w:t xml:space="preserve">Mandat de Ratsimandrava</w:t>
            </w:r>
          </w:p>
        </w:tc>
        <w:tc>
          <w:tcPr/>
          <w:p>
            <w:pPr>
              <w:pStyle w:val="Compact"/>
              <w:jc w:val="left"/>
            </w:pPr>
            <w:r>
              <w:t xml:space="preserve">6 jours (5-11 février 1975)</w:t>
            </w:r>
          </w:p>
        </w:tc>
        <w:tc>
          <w:tcPr/>
          <w:p>
            <w:pPr>
              <w:pStyle w:val="Compact"/>
              <w:jc w:val="left"/>
            </w:pPr>
            <w:r>
              <w:t xml:space="preserve">—</w:t>
            </w:r>
          </w:p>
        </w:tc>
      </w:tr>
    </w:tbl>
    <w:p>
      <w:pPr>
        <w:pStyle w:val="BodyText"/>
      </w:pPr>
      <w:r>
        <w:rPr>
          <w:bCs/>
          <w:b/>
        </w:rPr>
        <w:t xml:space="preserve">Attention à la comparaison 1960 / 2024 :</w:t>
      </w:r>
      <w:r>
        <w:t xml:space="preserve"> </w:t>
      </w:r>
      <w:r>
        <w:t xml:space="preserve">ce sont des dollars courants, pas constants. La chute est réelle et Madagascar est bien l’un des très rares pays plus pauvres aujourd’hui qu’à l’indépendance — mais</w:t>
      </w:r>
      <w:r>
        <w:t xml:space="preserve"> </w:t>
      </w:r>
      <w:r>
        <w:rPr>
          <w:bCs/>
          <w:b/>
        </w:rPr>
        <w:t xml:space="preserve">formule-la en disant « en dollars courants, selon la Banque mondiale »</w:t>
      </w:r>
      <w:r>
        <w:t xml:space="preserve">, sinon un auditeur économiste te reprendra à juste titre.</w:t>
      </w:r>
    </w:p>
    <w:bookmarkEnd w:id="87"/>
    <w:bookmarkStart w:id="88" w:name="erreurs-à-éviter-à-lantenne-4"/>
    <w:p>
      <w:pPr>
        <w:pStyle w:val="Heading2"/>
      </w:pPr>
      <w:r>
        <w:t xml:space="preserve">Erreurs à éviter à l’antenne</w:t>
      </w:r>
    </w:p>
    <w:p>
      <w:pPr>
        <w:numPr>
          <w:ilvl w:val="0"/>
          <w:numId w:val="1022"/>
        </w:numPr>
        <w:pStyle w:val="Compact"/>
      </w:pPr>
      <w:r>
        <w:rPr>
          <w:bCs/>
          <w:b/>
        </w:rPr>
        <w:t xml:space="preserve">Ne pas confondre 1947 et le soulèvement du MONIMA de 1971.</w:t>
      </w:r>
      <w:r>
        <w:t xml:space="preserve"> </w:t>
      </w:r>
      <w:r>
        <w:t xml:space="preserve">Vingt-quatre ans d’écart, deux logiques différentes.</w:t>
      </w:r>
    </w:p>
    <w:p>
      <w:pPr>
        <w:numPr>
          <w:ilvl w:val="0"/>
          <w:numId w:val="1022"/>
        </w:numPr>
        <w:pStyle w:val="Compact"/>
      </w:pPr>
      <w:r>
        <w:rPr>
          <w:bCs/>
          <w:b/>
        </w:rPr>
        <w:t xml:space="preserve">Toujours signaler l’écart entre bilan officiel et estimations de presse</w:t>
      </w:r>
      <w:r>
        <w:t xml:space="preserve"> </w:t>
      </w:r>
      <w:r>
        <w:t xml:space="preserve">pour le 7 février 2009.</w:t>
      </w:r>
    </w:p>
    <w:p>
      <w:pPr>
        <w:numPr>
          <w:ilvl w:val="0"/>
          <w:numId w:val="1022"/>
        </w:numPr>
        <w:pStyle w:val="Compact"/>
      </w:pPr>
      <w:r>
        <w:rPr>
          <w:bCs/>
          <w:b/>
        </w:rPr>
        <w:t xml:space="preserve">Ne pas dire que Ratsiraka a été « renversé » en 1991.</w:t>
      </w:r>
      <w:r>
        <w:t xml:space="preserve"> </w:t>
      </w:r>
      <w:r>
        <w:t xml:space="preserve">Il reste chef de l’État nominal jusqu’en 1993, dans un système de pouvoir partagé issu de la convention du Panorama.</w:t>
      </w:r>
    </w:p>
    <w:p>
      <w:pPr>
        <w:numPr>
          <w:ilvl w:val="0"/>
          <w:numId w:val="1022"/>
        </w:numPr>
        <w:pStyle w:val="Compact"/>
      </w:pPr>
      <w:r>
        <w:rPr>
          <w:bCs/>
          <w:b/>
        </w:rPr>
        <w:t xml:space="preserve">Ne pas réduire la crise de 2009 à l’affaire Daewoo.</w:t>
      </w:r>
      <w:r>
        <w:t xml:space="preserve"> </w:t>
      </w:r>
      <w:r>
        <w:t xml:space="preserve">Le contrat a été le détonateur, mais s’y ajoutent la fermeture de Viva TV, le pouvoir personnel de Ravalomanana et des rivalités économiques.</w:t>
      </w:r>
    </w:p>
    <w:p>
      <w:pPr>
        <w:numPr>
          <w:ilvl w:val="0"/>
          <w:numId w:val="1022"/>
        </w:numPr>
        <w:pStyle w:val="Compact"/>
      </w:pPr>
      <w:r>
        <w:rPr>
          <w:bCs/>
          <w:b/>
        </w:rPr>
        <w:t xml:space="preserve">Ne pas établir de lien mécanique entre socialisme et déclin.</w:t>
      </w:r>
      <w:r>
        <w:t xml:space="preserve"> </w:t>
      </w:r>
      <w:r>
        <w:t xml:space="preserve">La trajectoire descendante du PIB par habitant s’étend sur</w:t>
      </w:r>
      <w:r>
        <w:t xml:space="preserve"> </w:t>
      </w:r>
      <w:r>
        <w:rPr>
          <w:bCs/>
          <w:b/>
        </w:rPr>
        <w:t xml:space="preserve">plusieurs régimes successifs</w:t>
      </w:r>
      <w:r>
        <w:t xml:space="preserve">, pas seulement la période socialiste.</w:t>
      </w:r>
    </w:p>
    <w:bookmarkEnd w:id="88"/>
    <w:bookmarkStart w:id="89" w:name="accroches-4"/>
    <w:p>
      <w:pPr>
        <w:pStyle w:val="Heading2"/>
      </w:pPr>
      <w:r>
        <w:t xml:space="preserve">Accroches</w:t>
      </w:r>
    </w:p>
    <w:p>
      <w:pPr>
        <w:pStyle w:val="BlockText"/>
      </w:pPr>
      <w:r>
        <w:t xml:space="preserve">« Six jours. C’est tout ce qu’il aura fallu pour qu’un homme accède au pouvoir suprême à Madagascar, puis meure assassiné en pleine rue — un mystère jamais résolu. »</w:t>
      </w:r>
    </w:p>
    <w:p>
      <w:pPr>
        <w:pStyle w:val="BlockText"/>
      </w:pPr>
      <w:r>
        <w:t xml:space="preserve">« En 1960, un Malgache était en moyenne moins pauvre qu’un habitant de bien des pays d’Asie. Un demi-siècle plus tard, Madagascar est l’un des seuls pays au monde devenu plus pauvre qu’à son indépendance. »</w:t>
      </w:r>
    </w:p>
    <w:p>
      <w:pPr>
        <w:pStyle w:val="BlockText"/>
      </w:pPr>
      <w:r>
        <w:t xml:space="preserve">« Un bail sur près de la moitié des terres cultivables du pays, signé loin des regards : c’est ce contrat, révélé fin 2008, qui a précipité la chute d’un président réélu triomphalement six ans plus tôt. »</w:t>
      </w:r>
    </w:p>
    <w:bookmarkEnd w:id="89"/>
    <w:bookmarkEnd w:id="90"/>
    <w:bookmarkStart w:id="103" w:name="Xae7edf71381f77de757231305e79f36c47601f3"/>
    <w:p>
      <w:pPr>
        <w:pStyle w:val="Heading1"/>
      </w:pPr>
      <w:r>
        <w:t xml:space="preserve">PÉRIODE 6 — Madagascar contemporain (2009 – août 2026)</w:t>
      </w:r>
    </w:p>
    <w:p>
      <w:pPr>
        <w:pStyle w:val="FirstParagraph"/>
      </w:pPr>
      <w:r>
        <w:rPr>
          <w:iCs/>
          <w:i/>
        </w:rPr>
        <w:t xml:space="preserve">Épisodes 26 à 30</w:t>
      </w:r>
    </w:p>
    <w:p>
      <w:pPr>
        <w:pStyle w:val="BlockText"/>
      </w:pPr>
      <w:r>
        <w:rPr>
          <w:bCs/>
          <w:b/>
        </w:rPr>
        <w:t xml:space="preserve">Avertissement.</w:t>
      </w:r>
      <w:r>
        <w:t xml:space="preserve"> </w:t>
      </w:r>
      <w:r>
        <w:t xml:space="preserve">Cette section est la plus périssable du dossier. Toute donnée chiffrée doit être re-vérifiée</w:t>
      </w:r>
      <w:r>
        <w:t xml:space="preserve"> </w:t>
      </w:r>
      <w:r>
        <w:rPr>
          <w:bCs/>
          <w:b/>
        </w:rPr>
        <w:t xml:space="preserve">le jour de l’enregistrement</w:t>
      </w:r>
      <w:r>
        <w:t xml:space="preserve">. La situation malgache a changé quatre fois en dix mois entre octobre 2025 et août 2026.</w:t>
      </w:r>
    </w:p>
    <w:bookmarkStart w:id="96" w:name="chronologie-5"/>
    <w:p>
      <w:pPr>
        <w:pStyle w:val="Heading2"/>
      </w:pPr>
      <w:r>
        <w:t xml:space="preserve">Chronologie</w:t>
      </w:r>
    </w:p>
    <w:bookmarkStart w:id="91" w:name="la-transition-2009-2013"/>
    <w:p>
      <w:pPr>
        <w:pStyle w:val="Heading3"/>
      </w:pPr>
      <w:r>
        <w:t xml:space="preserve">La transition (2009-2013)</w:t>
      </w:r>
    </w:p>
    <w:p>
      <w:pPr>
        <w:numPr>
          <w:ilvl w:val="0"/>
          <w:numId w:val="1023"/>
        </w:numPr>
        <w:pStyle w:val="Compact"/>
      </w:pPr>
      <w:r>
        <w:rPr>
          <w:bCs/>
          <w:b/>
        </w:rPr>
        <w:t xml:space="preserve">2009-2013</w:t>
      </w:r>
      <w:r>
        <w:t xml:space="preserve"> </w:t>
      </w:r>
      <w:r>
        <w:t xml:space="preserve">— L’aide budgétaire est gelée, Madagascar perd son éligibilité à l’AGOA (le secteur textile est durement touché). Le PIB par habitant recule ; la pauvreté s’aggrave durablement.</w:t>
      </w:r>
      <w:r>
        <w:t xml:space="preserve"> </w:t>
      </w:r>
      <w:r>
        <w:rPr>
          <w:bCs/>
          <w:b/>
        </w:rPr>
        <w:t xml:space="preserve">[SÛR]</w:t>
      </w:r>
    </w:p>
    <w:p>
      <w:pPr>
        <w:numPr>
          <w:ilvl w:val="0"/>
          <w:numId w:val="1023"/>
        </w:numPr>
        <w:pStyle w:val="Compact"/>
      </w:pPr>
      <w:r>
        <w:rPr>
          <w:bCs/>
          <w:b/>
        </w:rPr>
        <w:t xml:space="preserve">17 septembre 2011</w:t>
      </w:r>
      <w:r>
        <w:t xml:space="preserve"> </w:t>
      </w:r>
      <w:r>
        <w:t xml:space="preserve">— Signature de la « Feuille de route pour la sortie de crise » sous médiation SADC : gouvernement d’union, amnistie partielle, élections « ni-ni » (ni Rajoelina ni Ravalomanana candidats).</w:t>
      </w:r>
      <w:r>
        <w:t xml:space="preserve"> </w:t>
      </w:r>
      <w:r>
        <w:rPr>
          <w:bCs/>
          <w:b/>
        </w:rPr>
        <w:t xml:space="preserve">[SÛR]</w:t>
      </w:r>
    </w:p>
    <w:p>
      <w:pPr>
        <w:numPr>
          <w:ilvl w:val="0"/>
          <w:numId w:val="1023"/>
        </w:numPr>
        <w:pStyle w:val="Compact"/>
      </w:pPr>
      <w:r>
        <w:rPr>
          <w:bCs/>
          <w:b/>
        </w:rPr>
        <w:t xml:space="preserve">2009-2015</w:t>
      </w:r>
      <w:r>
        <w:t xml:space="preserve"> </w:t>
      </w:r>
      <w:r>
        <w:t xml:space="preserve">— Explosion du trafic de bois précieux (bois de rose, palissandre) dans le vide de gouvernance. Estimation largement reprise : ~350 000 arbres abattus, 150 000 tonnes exportées entre 2010 et 2015.</w:t>
      </w:r>
      <w:r>
        <w:t xml:space="preserve"> </w:t>
      </w:r>
      <w:r>
        <w:rPr>
          <w:bCs/>
          <w:b/>
        </w:rPr>
        <w:t xml:space="preserve">[PROBABLE]</w:t>
      </w:r>
      <w:r>
        <w:t xml:space="preserve"> </w:t>
      </w:r>
      <w:r>
        <w:t xml:space="preserve">— les ordres de grandeur varient.</w:t>
      </w:r>
    </w:p>
    <w:p>
      <w:pPr>
        <w:numPr>
          <w:ilvl w:val="0"/>
          <w:numId w:val="1023"/>
        </w:numPr>
        <w:pStyle w:val="Compact"/>
      </w:pPr>
      <w:r>
        <w:rPr>
          <w:bCs/>
          <w:b/>
        </w:rPr>
        <w:t xml:space="preserve">20 décembre 2013</w:t>
      </w:r>
      <w:r>
        <w:t xml:space="preserve"> </w:t>
      </w:r>
      <w:r>
        <w:t xml:space="preserve">— Second tour de la présidentielle.</w:t>
      </w:r>
      <w:r>
        <w:t xml:space="preserve"> </w:t>
      </w:r>
      <w:r>
        <w:rPr>
          <w:bCs/>
          <w:b/>
        </w:rPr>
        <w:t xml:space="preserve">Hery Rajaonarimampianina</w:t>
      </w:r>
      <w:r>
        <w:t xml:space="preserve">, soutenu par Rajoelina, l’emporte. Retour des bailleurs, réintégration dans l’UA et la SADC en 2014.</w:t>
      </w:r>
      <w:r>
        <w:t xml:space="preserve"> </w:t>
      </w:r>
      <w:r>
        <w:rPr>
          <w:bCs/>
          <w:b/>
        </w:rPr>
        <w:t xml:space="preserve">[SÛR]</w:t>
      </w:r>
    </w:p>
    <w:bookmarkEnd w:id="91"/>
    <w:bookmarkStart w:id="92" w:name="le-cycle-rajoelina-2018-2023"/>
    <w:p>
      <w:pPr>
        <w:pStyle w:val="Heading3"/>
      </w:pPr>
      <w:r>
        <w:t xml:space="preserve">Le cycle Rajoelina (2018-2023)</w:t>
      </w:r>
    </w:p>
    <w:p>
      <w:pPr>
        <w:numPr>
          <w:ilvl w:val="0"/>
          <w:numId w:val="1024"/>
        </w:numPr>
        <w:pStyle w:val="Compact"/>
      </w:pPr>
      <w:r>
        <w:rPr>
          <w:bCs/>
          <w:b/>
        </w:rPr>
        <w:t xml:space="preserve">2018</w:t>
      </w:r>
      <w:r>
        <w:t xml:space="preserve"> </w:t>
      </w:r>
      <w:r>
        <w:t xml:space="preserve">— Crise politique au printemps (lois électorales contestées, manifestations, arbitrage de la HCC). Présidentielle en novembre-décembre :</w:t>
      </w:r>
      <w:r>
        <w:t xml:space="preserve"> </w:t>
      </w:r>
      <w:r>
        <w:rPr>
          <w:bCs/>
          <w:b/>
        </w:rPr>
        <w:t xml:space="preserve">Rajoelina bat Ravalomanana</w:t>
      </w:r>
      <w:r>
        <w:t xml:space="preserve"> </w:t>
      </w:r>
      <w:r>
        <w:t xml:space="preserve">au second tour.</w:t>
      </w:r>
      <w:r>
        <w:t xml:space="preserve"> </w:t>
      </w:r>
      <w:r>
        <w:rPr>
          <w:bCs/>
          <w:b/>
        </w:rPr>
        <w:t xml:space="preserve">[SÛR]</w:t>
      </w:r>
    </w:p>
    <w:p>
      <w:pPr>
        <w:numPr>
          <w:ilvl w:val="0"/>
          <w:numId w:val="1024"/>
        </w:numPr>
        <w:pStyle w:val="Compact"/>
      </w:pPr>
      <w:r>
        <w:rPr>
          <w:bCs/>
          <w:b/>
        </w:rPr>
        <w:t xml:space="preserve">20 avril 2020</w:t>
      </w:r>
      <w:r>
        <w:t xml:space="preserve"> </w:t>
      </w:r>
      <w:r>
        <w:t xml:space="preserve">— Lancement en grande pompe du</w:t>
      </w:r>
      <w:r>
        <w:t xml:space="preserve"> </w:t>
      </w:r>
      <w:r>
        <w:rPr>
          <w:bCs/>
          <w:b/>
        </w:rPr>
        <w:t xml:space="preserve">Covid-Organics</w:t>
      </w:r>
      <w:r>
        <w:t xml:space="preserve">, tisane à base d’</w:t>
      </w:r>
      <w:r>
        <w:rPr>
          <w:iCs/>
          <w:i/>
        </w:rPr>
        <w:t xml:space="preserve">artemisia</w:t>
      </w:r>
      <w:r>
        <w:t xml:space="preserve"> </w:t>
      </w:r>
      <w:r>
        <w:t xml:space="preserve">présentée comme remède préventif et curatif. L’OMS met en garde contre la promotion de produits non testés.</w:t>
      </w:r>
      <w:r>
        <w:t xml:space="preserve"> </w:t>
      </w:r>
      <w:r>
        <w:rPr>
          <w:bCs/>
          <w:b/>
        </w:rPr>
        <w:t xml:space="preserve">Aucune preuve d’efficacité n’a jamais été établie.</w:t>
      </w:r>
      <w:r>
        <w:t xml:space="preserve"> </w:t>
      </w:r>
      <w:r>
        <w:rPr>
          <w:bCs/>
          <w:b/>
        </w:rPr>
        <w:t xml:space="preserve">[SÛR]</w:t>
      </w:r>
      <w:r>
        <w:t xml:space="preserve"> </w:t>
      </w:r>
      <w:r>
        <w:t xml:space="preserve">pour les faits ;</w:t>
      </w:r>
      <w:r>
        <w:t xml:space="preserve"> </w:t>
      </w:r>
      <w:r>
        <w:rPr>
          <w:bCs/>
          <w:b/>
        </w:rPr>
        <w:t xml:space="preserve">[CONTROVERSÉ]</w:t>
      </w:r>
      <w:r>
        <w:t xml:space="preserve"> </w:t>
      </w:r>
      <w:r>
        <w:t xml:space="preserve">pour le récit officiel.</w:t>
      </w:r>
    </w:p>
    <w:p>
      <w:pPr>
        <w:numPr>
          <w:ilvl w:val="0"/>
          <w:numId w:val="1024"/>
        </w:numPr>
        <w:pStyle w:val="Compact"/>
      </w:pPr>
      <w:r>
        <w:rPr>
          <w:bCs/>
          <w:b/>
        </w:rPr>
        <w:t xml:space="preserve">2020-2022</w:t>
      </w:r>
      <w:r>
        <w:t xml:space="preserve"> </w:t>
      </w:r>
      <w:r>
        <w:t xml:space="preserve">—</w:t>
      </w:r>
      <w:r>
        <w:t xml:space="preserve"> </w:t>
      </w:r>
      <w:r>
        <w:rPr>
          <w:iCs/>
          <w:i/>
          <w:bCs/>
          <w:b/>
        </w:rPr>
        <w:t xml:space="preserve">Kere</w:t>
      </w:r>
      <w:r>
        <w:t xml:space="preserve"> </w:t>
      </w:r>
      <w:r>
        <w:t xml:space="preserve">(famine) dans le Grand Sud. Le PAM et des responsables onusiens parlent de « première famine causée par le changement climatique ».</w:t>
      </w:r>
      <w:r>
        <w:t xml:space="preserve"> </w:t>
      </w:r>
      <w:r>
        <w:rPr>
          <w:bCs/>
          <w:b/>
        </w:rPr>
        <w:t xml:space="preserve">[CONTROVERSÉ]</w:t>
      </w:r>
    </w:p>
    <w:p>
      <w:pPr>
        <w:numPr>
          <w:ilvl w:val="0"/>
          <w:numId w:val="1024"/>
        </w:numPr>
        <w:pStyle w:val="Compact"/>
      </w:pPr>
      <w:r>
        <w:rPr>
          <w:bCs/>
          <w:b/>
        </w:rPr>
        <w:t xml:space="preserve">1er décembre 2021</w:t>
      </w:r>
      <w:r>
        <w:t xml:space="preserve"> </w:t>
      </w:r>
      <w:r>
        <w:t xml:space="preserve">— L’étude de</w:t>
      </w:r>
      <w:r>
        <w:t xml:space="preserve"> </w:t>
      </w:r>
      <w:r>
        <w:rPr>
          <w:bCs/>
          <w:b/>
        </w:rPr>
        <w:t xml:space="preserve">World Weather Attribution</w:t>
      </w:r>
      <w:r>
        <w:t xml:space="preserve"> </w:t>
      </w:r>
      <w:r>
        <w:t xml:space="preserve">conclut que le déficit pluviométrique 2019-2021</w:t>
      </w:r>
      <w:r>
        <w:t xml:space="preserve"> </w:t>
      </w:r>
      <w:r>
        <w:rPr>
          <w:bCs/>
          <w:b/>
        </w:rPr>
        <w:t xml:space="preserve">n’a pas</w:t>
      </w:r>
      <w:r>
        <w:t xml:space="preserve"> </w:t>
      </w:r>
      <w:r>
        <w:t xml:space="preserve">été significativement accru par le changement climatique d’origine humaine, et que les moteurs principaux de l’insécurité alimentaire sont la pauvreté extrême, l’agriculture pluviale de subsistance, les restrictions Covid et les ravageurs.</w:t>
      </w:r>
      <w:r>
        <w:t xml:space="preserve"> </w:t>
      </w:r>
      <w:r>
        <w:rPr>
          <w:bCs/>
          <w:b/>
        </w:rPr>
        <w:t xml:space="preserve">[SÛR]</w:t>
      </w:r>
    </w:p>
    <w:p>
      <w:pPr>
        <w:numPr>
          <w:ilvl w:val="0"/>
          <w:numId w:val="1024"/>
        </w:numPr>
        <w:pStyle w:val="Compact"/>
      </w:pPr>
      <w:r>
        <w:rPr>
          <w:bCs/>
          <w:b/>
        </w:rPr>
        <w:t xml:space="preserve">Février 2022</w:t>
      </w:r>
      <w:r>
        <w:t xml:space="preserve"> </w:t>
      </w:r>
      <w:r>
        <w:t xml:space="preserve">— Cyclone</w:t>
      </w:r>
      <w:r>
        <w:t xml:space="preserve"> </w:t>
      </w:r>
      <w:r>
        <w:rPr>
          <w:bCs/>
          <w:b/>
        </w:rPr>
        <w:t xml:space="preserve">Batsirai</w:t>
      </w:r>
      <w:r>
        <w:t xml:space="preserve"> </w:t>
      </w:r>
      <w:r>
        <w:t xml:space="preserve">: au moins 92 morts (OCHA, bilan provisoire). Puis</w:t>
      </w:r>
      <w:r>
        <w:t xml:space="preserve"> </w:t>
      </w:r>
      <w:r>
        <w:rPr>
          <w:bCs/>
          <w:b/>
        </w:rPr>
        <w:t xml:space="preserve">Emnati</w:t>
      </w:r>
      <w:r>
        <w:t xml:space="preserve"> </w:t>
      </w:r>
      <w:r>
        <w:t xml:space="preserve">: 14 morts, plus de 153 000 sinistrés.</w:t>
      </w:r>
      <w:r>
        <w:t xml:space="preserve"> </w:t>
      </w:r>
      <w:r>
        <w:rPr>
          <w:bCs/>
          <w:b/>
        </w:rPr>
        <w:t xml:space="preserve">[SÛR]</w:t>
      </w:r>
    </w:p>
    <w:p>
      <w:pPr>
        <w:numPr>
          <w:ilvl w:val="0"/>
          <w:numId w:val="1024"/>
        </w:numPr>
        <w:pStyle w:val="Compact"/>
      </w:pPr>
      <w:r>
        <w:rPr>
          <w:bCs/>
          <w:b/>
        </w:rPr>
        <w:t xml:space="preserve">Janvier 2023</w:t>
      </w:r>
      <w:r>
        <w:t xml:space="preserve"> </w:t>
      </w:r>
      <w:r>
        <w:t xml:space="preserve">— Plus de</w:t>
      </w:r>
      <w:r>
        <w:t xml:space="preserve"> </w:t>
      </w:r>
      <w:r>
        <w:rPr>
          <w:bCs/>
          <w:b/>
        </w:rPr>
        <w:t xml:space="preserve">2 millions de personnes</w:t>
      </w:r>
      <w:r>
        <w:t xml:space="preserve"> </w:t>
      </w:r>
      <w:r>
        <w:t xml:space="preserve">en insécurité alimentaire élevée (ONU).</w:t>
      </w:r>
      <w:r>
        <w:t xml:space="preserve"> </w:t>
      </w:r>
      <w:r>
        <w:rPr>
          <w:bCs/>
          <w:b/>
        </w:rPr>
        <w:t xml:space="preserve">[SÛR]</w:t>
      </w:r>
    </w:p>
    <w:p>
      <w:pPr>
        <w:numPr>
          <w:ilvl w:val="0"/>
          <w:numId w:val="1024"/>
        </w:numPr>
        <w:pStyle w:val="Compact"/>
      </w:pPr>
      <w:r>
        <w:rPr>
          <w:bCs/>
          <w:b/>
        </w:rPr>
        <w:t xml:space="preserve">Février 2023</w:t>
      </w:r>
      <w:r>
        <w:t xml:space="preserve"> </w:t>
      </w:r>
      <w:r>
        <w:t xml:space="preserve">— Cyclone</w:t>
      </w:r>
      <w:r>
        <w:t xml:space="preserve"> </w:t>
      </w:r>
      <w:r>
        <w:rPr>
          <w:bCs/>
          <w:b/>
        </w:rPr>
        <w:t xml:space="preserve">Freddy</w:t>
      </w:r>
      <w:r>
        <w:t xml:space="preserve"> </w:t>
      </w:r>
      <w:r>
        <w:t xml:space="preserve">: plus de 100 000 sinistrés.</w:t>
      </w:r>
      <w:r>
        <w:t xml:space="preserve"> </w:t>
      </w:r>
      <w:r>
        <w:rPr>
          <w:bCs/>
          <w:b/>
        </w:rPr>
        <w:t xml:space="preserve">[SÛR]</w:t>
      </w:r>
    </w:p>
    <w:p>
      <w:pPr>
        <w:numPr>
          <w:ilvl w:val="0"/>
          <w:numId w:val="1024"/>
        </w:numPr>
        <w:pStyle w:val="Compact"/>
      </w:pPr>
      <w:r>
        <w:rPr>
          <w:bCs/>
          <w:b/>
        </w:rPr>
        <w:t xml:space="preserve">Juin 2023</w:t>
      </w:r>
      <w:r>
        <w:t xml:space="preserve"> </w:t>
      </w:r>
      <w:r>
        <w:t xml:space="preserve">— Révélation de documents attestant que</w:t>
      </w:r>
      <w:r>
        <w:t xml:space="preserve"> </w:t>
      </w:r>
      <w:r>
        <w:rPr>
          <w:bCs/>
          <w:b/>
        </w:rPr>
        <w:t xml:space="preserve">Rajoelina a acquis la nationalité française en 2014</w:t>
      </w:r>
      <w:r>
        <w:t xml:space="preserve">, dissimulée pendant neuf ans.</w:t>
      </w:r>
      <w:r>
        <w:t xml:space="preserve"> </w:t>
      </w:r>
      <w:r>
        <w:rPr>
          <w:bCs/>
          <w:b/>
        </w:rPr>
        <w:t xml:space="preserve">[SÛR]</w:t>
      </w:r>
      <w:r>
        <w:t xml:space="preserve"> </w:t>
      </w:r>
      <w:r>
        <w:t xml:space="preserve">pour le fait ;</w:t>
      </w:r>
      <w:r>
        <w:t xml:space="preserve"> </w:t>
      </w:r>
      <w:r>
        <w:rPr>
          <w:bCs/>
          <w:b/>
        </w:rPr>
        <w:t xml:space="preserve">[CONTROVERSÉ]</w:t>
      </w:r>
      <w:r>
        <w:t xml:space="preserve"> </w:t>
      </w:r>
      <w:r>
        <w:t xml:space="preserve">pour son effet juridique (perte automatique de la nationalité malgache).</w:t>
      </w:r>
    </w:p>
    <w:p>
      <w:pPr>
        <w:numPr>
          <w:ilvl w:val="0"/>
          <w:numId w:val="1024"/>
        </w:numPr>
        <w:pStyle w:val="Compact"/>
      </w:pPr>
      <w:r>
        <w:rPr>
          <w:bCs/>
          <w:b/>
        </w:rPr>
        <w:t xml:space="preserve">24 août 2023</w:t>
      </w:r>
      <w:r>
        <w:t xml:space="preserve"> </w:t>
      </w:r>
      <w:r>
        <w:t xml:space="preserve">— La HCC juge « irrecevable », pour cause de hors-délai, la demande d’invalidation de sa candidature.</w:t>
      </w:r>
      <w:r>
        <w:t xml:space="preserve"> </w:t>
      </w:r>
      <w:r>
        <w:rPr>
          <w:bCs/>
          <w:b/>
        </w:rPr>
        <w:t xml:space="preserve">[SÛR]</w:t>
      </w:r>
    </w:p>
    <w:p>
      <w:pPr>
        <w:numPr>
          <w:ilvl w:val="0"/>
          <w:numId w:val="1024"/>
        </w:numPr>
        <w:pStyle w:val="Compact"/>
      </w:pPr>
      <w:r>
        <w:rPr>
          <w:bCs/>
          <w:b/>
        </w:rPr>
        <w:t xml:space="preserve">16 novembre 2023</w:t>
      </w:r>
      <w:r>
        <w:t xml:space="preserve"> </w:t>
      </w:r>
      <w:r>
        <w:t xml:space="preserve">— Présidentielle. Dix des douze adversaires — le « collectif des 10 » —</w:t>
      </w:r>
      <w:r>
        <w:t xml:space="preserve"> </w:t>
      </w:r>
      <w:r>
        <w:rPr>
          <w:bCs/>
          <w:b/>
        </w:rPr>
        <w:t xml:space="preserve">boycottent</w:t>
      </w:r>
      <w:r>
        <w:t xml:space="preserve">. Rajoelina est réélu au premier tour avec ~59 %. Participation officielle :</w:t>
      </w:r>
      <w:r>
        <w:t xml:space="preserve"> </w:t>
      </w:r>
      <w:r>
        <w:rPr>
          <w:bCs/>
          <w:b/>
        </w:rPr>
        <w:t xml:space="preserve">46 %</w:t>
      </w:r>
      <w:r>
        <w:t xml:space="preserve"> </w:t>
      </w:r>
      <w:r>
        <w:t xml:space="preserve">; l’opposition avance environ 20 %. Validation par la HCC le 1er décembre.</w:t>
      </w:r>
      <w:r>
        <w:t xml:space="preserve"> </w:t>
      </w:r>
      <w:r>
        <w:rPr>
          <w:bCs/>
          <w:b/>
        </w:rPr>
        <w:t xml:space="preserve">[SÛR]</w:t>
      </w:r>
      <w:r>
        <w:t xml:space="preserve"> </w:t>
      </w:r>
      <w:r>
        <w:t xml:space="preserve">pour les chiffres officiels ;</w:t>
      </w:r>
      <w:r>
        <w:t xml:space="preserve"> </w:t>
      </w:r>
      <w:r>
        <w:rPr>
          <w:bCs/>
          <w:b/>
        </w:rPr>
        <w:t xml:space="preserve">[CONTROVERSÉ]</w:t>
      </w:r>
      <w:r>
        <w:t xml:space="preserve"> </w:t>
      </w:r>
      <w:r>
        <w:t xml:space="preserve">pour leur sincérité.</w:t>
      </w:r>
    </w:p>
    <w:bookmarkEnd w:id="92"/>
    <w:bookmarkStart w:id="93" w:name="lusure"/>
    <w:p>
      <w:pPr>
        <w:pStyle w:val="Heading3"/>
      </w:pPr>
      <w:r>
        <w:t xml:space="preserve">2024 : l’usure</w:t>
      </w:r>
    </w:p>
    <w:p>
      <w:pPr>
        <w:numPr>
          <w:ilvl w:val="0"/>
          <w:numId w:val="1025"/>
        </w:numPr>
        <w:pStyle w:val="Compact"/>
      </w:pPr>
      <w:r>
        <w:rPr>
          <w:bCs/>
          <w:b/>
        </w:rPr>
        <w:t xml:space="preserve">29 mai 2024</w:t>
      </w:r>
      <w:r>
        <w:t xml:space="preserve"> </w:t>
      </w:r>
      <w:r>
        <w:t xml:space="preserve">— Législatives, participation 48 % (contre 43 % en 2019). La coalition présidentielle IRMAR obtient d’abord 78 sièges — sous la majorité absolue.</w:t>
      </w:r>
      <w:r>
        <w:t xml:space="preserve"> </w:t>
      </w:r>
      <w:r>
        <w:rPr>
          <w:bCs/>
          <w:b/>
        </w:rPr>
        <w:t xml:space="preserve">Le 27 juin, la Cour constitutionnelle lui restitue 4 sièges</w:t>
      </w:r>
      <w:r>
        <w:t xml:space="preserve">, la portant à 82, soit exactement le minimum requis. Plus de 100 recours croisés ; des observateurs signalent bulletins pré-remplis et achats de voix.</w:t>
      </w:r>
      <w:r>
        <w:t xml:space="preserve"> </w:t>
      </w:r>
      <w:r>
        <w:rPr>
          <w:bCs/>
          <w:b/>
        </w:rPr>
        <w:t xml:space="preserve">[SÛR]</w:t>
      </w:r>
      <w:r>
        <w:t xml:space="preserve"> </w:t>
      </w:r>
      <w:r>
        <w:t xml:space="preserve">pour les chiffres ;</w:t>
      </w:r>
      <w:r>
        <w:t xml:space="preserve"> </w:t>
      </w:r>
      <w:r>
        <w:rPr>
          <w:bCs/>
          <w:b/>
        </w:rPr>
        <w:t xml:space="preserve">[CONTROVERSÉ]</w:t>
      </w:r>
      <w:r>
        <w:t xml:space="preserve"> </w:t>
      </w:r>
      <w:r>
        <w:t xml:space="preserve">pour la régularité.</w:t>
      </w:r>
    </w:p>
    <w:p>
      <w:pPr>
        <w:numPr>
          <w:ilvl w:val="0"/>
          <w:numId w:val="1025"/>
        </w:numPr>
        <w:pStyle w:val="Compact"/>
      </w:pPr>
      <w:r>
        <w:rPr>
          <w:bCs/>
          <w:b/>
        </w:rPr>
        <w:t xml:space="preserve">2024</w:t>
      </w:r>
      <w:r>
        <w:t xml:space="preserve"> </w:t>
      </w:r>
      <w:r>
        <w:t xml:space="preserve">— Délestages massifs de la</w:t>
      </w:r>
      <w:r>
        <w:t xml:space="preserve"> </w:t>
      </w:r>
      <w:r>
        <w:rPr>
          <w:bCs/>
          <w:b/>
        </w:rPr>
        <w:t xml:space="preserve">JIRAMA</w:t>
      </w:r>
      <w:r>
        <w:t xml:space="preserve"> </w:t>
      </w:r>
      <w:r>
        <w:t xml:space="preserve">(électricité et eau), inflation, insécurité. La Banque mondiale avertit d’un risque accru de coupures en 2025-2026.</w:t>
      </w:r>
      <w:r>
        <w:t xml:space="preserve"> </w:t>
      </w:r>
      <w:r>
        <w:rPr>
          <w:bCs/>
          <w:b/>
        </w:rPr>
        <w:t xml:space="preserve">[SÛR]</w:t>
      </w:r>
    </w:p>
    <w:bookmarkEnd w:id="93"/>
    <w:bookmarkStart w:id="94" w:name="la-rupture"/>
    <w:p>
      <w:pPr>
        <w:pStyle w:val="Heading3"/>
      </w:pPr>
      <w:r>
        <w:t xml:space="preserve">2025 : la rupture</w:t>
      </w:r>
    </w:p>
    <w:p>
      <w:pPr>
        <w:numPr>
          <w:ilvl w:val="0"/>
          <w:numId w:val="1026"/>
        </w:numPr>
        <w:pStyle w:val="Compact"/>
      </w:pPr>
      <w:r>
        <w:rPr>
          <w:bCs/>
          <w:b/>
        </w:rPr>
        <w:t xml:space="preserve">25 septembre 2025</w:t>
      </w:r>
      <w:r>
        <w:t xml:space="preserve"> </w:t>
      </w:r>
      <w:r>
        <w:t xml:space="preserve">— Départ du mouvement</w:t>
      </w:r>
      <w:r>
        <w:t xml:space="preserve"> </w:t>
      </w:r>
      <w:r>
        <w:rPr>
          <w:bCs/>
          <w:b/>
        </w:rPr>
        <w:t xml:space="preserve">Gen Z Madagascar</w:t>
      </w:r>
      <w:r>
        <w:t xml:space="preserve"> </w:t>
      </w:r>
      <w:r>
        <w:t xml:space="preserve">: manifestations à Antananarivo contre les coupures d’eau et d’électricité, vite élargies à la corruption et au coût de la vie. Emblème : le</w:t>
      </w:r>
      <w:r>
        <w:t xml:space="preserve"> </w:t>
      </w:r>
      <w:r>
        <w:rPr>
          <w:bCs/>
          <w:b/>
        </w:rPr>
        <w:t xml:space="preserve">drapeau pirate du manga</w:t>
      </w:r>
      <w:r>
        <w:rPr>
          <w:bCs/>
          <w:b/>
        </w:rPr>
        <w:t xml:space="preserve"> </w:t>
      </w:r>
      <w:r>
        <w:rPr>
          <w:iCs/>
          <w:i/>
          <w:bCs/>
          <w:b/>
        </w:rPr>
        <w:t xml:space="preserve">One Piece</w:t>
      </w:r>
      <w:r>
        <w:t xml:space="preserve">.</w:t>
      </w:r>
      <w:r>
        <w:t xml:space="preserve"> </w:t>
      </w:r>
      <w:r>
        <w:rPr>
          <w:bCs/>
          <w:b/>
        </w:rPr>
        <w:t xml:space="preserve">[SÛR]</w:t>
      </w:r>
    </w:p>
    <w:p>
      <w:pPr>
        <w:numPr>
          <w:ilvl w:val="0"/>
          <w:numId w:val="1026"/>
        </w:numPr>
        <w:pStyle w:val="Compact"/>
      </w:pPr>
      <w:r>
        <w:rPr>
          <w:bCs/>
          <w:b/>
        </w:rPr>
        <w:t xml:space="preserve">Fin septembre 2025</w:t>
      </w:r>
      <w:r>
        <w:t xml:space="preserve"> </w:t>
      </w:r>
      <w:r>
        <w:t xml:space="preserve">— Répression : gaz lacrymogènes, tirs à balles réelles ; pillages ; couvre-feu. Le</w:t>
      </w:r>
      <w:r>
        <w:t xml:space="preserve"> </w:t>
      </w:r>
      <w:r>
        <w:rPr>
          <w:bCs/>
          <w:b/>
        </w:rPr>
        <w:t xml:space="preserve">HCDH</w:t>
      </w:r>
      <w:r>
        <w:t xml:space="preserve"> </w:t>
      </w:r>
      <w:r>
        <w:t xml:space="preserve">annonce</w:t>
      </w:r>
      <w:r>
        <w:t xml:space="preserve"> </w:t>
      </w:r>
      <w:r>
        <w:rPr>
          <w:bCs/>
          <w:b/>
        </w:rPr>
        <w:t xml:space="preserve">au moins 22 morts et plus de 100 blessés</w:t>
      </w:r>
      <w:r>
        <w:t xml:space="preserve"> </w:t>
      </w:r>
      <w:r>
        <w:t xml:space="preserve">et se dit « choqué ». Le pouvoir conteste ce bilan et l’impute largement aux pillages.</w:t>
      </w:r>
      <w:r>
        <w:t xml:space="preserve"> </w:t>
      </w:r>
      <w:r>
        <w:rPr>
          <w:bCs/>
          <w:b/>
        </w:rPr>
        <w:t xml:space="preserve">[SÛR]</w:t>
      </w:r>
      <w:r>
        <w:t xml:space="preserve"> </w:t>
      </w:r>
      <w:r>
        <w:t xml:space="preserve">pour le chiffre ONU ;</w:t>
      </w:r>
      <w:r>
        <w:t xml:space="preserve"> </w:t>
      </w:r>
      <w:r>
        <w:rPr>
          <w:bCs/>
          <w:b/>
        </w:rPr>
        <w:t xml:space="preserve">[CONTROVERSÉ]</w:t>
      </w:r>
      <w:r>
        <w:t xml:space="preserve"> </w:t>
      </w:r>
      <w:r>
        <w:t xml:space="preserve">pour le décompte réel et son imputation.</w:t>
      </w:r>
    </w:p>
    <w:p>
      <w:pPr>
        <w:numPr>
          <w:ilvl w:val="0"/>
          <w:numId w:val="1026"/>
        </w:numPr>
        <w:pStyle w:val="Compact"/>
      </w:pPr>
      <w:r>
        <w:rPr>
          <w:bCs/>
          <w:b/>
        </w:rPr>
        <w:t xml:space="preserve">29 septembre 2025</w:t>
      </w:r>
      <w:r>
        <w:t xml:space="preserve"> </w:t>
      </w:r>
      <w:r>
        <w:t xml:space="preserve">— Rajoelina limoge le gouvernement de Christian Ntsay. La rue ne désarme pas.</w:t>
      </w:r>
      <w:r>
        <w:t xml:space="preserve"> </w:t>
      </w:r>
      <w:r>
        <w:rPr>
          <w:bCs/>
          <w:b/>
        </w:rPr>
        <w:t xml:space="preserve">[SÛR]</w:t>
      </w:r>
    </w:p>
    <w:p>
      <w:pPr>
        <w:numPr>
          <w:ilvl w:val="0"/>
          <w:numId w:val="1026"/>
        </w:numPr>
        <w:pStyle w:val="Compact"/>
      </w:pPr>
      <w:r>
        <w:rPr>
          <w:bCs/>
          <w:b/>
        </w:rPr>
        <w:t xml:space="preserve">11-12 octobre 2025</w:t>
      </w:r>
      <w:r>
        <w:t xml:space="preserve"> </w:t>
      </w:r>
      <w:r>
        <w:t xml:space="preserve">— L’unité</w:t>
      </w:r>
      <w:r>
        <w:t xml:space="preserve"> </w:t>
      </w:r>
      <w:r>
        <w:rPr>
          <w:bCs/>
          <w:b/>
        </w:rPr>
        <w:t xml:space="preserve">CAPSAT</w:t>
      </w:r>
      <w:r>
        <w:t xml:space="preserve"> </w:t>
      </w:r>
      <w:r>
        <w:t xml:space="preserve">— celle-là même qui avait porté Rajoelina au pouvoir en 2009 — se mutine, refuse de tirer et rejoint les manifestants ; elle annonce prendre le contrôle des forces armées. Le général</w:t>
      </w:r>
      <w:r>
        <w:t xml:space="preserve"> </w:t>
      </w:r>
      <w:r>
        <w:rPr>
          <w:bCs/>
          <w:b/>
        </w:rPr>
        <w:t xml:space="preserve">Démosthène Pikulas</w:t>
      </w:r>
      <w:r>
        <w:t xml:space="preserve"> </w:t>
      </w:r>
      <w:r>
        <w:t xml:space="preserve">est nommé chef d’état-major.</w:t>
      </w:r>
      <w:r>
        <w:t xml:space="preserve"> </w:t>
      </w:r>
      <w:r>
        <w:rPr>
          <w:bCs/>
          <w:b/>
        </w:rPr>
        <w:t xml:space="preserve">[SÛR]</w:t>
      </w:r>
    </w:p>
    <w:p>
      <w:pPr>
        <w:numPr>
          <w:ilvl w:val="0"/>
          <w:numId w:val="1026"/>
        </w:numPr>
        <w:pStyle w:val="Compact"/>
      </w:pPr>
      <w:r>
        <w:rPr>
          <w:bCs/>
          <w:b/>
        </w:rPr>
        <w:t xml:space="preserve">13-14 octobre 2025</w:t>
      </w:r>
      <w:r>
        <w:t xml:space="preserve"> </w:t>
      </w:r>
      <w:r>
        <w:t xml:space="preserve">— Rajoelina quitte le pays. Malgré un décret de dissolution,</w:t>
      </w:r>
      <w:r>
        <w:t xml:space="preserve"> </w:t>
      </w:r>
      <w:r>
        <w:rPr>
          <w:bCs/>
          <w:b/>
        </w:rPr>
        <w:t xml:space="preserve">l’Assemblée nationale vote sa destitution par 130 voix contre 1</w:t>
      </w:r>
      <w:r>
        <w:t xml:space="preserve"> </w:t>
      </w:r>
      <w:r>
        <w:t xml:space="preserve">pour « abandon de poste ». La Constitution de 2010 est suspendue.</w:t>
      </w:r>
      <w:r>
        <w:t xml:space="preserve"> </w:t>
      </w:r>
      <w:r>
        <w:rPr>
          <w:bCs/>
          <w:b/>
        </w:rPr>
        <w:t xml:space="preserve">[SÛR]</w:t>
      </w:r>
    </w:p>
    <w:p>
      <w:pPr>
        <w:numPr>
          <w:ilvl w:val="0"/>
          <w:numId w:val="1026"/>
        </w:numPr>
        <w:pStyle w:val="Compact"/>
      </w:pPr>
      <w:r>
        <w:rPr>
          <w:bCs/>
          <w:b/>
        </w:rPr>
        <w:t xml:space="preserve">17 octobre 2025</w:t>
      </w:r>
      <w:r>
        <w:t xml:space="preserve"> </w:t>
      </w:r>
      <w:r>
        <w:t xml:space="preserve">— Le colonel</w:t>
      </w:r>
      <w:r>
        <w:t xml:space="preserve"> </w:t>
      </w:r>
      <w:r>
        <w:rPr>
          <w:bCs/>
          <w:b/>
        </w:rPr>
        <w:t xml:space="preserve">Michaël Randrianirina</w:t>
      </w:r>
      <w:r>
        <w:t xml:space="preserve"> </w:t>
      </w:r>
      <w:r>
        <w:t xml:space="preserve">est investi</w:t>
      </w:r>
      <w:r>
        <w:t xml:space="preserve"> </w:t>
      </w:r>
      <w:r>
        <w:rPr>
          <w:bCs/>
          <w:b/>
        </w:rPr>
        <w:t xml:space="preserve">« président de la Refondation »</w:t>
      </w:r>
      <w:r>
        <w:t xml:space="preserve">.</w:t>
      </w:r>
      <w:r>
        <w:t xml:space="preserve"> </w:t>
      </w:r>
      <w:r>
        <w:rPr>
          <w:bCs/>
          <w:b/>
        </w:rPr>
        <w:t xml:space="preserve">L’Union africaine suspend Madagascar.</w:t>
      </w:r>
      <w:r>
        <w:t xml:space="preserve"> </w:t>
      </w:r>
      <w:r>
        <w:t xml:space="preserve">L’ONU, la SADC et l’UE dénoncent un changement anticonstitutionnel.</w:t>
      </w:r>
      <w:r>
        <w:t xml:space="preserve"> </w:t>
      </w:r>
      <w:r>
        <w:rPr>
          <w:bCs/>
          <w:b/>
        </w:rPr>
        <w:t xml:space="preserve">[SÛR]</w:t>
      </w:r>
    </w:p>
    <w:p>
      <w:pPr>
        <w:numPr>
          <w:ilvl w:val="0"/>
          <w:numId w:val="1026"/>
        </w:numPr>
        <w:pStyle w:val="Compact"/>
      </w:pPr>
      <w:r>
        <w:rPr>
          <w:bCs/>
          <w:b/>
        </w:rPr>
        <w:t xml:space="preserve">20 octobre 2025</w:t>
      </w:r>
      <w:r>
        <w:t xml:space="preserve"> </w:t>
      </w:r>
      <w:r>
        <w:t xml:space="preserve">—</w:t>
      </w:r>
      <w:r>
        <w:t xml:space="preserve"> </w:t>
      </w:r>
      <w:r>
        <w:rPr>
          <w:bCs/>
          <w:b/>
        </w:rPr>
        <w:t xml:space="preserve">Herintsalama Rajaonarivelo</w:t>
      </w:r>
      <w:r>
        <w:t xml:space="preserve">, civil, est nommé Premier ministre. Assemblée et Sénat sont maintenus mais encadrés ; la HCC légalise le changement de régime.</w:t>
      </w:r>
      <w:r>
        <w:t xml:space="preserve"> </w:t>
      </w:r>
      <w:r>
        <w:rPr>
          <w:bCs/>
          <w:b/>
        </w:rPr>
        <w:t xml:space="preserve">[SÛR]</w:t>
      </w:r>
    </w:p>
    <w:p>
      <w:pPr>
        <w:numPr>
          <w:ilvl w:val="0"/>
          <w:numId w:val="1026"/>
        </w:numPr>
        <w:pStyle w:val="Compact"/>
      </w:pPr>
      <w:r>
        <w:rPr>
          <w:bCs/>
          <w:b/>
        </w:rPr>
        <w:t xml:space="preserve">25 octobre 2025</w:t>
      </w:r>
      <w:r>
        <w:t xml:space="preserve"> </w:t>
      </w:r>
      <w:r>
        <w:t xml:space="preserve">— La nationalité malgache de Rajoelina est déclarée perdue du fait de sa naturalisation française.</w:t>
      </w:r>
      <w:r>
        <w:t xml:space="preserve"> </w:t>
      </w:r>
      <w:r>
        <w:rPr>
          <w:bCs/>
          <w:b/>
        </w:rPr>
        <w:t xml:space="preserve">[PROBABLE]</w:t>
      </w:r>
      <w:r>
        <w:t xml:space="preserve"> </w:t>
      </w:r>
      <w:r>
        <w:t xml:space="preserve">— contesté par ses avocats.</w:t>
      </w:r>
    </w:p>
    <w:p>
      <w:pPr>
        <w:numPr>
          <w:ilvl w:val="0"/>
          <w:numId w:val="1026"/>
        </w:numPr>
        <w:pStyle w:val="Compact"/>
      </w:pPr>
      <w:r>
        <w:rPr>
          <w:bCs/>
          <w:b/>
        </w:rPr>
        <w:t xml:space="preserve">Novembre 2025</w:t>
      </w:r>
      <w:r>
        <w:t xml:space="preserve"> </w:t>
      </w:r>
      <w:r>
        <w:t xml:space="preserve">— L’homme d’affaires</w:t>
      </w:r>
      <w:r>
        <w:t xml:space="preserve"> </w:t>
      </w:r>
      <w:r>
        <w:rPr>
          <w:bCs/>
          <w:b/>
        </w:rPr>
        <w:t xml:space="preserve">Mamy Ravatomanga</w:t>
      </w:r>
      <w:r>
        <w:t xml:space="preserve">, symbole économique de l’ère Rajoelina, est placé en détention.</w:t>
      </w:r>
      <w:r>
        <w:t xml:space="preserve"> </w:t>
      </w:r>
      <w:r>
        <w:rPr>
          <w:bCs/>
          <w:b/>
        </w:rPr>
        <w:t xml:space="preserve">[SÛR]</w:t>
      </w:r>
    </w:p>
    <w:bookmarkEnd w:id="94"/>
    <w:bookmarkStart w:id="95" w:name="janvier-août"/>
    <w:p>
      <w:pPr>
        <w:pStyle w:val="Heading3"/>
      </w:pPr>
      <w:r>
        <w:t xml:space="preserve">2026 (janvier – août)</w:t>
      </w:r>
    </w:p>
    <w:p>
      <w:pPr>
        <w:numPr>
          <w:ilvl w:val="0"/>
          <w:numId w:val="1027"/>
        </w:numPr>
        <w:pStyle w:val="Compact"/>
      </w:pPr>
      <w:r>
        <w:rPr>
          <w:bCs/>
          <w:b/>
        </w:rPr>
        <w:t xml:space="preserve">1er-2 février 2026</w:t>
      </w:r>
      <w:r>
        <w:t xml:space="preserve"> </w:t>
      </w:r>
      <w:r>
        <w:t xml:space="preserve">— Cyclone</w:t>
      </w:r>
      <w:r>
        <w:t xml:space="preserve"> </w:t>
      </w:r>
      <w:r>
        <w:rPr>
          <w:bCs/>
          <w:b/>
        </w:rPr>
        <w:t xml:space="preserve">Fytia</w:t>
      </w:r>
      <w:r>
        <w:t xml:space="preserve"> </w:t>
      </w:r>
      <w:r>
        <w:t xml:space="preserve">(Nord-Ouest, Soalala) : 3 morts, 1 disparu, 28 368 déplacés, 813 maisons détruites (BNGRC). Impact le plus fort sur ce secteur depuis 1983.</w:t>
      </w:r>
      <w:r>
        <w:t xml:space="preserve"> </w:t>
      </w:r>
      <w:r>
        <w:rPr>
          <w:bCs/>
          <w:b/>
        </w:rPr>
        <w:t xml:space="preserve">[SÛR]</w:t>
      </w:r>
    </w:p>
    <w:p>
      <w:pPr>
        <w:numPr>
          <w:ilvl w:val="0"/>
          <w:numId w:val="1027"/>
        </w:numPr>
        <w:pStyle w:val="Compact"/>
      </w:pPr>
      <w:r>
        <w:rPr>
          <w:bCs/>
          <w:b/>
        </w:rPr>
        <w:t xml:space="preserve">11-16 février 2026</w:t>
      </w:r>
      <w:r>
        <w:t xml:space="preserve"> </w:t>
      </w:r>
      <w:r>
        <w:t xml:space="preserve">— Cyclone intense</w:t>
      </w:r>
      <w:r>
        <w:t xml:space="preserve"> </w:t>
      </w:r>
      <w:r>
        <w:rPr>
          <w:bCs/>
          <w:b/>
        </w:rPr>
        <w:t xml:space="preserve">Gezani</w:t>
      </w:r>
      <w:r>
        <w:t xml:space="preserve"> </w:t>
      </w:r>
      <w:r>
        <w:t xml:space="preserve">(Toamasina et Est) : bilan alourdi progressivement jusqu’à</w:t>
      </w:r>
      <w:r>
        <w:t xml:space="preserve"> </w:t>
      </w:r>
      <w:r>
        <w:rPr>
          <w:bCs/>
          <w:b/>
        </w:rPr>
        <w:t xml:space="preserve">59 morts, 15 disparus, ~424 000 sinistrés</w:t>
      </w:r>
      <w:r>
        <w:t xml:space="preserve">.</w:t>
      </w:r>
      <w:r>
        <w:t xml:space="preserve"> </w:t>
      </w:r>
      <w:r>
        <w:rPr>
          <w:bCs/>
          <w:b/>
        </w:rPr>
        <w:t xml:space="preserve">[SÛR]</w:t>
      </w:r>
    </w:p>
    <w:p>
      <w:pPr>
        <w:numPr>
          <w:ilvl w:val="0"/>
          <w:numId w:val="1027"/>
        </w:numPr>
        <w:pStyle w:val="Compact"/>
      </w:pPr>
      <w:r>
        <w:rPr>
          <w:bCs/>
          <w:b/>
        </w:rPr>
        <w:t xml:space="preserve">24 février 2026</w:t>
      </w:r>
      <w:r>
        <w:t xml:space="preserve"> </w:t>
      </w:r>
      <w:r>
        <w:t xml:space="preserve">— Randrianirina reçu à l’Élysée par Emmanuel Macron. Communiqué conjoint : « partenariat renouvelé, équilibré », 70 M€ de nouveaux investissements annoncés depuis octobre (barrage de Volobe, ports), soutien au calendrier de 24 mois, aide d’urgence post-cyclones.</w:t>
      </w:r>
      <w:r>
        <w:t xml:space="preserve"> </w:t>
      </w:r>
      <w:r>
        <w:rPr>
          <w:bCs/>
          <w:b/>
        </w:rPr>
        <w:t xml:space="preserve">Les îles Éparses ne figurent pas dans le communiqué.</w:t>
      </w:r>
      <w:r>
        <w:t xml:space="preserve"> </w:t>
      </w:r>
      <w:r>
        <w:rPr>
          <w:bCs/>
          <w:b/>
        </w:rPr>
        <w:t xml:space="preserve">[SÛR]</w:t>
      </w:r>
    </w:p>
    <w:p>
      <w:pPr>
        <w:numPr>
          <w:ilvl w:val="0"/>
          <w:numId w:val="1027"/>
        </w:numPr>
        <w:pStyle w:val="Compact"/>
      </w:pPr>
      <w:r>
        <w:rPr>
          <w:bCs/>
          <w:b/>
        </w:rPr>
        <w:t xml:space="preserve">10 mars 2026</w:t>
      </w:r>
      <w:r>
        <w:t xml:space="preserve"> </w:t>
      </w:r>
      <w:r>
        <w:t xml:space="preserve">— Randrianirina</w:t>
      </w:r>
      <w:r>
        <w:t xml:space="preserve"> </w:t>
      </w:r>
      <w:r>
        <w:rPr>
          <w:bCs/>
          <w:b/>
        </w:rPr>
        <w:t xml:space="preserve">suspend le gouvernement et limoge son Premier ministre</w:t>
      </w:r>
      <w:r>
        <w:t xml:space="preserve">, moins de cinq mois après sa nomination,</w:t>
      </w:r>
      <w:r>
        <w:t xml:space="preserve"> </w:t>
      </w:r>
      <w:r>
        <w:rPr>
          <w:bCs/>
          <w:b/>
        </w:rPr>
        <w:t xml:space="preserve">sans explication publique</w:t>
      </w:r>
      <w:r>
        <w:t xml:space="preserve">.</w:t>
      </w:r>
      <w:r>
        <w:t xml:space="preserve"> </w:t>
      </w:r>
      <w:r>
        <w:rPr>
          <w:bCs/>
          <w:b/>
        </w:rPr>
        <w:t xml:space="preserve">[SÛR]</w:t>
      </w:r>
    </w:p>
    <w:p>
      <w:pPr>
        <w:numPr>
          <w:ilvl w:val="0"/>
          <w:numId w:val="1027"/>
        </w:numPr>
        <w:pStyle w:val="Compact"/>
      </w:pPr>
      <w:r>
        <w:rPr>
          <w:bCs/>
          <w:b/>
        </w:rPr>
        <w:t xml:space="preserve">15-16 mars 2026</w:t>
      </w:r>
      <w:r>
        <w:t xml:space="preserve"> </w:t>
      </w:r>
      <w:r>
        <w:t xml:space="preserve">—</w:t>
      </w:r>
      <w:r>
        <w:t xml:space="preserve"> </w:t>
      </w:r>
      <w:r>
        <w:rPr>
          <w:bCs/>
          <w:b/>
        </w:rPr>
        <w:t xml:space="preserve">Mamitiana Rajaonarison</w:t>
      </w:r>
      <w:r>
        <w:t xml:space="preserve">, chef du renseignement financier (cellule anti-blanchiment), est nommé Premier ministre — pari affiché sur l’anticorruption. Nouveau gouvernement fin mars.</w:t>
      </w:r>
      <w:r>
        <w:t xml:space="preserve"> </w:t>
      </w:r>
      <w:r>
        <w:rPr>
          <w:bCs/>
          <w:b/>
        </w:rPr>
        <w:t xml:space="preserve">[SÛR]</w:t>
      </w:r>
    </w:p>
    <w:p>
      <w:pPr>
        <w:numPr>
          <w:ilvl w:val="0"/>
          <w:numId w:val="1027"/>
        </w:numPr>
        <w:pStyle w:val="Compact"/>
      </w:pPr>
      <w:r>
        <w:rPr>
          <w:bCs/>
          <w:b/>
        </w:rPr>
        <w:t xml:space="preserve">30 mars 2026</w:t>
      </w:r>
      <w:r>
        <w:t xml:space="preserve"> </w:t>
      </w:r>
      <w:r>
        <w:t xml:space="preserve">— Rapport Amnesty International : arrestations arbitraires mensuelles de proches de l’ancien régime, aucune enquête sur les morts de septembre-octobre 2025, mise à l’écart des jeunes, des femmes et de la société civile (~600 nominations sans consultation).</w:t>
      </w:r>
      <w:r>
        <w:t xml:space="preserve"> </w:t>
      </w:r>
      <w:r>
        <w:rPr>
          <w:bCs/>
          <w:b/>
        </w:rPr>
        <w:t xml:space="preserve">[SÛR]</w:t>
      </w:r>
    </w:p>
    <w:p>
      <w:pPr>
        <w:numPr>
          <w:ilvl w:val="0"/>
          <w:numId w:val="1027"/>
        </w:numPr>
        <w:pStyle w:val="Compact"/>
      </w:pPr>
      <w:r>
        <w:rPr>
          <w:bCs/>
          <w:b/>
        </w:rPr>
        <w:t xml:space="preserve">12 avril 2026</w:t>
      </w:r>
      <w:r>
        <w:t xml:space="preserve"> </w:t>
      </w:r>
      <w:r>
        <w:t xml:space="preserve">— Arrestation de quatre militants Gen Z à Antananarivo (« atteinte à la sûreté de l’État », « association de malfaiteurs ») ; deux libérés, deux poursuivis. Des dizaines d’ONG dénoncent des détentions arbitraires. Nouvelles interpellations nocturnes signalées en mai.</w:t>
      </w:r>
      <w:r>
        <w:t xml:space="preserve"> </w:t>
      </w:r>
      <w:r>
        <w:rPr>
          <w:bCs/>
          <w:b/>
        </w:rPr>
        <w:t xml:space="preserve">[SÛR]</w:t>
      </w:r>
    </w:p>
    <w:p>
      <w:pPr>
        <w:numPr>
          <w:ilvl w:val="0"/>
          <w:numId w:val="1027"/>
        </w:numPr>
        <w:pStyle w:val="Compact"/>
      </w:pPr>
      <w:r>
        <w:rPr>
          <w:bCs/>
          <w:b/>
        </w:rPr>
        <w:t xml:space="preserve">5-8 mai 2026</w:t>
      </w:r>
      <w:r>
        <w:t xml:space="preserve"> </w:t>
      </w:r>
      <w:r>
        <w:t xml:space="preserve">— Offensive judiciaire contre Rajoelina (détournement de fonds, gestion de la crise Covid), via une mise en accusation parlementaire devant la Haute Cour de justice.</w:t>
      </w:r>
      <w:r>
        <w:t xml:space="preserve"> </w:t>
      </w:r>
      <w:r>
        <w:rPr>
          <w:bCs/>
          <w:b/>
        </w:rPr>
        <w:t xml:space="preserve">[PROBABLE]</w:t>
      </w:r>
      <w:r>
        <w:t xml:space="preserve"> </w:t>
      </w:r>
      <w:r>
        <w:t xml:space="preserve">— aucun mandat d’arrêt international confirmé à ce stade.</w:t>
      </w:r>
    </w:p>
    <w:p>
      <w:pPr>
        <w:numPr>
          <w:ilvl w:val="0"/>
          <w:numId w:val="1027"/>
        </w:numPr>
        <w:pStyle w:val="Compact"/>
      </w:pPr>
      <w:r>
        <w:rPr>
          <w:bCs/>
          <w:b/>
        </w:rPr>
        <w:t xml:space="preserve">7 mai 2026</w:t>
      </w:r>
      <w:r>
        <w:t xml:space="preserve"> </w:t>
      </w:r>
      <w:r>
        <w:t xml:space="preserve">— La Banque mondiale lance</w:t>
      </w:r>
      <w:r>
        <w:t xml:space="preserve"> </w:t>
      </w:r>
      <w:r>
        <w:rPr>
          <w:bCs/>
          <w:b/>
        </w:rPr>
        <w:t xml:space="preserve">ASCENT Madagascar</w:t>
      </w:r>
      <w:r>
        <w:t xml:space="preserve">, 250 M$, pour connecter plus de 2,5 millions de personnes à l’électricité d’ici 2030.</w:t>
      </w:r>
      <w:r>
        <w:t xml:space="preserve"> </w:t>
      </w:r>
      <w:r>
        <w:rPr>
          <w:bCs/>
          <w:b/>
        </w:rPr>
        <w:t xml:space="preserve">[SÛR]</w:t>
      </w:r>
    </w:p>
    <w:p>
      <w:pPr>
        <w:numPr>
          <w:ilvl w:val="0"/>
          <w:numId w:val="1027"/>
        </w:numPr>
        <w:pStyle w:val="Compact"/>
      </w:pPr>
      <w:r>
        <w:rPr>
          <w:bCs/>
          <w:b/>
        </w:rPr>
        <w:t xml:space="preserve">20 juin 2026</w:t>
      </w:r>
      <w:r>
        <w:t xml:space="preserve"> </w:t>
      </w:r>
      <w:r>
        <w:t xml:space="preserve">— Deux nouveaux juges prêtent serment à la HCC :</w:t>
      </w:r>
      <w:r>
        <w:t xml:space="preserve"> </w:t>
      </w:r>
      <w:r>
        <w:rPr>
          <w:bCs/>
          <w:b/>
        </w:rPr>
        <w:t xml:space="preserve">cinq des neuf conseillers sont désormais issus du pouvoir de la Refondation</w:t>
      </w:r>
      <w:r>
        <w:t xml:space="preserve"> </w:t>
      </w:r>
      <w:r>
        <w:t xml:space="preserve">; quatre membres avaient été accusés de « complot ».</w:t>
      </w:r>
      <w:r>
        <w:t xml:space="preserve"> </w:t>
      </w:r>
      <w:r>
        <w:rPr>
          <w:bCs/>
          <w:b/>
        </w:rPr>
        <w:t xml:space="preserve">[SÛR]</w:t>
      </w:r>
    </w:p>
    <w:p>
      <w:pPr>
        <w:numPr>
          <w:ilvl w:val="0"/>
          <w:numId w:val="1027"/>
        </w:numPr>
        <w:pStyle w:val="Compact"/>
      </w:pPr>
      <w:r>
        <w:rPr>
          <w:bCs/>
          <w:b/>
        </w:rPr>
        <w:t xml:space="preserve">30 juin 2026</w:t>
      </w:r>
      <w:r>
        <w:t xml:space="preserve"> </w:t>
      </w:r>
      <w:r>
        <w:t xml:space="preserve">— Sommet extraordinaire de l’organe politique de la SADC : questions sur les détenus politiques, les exilés et le respect du chronogramme.</w:t>
      </w:r>
      <w:r>
        <w:t xml:space="preserve"> </w:t>
      </w:r>
      <w:r>
        <w:rPr>
          <w:bCs/>
          <w:b/>
        </w:rPr>
        <w:t xml:space="preserve">[SÛR]</w:t>
      </w:r>
    </w:p>
    <w:p>
      <w:pPr>
        <w:numPr>
          <w:ilvl w:val="0"/>
          <w:numId w:val="1027"/>
        </w:numPr>
        <w:pStyle w:val="Compact"/>
      </w:pPr>
      <w:r>
        <w:rPr>
          <w:bCs/>
          <w:b/>
        </w:rPr>
        <w:t xml:space="preserve">17-18 août 2026</w:t>
      </w:r>
      <w:r>
        <w:t xml:space="preserve"> </w:t>
      </w:r>
      <w:r>
        <w:t xml:space="preserve">— 46e sommet SADC à Durban. Madagascar, qui devait en assurer la présidence tournante, s’est retiré. Randrianirina y participe, rencontre Cyril Ramaphosa et annonce le</w:t>
      </w:r>
      <w:r>
        <w:t xml:space="preserve"> </w:t>
      </w:r>
      <w:r>
        <w:rPr>
          <w:bCs/>
          <w:b/>
        </w:rPr>
        <w:t xml:space="preserve">chronogramme</w:t>
      </w:r>
      <w:r>
        <w:t xml:space="preserve"> </w:t>
      </w:r>
      <w:r>
        <w:t xml:space="preserve">: consultation nationale conduite par le FFKM à partir d’août 2026, référendum ou élection constitutionnelle,</w:t>
      </w:r>
      <w:r>
        <w:t xml:space="preserve"> </w:t>
      </w:r>
      <w:r>
        <w:rPr>
          <w:bCs/>
          <w:b/>
        </w:rPr>
        <w:t xml:space="preserve">premier scrutin en juillet 2027</w:t>
      </w:r>
      <w:r>
        <w:t xml:space="preserve">,</w:t>
      </w:r>
      <w:r>
        <w:t xml:space="preserve"> </w:t>
      </w:r>
      <w:r>
        <w:rPr>
          <w:bCs/>
          <w:b/>
        </w:rPr>
        <w:t xml:space="preserve">présidentielle avant fin 2027</w:t>
      </w:r>
      <w:r>
        <w:t xml:space="preserve">. La CENI se dit prête ; refonte de la liste électorale achevée en avril 2027.</w:t>
      </w:r>
      <w:r>
        <w:t xml:space="preserve"> </w:t>
      </w:r>
      <w:r>
        <w:rPr>
          <w:bCs/>
          <w:b/>
        </w:rPr>
        <w:t xml:space="preserve">[SÛR]</w:t>
      </w:r>
    </w:p>
    <w:p>
      <w:pPr>
        <w:numPr>
          <w:ilvl w:val="0"/>
          <w:numId w:val="1027"/>
        </w:numPr>
        <w:pStyle w:val="Compact"/>
      </w:pPr>
      <w:r>
        <w:rPr>
          <w:bCs/>
          <w:b/>
        </w:rPr>
        <w:t xml:space="preserve">Au 19 août 2026</w:t>
      </w:r>
      <w:r>
        <w:t xml:space="preserve"> </w:t>
      </w:r>
      <w:r>
        <w:t xml:space="preserve">— Madagascar demeure</w:t>
      </w:r>
      <w:r>
        <w:t xml:space="preserve"> </w:t>
      </w:r>
      <w:r>
        <w:rPr>
          <w:bCs/>
          <w:b/>
        </w:rPr>
        <w:t xml:space="preserve">suspendue des instances de l’Union africaine</w:t>
      </w:r>
      <w:r>
        <w:t xml:space="preserve">.</w:t>
      </w:r>
      <w:r>
        <w:t xml:space="preserve"> </w:t>
      </w:r>
      <w:r>
        <w:rPr>
          <w:bCs/>
          <w:b/>
        </w:rPr>
        <w:t xml:space="preserve">[PROBABLE]</w:t>
      </w:r>
      <w:r>
        <w:t xml:space="preserve"> </w:t>
      </w:r>
      <w:r>
        <w:t xml:space="preserve">— aucune décision de levée trouvée.</w:t>
      </w:r>
    </w:p>
    <w:bookmarkEnd w:id="95"/>
    <w:bookmarkEnd w:id="96"/>
    <w:bookmarkStart w:id="97" w:name="personnages-4"/>
    <w:p>
      <w:pPr>
        <w:pStyle w:val="Heading2"/>
      </w:pPr>
      <w:r>
        <w:t xml:space="preserve">Personnages</w:t>
      </w:r>
    </w:p>
    <w:p>
      <w:pPr>
        <w:pStyle w:val="FirstParagraph"/>
      </w:pPr>
      <w:r>
        <w:rPr>
          <w:bCs/>
          <w:b/>
        </w:rPr>
        <w:t xml:space="preserve">Andry Rajoelina</w:t>
      </w:r>
      <w:r>
        <w:t xml:space="preserve"> </w:t>
      </w:r>
      <w:r>
        <w:t xml:space="preserve">(DJ et publicitaire devenu maire, homme de 2009 et de 2018, chassé en 2025, exilé à Dubaï, poursuivi) ·</w:t>
      </w:r>
      <w:r>
        <w:t xml:space="preserve"> </w:t>
      </w:r>
      <w:r>
        <w:rPr>
          <w:bCs/>
          <w:b/>
        </w:rPr>
        <w:t xml:space="preserve">Michaël Randrianirina</w:t>
      </w:r>
      <w:r>
        <w:t xml:space="preserve"> </w:t>
      </w:r>
      <w:r>
        <w:t xml:space="preserve">(colonel du CAPSAT, ancien détenu politique en 2023, président de la Refondation ;</w:t>
      </w:r>
      <w:r>
        <w:t xml:space="preserve"> </w:t>
      </w:r>
      <w:r>
        <w:rPr>
          <w:bCs/>
          <w:b/>
        </w:rPr>
        <w:t xml:space="preserve">il n’exclut pas d’être candidat</w:t>
      </w:r>
      <w:r>
        <w:t xml:space="preserve">) ·</w:t>
      </w:r>
      <w:r>
        <w:t xml:space="preserve"> </w:t>
      </w:r>
      <w:r>
        <w:rPr>
          <w:bCs/>
          <w:b/>
        </w:rPr>
        <w:t xml:space="preserve">Marc Ravalomanana</w:t>
      </w:r>
      <w:r>
        <w:t xml:space="preserve"> </w:t>
      </w:r>
      <w:r>
        <w:t xml:space="preserve">·</w:t>
      </w:r>
      <w:r>
        <w:t xml:space="preserve"> </w:t>
      </w:r>
      <w:r>
        <w:rPr>
          <w:bCs/>
          <w:b/>
        </w:rPr>
        <w:t xml:space="preserve">Hery Rajaonarimampianina</w:t>
      </w:r>
      <w:r>
        <w:t xml:space="preserve"> </w:t>
      </w:r>
      <w:r>
        <w:t xml:space="preserve">·</w:t>
      </w:r>
      <w:r>
        <w:t xml:space="preserve"> </w:t>
      </w:r>
      <w:r>
        <w:rPr>
          <w:bCs/>
          <w:b/>
        </w:rPr>
        <w:t xml:space="preserve">Herintsalama Rajaonarivelo</w:t>
      </w:r>
      <w:r>
        <w:t xml:space="preserve"> </w:t>
      </w:r>
      <w:r>
        <w:t xml:space="preserve">·</w:t>
      </w:r>
      <w:r>
        <w:t xml:space="preserve"> </w:t>
      </w:r>
      <w:r>
        <w:rPr>
          <w:bCs/>
          <w:b/>
        </w:rPr>
        <w:t xml:space="preserve">Mamitiana Rajaonarison</w:t>
      </w:r>
      <w:r>
        <w:t xml:space="preserve"> </w:t>
      </w:r>
      <w:r>
        <w:t xml:space="preserve">· général</w:t>
      </w:r>
      <w:r>
        <w:t xml:space="preserve"> </w:t>
      </w:r>
      <w:r>
        <w:rPr>
          <w:bCs/>
          <w:b/>
        </w:rPr>
        <w:t xml:space="preserve">Démosthène Pikulas</w:t>
      </w:r>
      <w:r>
        <w:t xml:space="preserve"> </w:t>
      </w:r>
      <w:r>
        <w:t xml:space="preserve">·</w:t>
      </w:r>
      <w:r>
        <w:t xml:space="preserve"> </w:t>
      </w:r>
      <w:r>
        <w:rPr>
          <w:bCs/>
          <w:b/>
        </w:rPr>
        <w:t xml:space="preserve">Mamy Ravatomanga</w:t>
      </w:r>
      <w:r>
        <w:t xml:space="preserve"> </w:t>
      </w:r>
      <w:r>
        <w:t xml:space="preserve">·</w:t>
      </w:r>
      <w:r>
        <w:t xml:space="preserve"> </w:t>
      </w:r>
      <w:r>
        <w:rPr>
          <w:bCs/>
          <w:b/>
        </w:rPr>
        <w:t xml:space="preserve">Gen Z Madagascar</w:t>
      </w:r>
      <w:r>
        <w:t xml:space="preserve"> </w:t>
      </w:r>
      <w:r>
        <w:t xml:space="preserve">(collectif horizontal, sans leader unique — ce qui est en soi un fait historique).</w:t>
      </w:r>
    </w:p>
    <w:bookmarkEnd w:id="97"/>
    <w:bookmarkStart w:id="98" w:name="X4091c0b7d6fc05ffa4f2bd452ca70b9c0a93395"/>
    <w:p>
      <w:pPr>
        <w:pStyle w:val="Heading2"/>
      </w:pPr>
      <w:r>
        <w:t xml:space="preserve">Ce qui est contesté ou politiquement sensible</w:t>
      </w:r>
    </w:p>
    <w:p>
      <w:pPr>
        <w:pStyle w:val="FirstParagraph"/>
      </w:pPr>
      <w:r>
        <w:rPr>
          <w:bCs/>
          <w:b/>
        </w:rPr>
        <w:t xml:space="preserve">Coup d’État ou révolution ?</w:t>
      </w:r>
      <w:r>
        <w:t xml:space="preserve"> </w:t>
      </w:r>
      <w:r>
        <w:t xml:space="preserve">Les analystes parlent de «</w:t>
      </w:r>
      <w:r>
        <w:t xml:space="preserve"> </w:t>
      </w:r>
      <w:r>
        <w:rPr>
          <w:iCs/>
          <w:i/>
        </w:rPr>
        <w:t xml:space="preserve">coupvolution</w:t>
      </w:r>
      <w:r>
        <w:t xml:space="preserve"> </w:t>
      </w:r>
      <w:r>
        <w:t xml:space="preserve">» : soulèvement civil réel, dénouement militaire. Le régime revendique une refondation ; l’UA constate un changement anticonstitutionnel.</w:t>
      </w:r>
    </w:p>
    <w:p>
      <w:pPr>
        <w:pStyle w:val="BodyText"/>
      </w:pPr>
      <w:r>
        <w:rPr>
          <w:bCs/>
          <w:b/>
        </w:rPr>
        <w:t xml:space="preserve">Le bilan humain de septembre-octobre 2025</w:t>
      </w:r>
      <w:r>
        <w:t xml:space="preserve"> </w:t>
      </w:r>
      <w:r>
        <w:t xml:space="preserve">n’a jamais été établi contradictoirement. Aucune enquête indépendante n’a abouti.</w:t>
      </w:r>
    </w:p>
    <w:p>
      <w:pPr>
        <w:pStyle w:val="BodyText"/>
      </w:pPr>
      <w:r>
        <w:rPr>
          <w:bCs/>
          <w:b/>
        </w:rPr>
        <w:t xml:space="preserve">La nationalité de Rajoelina</w:t>
      </w:r>
      <w:r>
        <w:t xml:space="preserve"> </w:t>
      </w:r>
      <w:r>
        <w:t xml:space="preserve">est juridiquement disputée.</w:t>
      </w:r>
    </w:p>
    <w:p>
      <w:pPr>
        <w:pStyle w:val="BodyText"/>
      </w:pPr>
      <w:r>
        <w:rPr>
          <w:bCs/>
          <w:b/>
        </w:rPr>
        <w:t xml:space="preserve">La « première famine climatique »</w:t>
      </w:r>
      <w:r>
        <w:t xml:space="preserve"> </w:t>
      </w:r>
      <w:r>
        <w:t xml:space="preserve">est une formule d’ONG et d’agences onusiennes que l’attribution scientifique contredit partiellement.</w:t>
      </w:r>
    </w:p>
    <w:p>
      <w:pPr>
        <w:pStyle w:val="BodyText"/>
      </w:pPr>
      <w:r>
        <w:rPr>
          <w:bCs/>
          <w:b/>
        </w:rPr>
        <w:t xml:space="preserve">Les chiffres électoraux de 2023-2024</w:t>
      </w:r>
      <w:r>
        <w:t xml:space="preserve"> </w:t>
      </w:r>
      <w:r>
        <w:t xml:space="preserve">sont récusés par l’opposition.</w:t>
      </w:r>
    </w:p>
    <w:p>
      <w:pPr>
        <w:pStyle w:val="BodyText"/>
      </w:pPr>
      <w:r>
        <w:rPr>
          <w:bCs/>
          <w:b/>
        </w:rPr>
        <w:t xml:space="preserve">La HCC</w:t>
      </w:r>
      <w:r>
        <w:t xml:space="preserve"> </w:t>
      </w:r>
      <w:r>
        <w:t xml:space="preserve">est accusée d’avoir été recomposée au profit du pouvoir.</w:t>
      </w:r>
    </w:p>
    <w:p>
      <w:pPr>
        <w:pStyle w:val="BodyText"/>
      </w:pPr>
      <w:r>
        <w:rPr>
          <w:bCs/>
          <w:b/>
        </w:rPr>
        <w:t xml:space="preserve">La sincérité du calendrier 2027</w:t>
      </w:r>
      <w:r>
        <w:t xml:space="preserve"> </w:t>
      </w:r>
      <w:r>
        <w:t xml:space="preserve">est ouvertement questionnée par la SADC, Amnesty et une partie de la Gen Z.</w:t>
      </w:r>
    </w:p>
    <w:bookmarkEnd w:id="98"/>
    <w:bookmarkStart w:id="99" w:name="chiffres-clés-vérifiés-1"/>
    <w:p>
      <w:pPr>
        <w:pStyle w:val="Heading2"/>
      </w:pPr>
      <w:r>
        <w:t xml:space="preserve">Chiffres clés vérifiés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Donnée</w:t>
            </w:r>
          </w:p>
        </w:tc>
        <w:tc>
          <w:tcPr/>
          <w:p>
            <w:pPr>
              <w:pStyle w:val="Compact"/>
              <w:jc w:val="left"/>
            </w:pPr>
            <w:r>
              <w:t xml:space="preserve">Valeur</w:t>
            </w:r>
          </w:p>
        </w:tc>
        <w:tc>
          <w:tcPr/>
          <w:p>
            <w:pPr>
              <w:pStyle w:val="Compact"/>
              <w:jc w:val="left"/>
            </w:pPr>
            <w:r>
              <w:t xml:space="preserve">Source et année</w:t>
            </w:r>
          </w:p>
        </w:tc>
      </w:tr>
      <w:tr>
        <w:tc>
          <w:tcPr/>
          <w:p>
            <w:pPr>
              <w:pStyle w:val="Compact"/>
              <w:jc w:val="left"/>
            </w:pPr>
            <w:r>
              <w:t xml:space="preserve">Population</w:t>
            </w:r>
          </w:p>
        </w:tc>
        <w:tc>
          <w:tcPr/>
          <w:p>
            <w:pPr>
              <w:pStyle w:val="Compact"/>
              <w:jc w:val="left"/>
            </w:pPr>
            <w:r>
              <w:t xml:space="preserve">31,9 millions</w:t>
            </w:r>
          </w:p>
        </w:tc>
        <w:tc>
          <w:tcPr/>
          <w:p>
            <w:pPr>
              <w:pStyle w:val="Compact"/>
              <w:jc w:val="left"/>
            </w:pPr>
            <w:r>
              <w:t xml:space="preserve">Banque mondiale, 2024</w:t>
            </w:r>
          </w:p>
        </w:tc>
      </w:tr>
      <w:tr>
        <w:tc>
          <w:tcPr/>
          <w:p>
            <w:pPr>
              <w:pStyle w:val="Compact"/>
              <w:jc w:val="left"/>
            </w:pPr>
            <w:r>
              <w:t xml:space="preserve">Croissance</w:t>
            </w:r>
          </w:p>
        </w:tc>
        <w:tc>
          <w:tcPr/>
          <w:p>
            <w:pPr>
              <w:pStyle w:val="Compact"/>
              <w:jc w:val="left"/>
            </w:pPr>
            <w:r>
              <w:t xml:space="preserve">4,2 % (2024), ~3 % (2025), 3,6 % projetés (2026)</w:t>
            </w:r>
          </w:p>
        </w:tc>
        <w:tc>
          <w:tcPr/>
          <w:p>
            <w:pPr>
              <w:pStyle w:val="Compact"/>
              <w:jc w:val="left"/>
            </w:pPr>
            <w:r>
              <w:t xml:space="preserve">Banque mondiale ; FMI, mai 2026</w:t>
            </w:r>
          </w:p>
        </w:tc>
      </w:tr>
      <w:tr>
        <w:tc>
          <w:tcPr/>
          <w:p>
            <w:pPr>
              <w:pStyle w:val="Compact"/>
              <w:jc w:val="left"/>
            </w:pPr>
            <w:r>
              <w:t xml:space="preserve">Inflation</w:t>
            </w:r>
          </w:p>
        </w:tc>
        <w:tc>
          <w:tcPr/>
          <w:p>
            <w:pPr>
              <w:pStyle w:val="Compact"/>
              <w:jc w:val="left"/>
            </w:pPr>
            <w:r>
              <w:t xml:space="preserve">~8,3 % projetés</w:t>
            </w:r>
          </w:p>
        </w:tc>
        <w:tc>
          <w:tcPr/>
          <w:p>
            <w:pPr>
              <w:pStyle w:val="Compact"/>
              <w:jc w:val="left"/>
            </w:pPr>
            <w:r>
              <w:t xml:space="preserve">FMI, mai 2026</w:t>
            </w:r>
          </w:p>
        </w:tc>
      </w:tr>
      <w:tr>
        <w:tc>
          <w:tcPr/>
          <w:p>
            <w:pPr>
              <w:pStyle w:val="Compact"/>
              <w:jc w:val="left"/>
            </w:pPr>
            <w:r>
              <w:t xml:space="preserve">Extrême pauvreté</w:t>
            </w:r>
          </w:p>
        </w:tc>
        <w:tc>
          <w:tcPr/>
          <w:p>
            <w:pPr>
              <w:pStyle w:val="Compact"/>
              <w:jc w:val="left"/>
            </w:pPr>
            <w:r>
              <w:t xml:space="preserve">66,5 %</w:t>
            </w:r>
          </w:p>
        </w:tc>
        <w:tc>
          <w:tcPr/>
          <w:p>
            <w:pPr>
              <w:pStyle w:val="Compact"/>
              <w:jc w:val="left"/>
            </w:pPr>
            <w:r>
              <w:t xml:space="preserve">Banque mondiale, 2025</w:t>
            </w:r>
          </w:p>
        </w:tc>
      </w:tr>
      <w:tr>
        <w:tc>
          <w:tcPr/>
          <w:p>
            <w:pPr>
              <w:pStyle w:val="Compact"/>
              <w:jc w:val="left"/>
            </w:pPr>
            <w:r>
              <w:t xml:space="preserve">Pauvreté au seuil national</w:t>
            </w:r>
          </w:p>
        </w:tc>
        <w:tc>
          <w:tcPr/>
          <w:p>
            <w:pPr>
              <w:pStyle w:val="Compact"/>
              <w:jc w:val="left"/>
            </w:pPr>
            <w:r>
              <w:t xml:space="preserve">~80 %</w:t>
            </w:r>
          </w:p>
        </w:tc>
        <w:tc>
          <w:tcPr/>
          <w:p>
            <w:pPr>
              <w:pStyle w:val="Compact"/>
              <w:jc w:val="left"/>
            </w:pPr>
            <w:r>
              <w:t xml:space="preserve">Macro Poverty Outlook 2025, donnée 2024</w:t>
            </w:r>
          </w:p>
        </w:tc>
      </w:tr>
      <w:tr>
        <w:tc>
          <w:tcPr/>
          <w:p>
            <w:pPr>
              <w:pStyle w:val="Compact"/>
              <w:jc w:val="left"/>
            </w:pPr>
            <w:r>
              <w:t xml:space="preserve">Accès fiable à l’électricité</w:t>
            </w:r>
          </w:p>
        </w:tc>
        <w:tc>
          <w:tcPr/>
          <w:p>
            <w:pPr>
              <w:pStyle w:val="Compact"/>
              <w:jc w:val="left"/>
            </w:pPr>
            <w:r>
              <w:t xml:space="preserve">36 % de la population</w:t>
            </w:r>
          </w:p>
        </w:tc>
        <w:tc>
          <w:tcPr/>
          <w:p>
            <w:pPr>
              <w:pStyle w:val="Compact"/>
              <w:jc w:val="left"/>
            </w:pPr>
            <w:r>
              <w:t xml:space="preserve">Banque mondiale, mai 2026</w:t>
            </w:r>
          </w:p>
        </w:tc>
      </w:tr>
      <w:tr>
        <w:tc>
          <w:tcPr/>
          <w:p>
            <w:pPr>
              <w:pStyle w:val="Compact"/>
              <w:jc w:val="left"/>
            </w:pPr>
            <w:r>
              <w:t xml:space="preserve">Cyclone Gezani</w:t>
            </w:r>
          </w:p>
        </w:tc>
        <w:tc>
          <w:tcPr/>
          <w:p>
            <w:pPr>
              <w:pStyle w:val="Compact"/>
              <w:jc w:val="left"/>
            </w:pPr>
            <w:r>
              <w:t xml:space="preserve">59 morts, 15 disparus, ~424 000 sinistrés</w:t>
            </w:r>
          </w:p>
        </w:tc>
        <w:tc>
          <w:tcPr/>
          <w:p>
            <w:pPr>
              <w:pStyle w:val="Compact"/>
              <w:jc w:val="left"/>
            </w:pPr>
            <w:r>
              <w:t xml:space="preserve">BNGRC, février 2026</w:t>
            </w:r>
          </w:p>
        </w:tc>
      </w:tr>
      <w:tr>
        <w:tc>
          <w:tcPr/>
          <w:p>
            <w:pPr>
              <w:pStyle w:val="Compact"/>
              <w:jc w:val="left"/>
            </w:pPr>
            <w:r>
              <w:t xml:space="preserve">Grand Sud, eau potable</w:t>
            </w:r>
          </w:p>
        </w:tc>
        <w:tc>
          <w:tcPr/>
          <w:p>
            <w:pPr>
              <w:pStyle w:val="Compact"/>
              <w:jc w:val="left"/>
            </w:pPr>
            <w:r>
              <w:t xml:space="preserve">plus de 40 % sans accès</w:t>
            </w:r>
          </w:p>
        </w:tc>
        <w:tc>
          <w:tcPr/>
          <w:p>
            <w:pPr>
              <w:pStyle w:val="Compact"/>
              <w:jc w:val="left"/>
            </w:pPr>
            <w:r>
              <w:t xml:space="preserve">Amnesty International, 2026</w:t>
            </w:r>
          </w:p>
        </w:tc>
      </w:tr>
      <w:tr>
        <w:tc>
          <w:tcPr/>
          <w:p>
            <w:pPr>
              <w:pStyle w:val="Compact"/>
              <w:jc w:val="left"/>
            </w:pPr>
            <w:r>
              <w:t xml:space="preserve">Grand Sud, malnutrition</w:t>
            </w:r>
          </w:p>
        </w:tc>
        <w:tc>
          <w:tcPr/>
          <w:p>
            <w:pPr>
              <w:pStyle w:val="Compact"/>
              <w:jc w:val="left"/>
            </w:pPr>
            <w:r>
              <w:t xml:space="preserve">~8 000 enfants admis pour malnutrition aiguë sévère à février</w:t>
            </w:r>
          </w:p>
        </w:tc>
        <w:tc>
          <w:tcPr/>
          <w:p>
            <w:pPr>
              <w:pStyle w:val="Compact"/>
              <w:jc w:val="left"/>
            </w:pPr>
            <w:r>
              <w:t xml:space="preserve">Amnesty International, 2026</w:t>
            </w:r>
          </w:p>
        </w:tc>
      </w:tr>
    </w:tbl>
    <w:p>
      <w:pPr>
        <w:pStyle w:val="BodyText"/>
      </w:pPr>
      <w:r>
        <w:rPr>
          <w:bCs/>
          <w:b/>
        </w:rPr>
        <w:t xml:space="preserve">IDH</w:t>
      </w:r>
      <w:r>
        <w:t xml:space="preserve"> </w:t>
      </w:r>
      <w:r>
        <w:t xml:space="preserve">: Madagascar figure parmi les pays à IDH « faible », classé 177e sur 193 dans le rapport PNUD 2023-2024.</w:t>
      </w:r>
      <w:r>
        <w:t xml:space="preserve"> </w:t>
      </w:r>
      <w:r>
        <w:rPr>
          <w:bCs/>
          <w:b/>
        </w:rPr>
        <w:t xml:space="preserve">Le rang du rapport 2025 n’a pas pu être confirmé — à vérifier avant diffusion.</w:t>
      </w:r>
    </w:p>
    <w:bookmarkEnd w:id="99"/>
    <w:bookmarkStart w:id="100" w:name="Xc607756c5935b602d0d0e2cb639fa729a696e78"/>
    <w:p>
      <w:pPr>
        <w:pStyle w:val="Heading2"/>
      </w:pPr>
      <w:r>
        <w:t xml:space="preserve">Ce qui n’a pas pu être vérifié au 19 août 2026</w:t>
      </w:r>
    </w:p>
    <w:p>
      <w:pPr>
        <w:pStyle w:val="FirstParagraph"/>
      </w:pPr>
      <w:r>
        <w:t xml:space="preserve">Ces points doivent être re-cherchés avant d’enregistrer les épisodes 29 et 30 :</w:t>
      </w:r>
    </w:p>
    <w:p>
      <w:pPr>
        <w:numPr>
          <w:ilvl w:val="0"/>
          <w:numId w:val="1028"/>
        </w:numPr>
        <w:pStyle w:val="Compact"/>
      </w:pPr>
      <w:r>
        <w:t xml:space="preserve">Une éventuelle</w:t>
      </w:r>
      <w:r>
        <w:t xml:space="preserve"> </w:t>
      </w:r>
      <w:r>
        <w:rPr>
          <w:bCs/>
          <w:b/>
        </w:rPr>
        <w:t xml:space="preserve">levée de la suspension de l’UA</w:t>
      </w:r>
      <w:r>
        <w:t xml:space="preserve"> </w:t>
      </w:r>
      <w:r>
        <w:t xml:space="preserve">: elle semble toujours en vigueur, mais aucune décision explicite n’a été trouvée.</w:t>
      </w:r>
    </w:p>
    <w:p>
      <w:pPr>
        <w:numPr>
          <w:ilvl w:val="0"/>
          <w:numId w:val="1028"/>
        </w:numPr>
        <w:pStyle w:val="Compact"/>
      </w:pPr>
      <w:r>
        <w:t xml:space="preserve">La</w:t>
      </w:r>
      <w:r>
        <w:t xml:space="preserve"> </w:t>
      </w:r>
      <w:r>
        <w:rPr>
          <w:bCs/>
          <w:b/>
        </w:rPr>
        <w:t xml:space="preserve">composition détaillée du gouvernement Rajaonarison</w:t>
      </w:r>
      <w:r>
        <w:t xml:space="preserve"> </w:t>
      </w:r>
      <w:r>
        <w:t xml:space="preserve">(portefeuilles, part de militaires).</w:t>
      </w:r>
    </w:p>
    <w:p>
      <w:pPr>
        <w:numPr>
          <w:ilvl w:val="0"/>
          <w:numId w:val="1028"/>
        </w:numPr>
        <w:pStyle w:val="Compact"/>
      </w:pPr>
      <w:r>
        <w:t xml:space="preserve">Le</w:t>
      </w:r>
      <w:r>
        <w:t xml:space="preserve"> </w:t>
      </w:r>
      <w:r>
        <w:rPr>
          <w:bCs/>
          <w:b/>
        </w:rPr>
        <w:t xml:space="preserve">motif réel du limogeage de Rajaonarivelo</w:t>
      </w:r>
      <w:r>
        <w:t xml:space="preserve"> </w:t>
      </w:r>
      <w:r>
        <w:t xml:space="preserve">en mars 2026, jamais explicité publiquement.</w:t>
      </w:r>
    </w:p>
    <w:p>
      <w:pPr>
        <w:numPr>
          <w:ilvl w:val="0"/>
          <w:numId w:val="1028"/>
        </w:numPr>
        <w:pStyle w:val="Compact"/>
      </w:pPr>
      <w:r>
        <w:t xml:space="preserve">Le</w:t>
      </w:r>
      <w:r>
        <w:t xml:space="preserve"> </w:t>
      </w:r>
      <w:r>
        <w:rPr>
          <w:bCs/>
          <w:b/>
        </w:rPr>
        <w:t xml:space="preserve">nombre et l’identité des détenus politiques</w:t>
      </w:r>
      <w:r>
        <w:t xml:space="preserve"> </w:t>
      </w:r>
      <w:r>
        <w:t xml:space="preserve">évoqués par la SADC.</w:t>
      </w:r>
    </w:p>
    <w:p>
      <w:pPr>
        <w:numPr>
          <w:ilvl w:val="0"/>
          <w:numId w:val="1028"/>
        </w:numPr>
        <w:pStyle w:val="Compact"/>
      </w:pPr>
      <w:r>
        <w:t xml:space="preserve">Le</w:t>
      </w:r>
      <w:r>
        <w:t xml:space="preserve"> </w:t>
      </w:r>
      <w:r>
        <w:rPr>
          <w:bCs/>
          <w:b/>
        </w:rPr>
        <w:t xml:space="preserve">statut exact de la procédure judiciaire contre Rajoelina</w:t>
      </w:r>
      <w:r>
        <w:t xml:space="preserve"> </w:t>
      </w:r>
      <w:r>
        <w:t xml:space="preserve">au-delà de mai 2026 (mise en accusation votée ? mandat international ?).</w:t>
      </w:r>
    </w:p>
    <w:p>
      <w:pPr>
        <w:numPr>
          <w:ilvl w:val="0"/>
          <w:numId w:val="1028"/>
        </w:numPr>
        <w:pStyle w:val="Compact"/>
      </w:pPr>
      <w:r>
        <w:t xml:space="preserve">Le</w:t>
      </w:r>
      <w:r>
        <w:t xml:space="preserve"> </w:t>
      </w:r>
      <w:r>
        <w:rPr>
          <w:bCs/>
          <w:b/>
        </w:rPr>
        <w:t xml:space="preserve">volume et la reprise de l’aide budgétaire</w:t>
      </w:r>
      <w:r>
        <w:t xml:space="preserve"> </w:t>
      </w:r>
      <w:r>
        <w:t xml:space="preserve">après octobre 2025, et l’état d’avancement du programme FMI (une revue attendue avec ~183 M$).</w:t>
      </w:r>
    </w:p>
    <w:p>
      <w:pPr>
        <w:numPr>
          <w:ilvl w:val="0"/>
          <w:numId w:val="1028"/>
        </w:numPr>
        <w:pStyle w:val="Compact"/>
      </w:pPr>
      <w:r>
        <w:t xml:space="preserve">Un</w:t>
      </w:r>
      <w:r>
        <w:t xml:space="preserve"> </w:t>
      </w:r>
      <w:r>
        <w:rPr>
          <w:bCs/>
          <w:b/>
        </w:rPr>
        <w:t xml:space="preserve">bilan humain consolidé</w:t>
      </w:r>
      <w:r>
        <w:t xml:space="preserve"> </w:t>
      </w:r>
      <w:r>
        <w:t xml:space="preserve">de septembre-octobre 2025 : aucune source ne dépasse « au moins 22 » (ONU) ou « des dizaines » (Amnesty).</w:t>
      </w:r>
    </w:p>
    <w:p>
      <w:pPr>
        <w:numPr>
          <w:ilvl w:val="0"/>
          <w:numId w:val="1028"/>
        </w:numPr>
        <w:pStyle w:val="Compact"/>
      </w:pPr>
      <w:r>
        <w:t xml:space="preserve">Une</w:t>
      </w:r>
      <w:r>
        <w:t xml:space="preserve"> </w:t>
      </w:r>
      <w:r>
        <w:rPr>
          <w:bCs/>
          <w:b/>
        </w:rPr>
        <w:t xml:space="preserve">date ferme pour le référendum constitutionnel</w:t>
      </w:r>
      <w:r>
        <w:t xml:space="preserve">. Seule la fourchette « juillet 2027, avant fin 2027 » est documentée ; Amnesty évoquait en mars 2026 des élections en septembre 2027 — l’écart est à signaler.</w:t>
      </w:r>
    </w:p>
    <w:bookmarkEnd w:id="100"/>
    <w:bookmarkStart w:id="101" w:name="X01d31d74e7c4ea0bbdc0347880521c56dac193d"/>
    <w:p>
      <w:pPr>
        <w:pStyle w:val="Heading2"/>
      </w:pPr>
      <w:r>
        <w:t xml:space="preserve">Précautions éditoriales — à relire avant chaque enregistrement de la saison 6</w:t>
      </w:r>
    </w:p>
    <w:p>
      <w:pPr>
        <w:numPr>
          <w:ilvl w:val="0"/>
          <w:numId w:val="1029"/>
        </w:numPr>
        <w:pStyle w:val="Compact"/>
      </w:pPr>
      <w:r>
        <w:rPr>
          <w:bCs/>
          <w:b/>
        </w:rPr>
        <w:t xml:space="preserve">Ne jamais dire « la révolution malgache »</w:t>
      </w:r>
      <w:r>
        <w:t xml:space="preserve"> </w:t>
      </w:r>
      <w:r>
        <w:t xml:space="preserve">sans mentionner que le dénouement est venu de l’armée,</w:t>
      </w:r>
      <w:r>
        <w:t xml:space="preserve"> </w:t>
      </w:r>
      <w:r>
        <w:rPr>
          <w:bCs/>
          <w:b/>
        </w:rPr>
        <w:t xml:space="preserve">ni « putsch »</w:t>
      </w:r>
      <w:r>
        <w:t xml:space="preserve"> </w:t>
      </w:r>
      <w:r>
        <w:t xml:space="preserve">sans rappeler l’ampleur du soulèvement civil qui l’a précédé.</w:t>
      </w:r>
    </w:p>
    <w:p>
      <w:pPr>
        <w:numPr>
          <w:ilvl w:val="0"/>
          <w:numId w:val="1029"/>
        </w:numPr>
        <w:pStyle w:val="Compact"/>
      </w:pPr>
      <w:r>
        <w:rPr>
          <w:bCs/>
          <w:b/>
        </w:rPr>
        <w:t xml:space="preserve">Toujours attribuer le bilan humain</w:t>
      </w:r>
      <w:r>
        <w:t xml:space="preserve"> </w:t>
      </w:r>
      <w:r>
        <w:t xml:space="preserve">: « au moins 22 morts</w:t>
      </w:r>
      <w:r>
        <w:t xml:space="preserve"> </w:t>
      </w:r>
      <w:r>
        <w:rPr>
          <w:iCs/>
          <w:i/>
        </w:rPr>
        <w:t xml:space="preserve">selon le Haut-Commissariat de l’ONU aux droits de l’homme</w:t>
      </w:r>
      <w:r>
        <w:t xml:space="preserve"> </w:t>
      </w:r>
      <w:r>
        <w:t xml:space="preserve">», jamais « 22 morts ».</w:t>
      </w:r>
    </w:p>
    <w:p>
      <w:pPr>
        <w:numPr>
          <w:ilvl w:val="0"/>
          <w:numId w:val="1029"/>
        </w:numPr>
        <w:pStyle w:val="Compact"/>
      </w:pPr>
      <w:r>
        <w:rPr>
          <w:bCs/>
          <w:b/>
        </w:rPr>
        <w:t xml:space="preserve">Dire « président de la Refondation » ou « chef de la transition »</w:t>
      </w:r>
      <w:r>
        <w:t xml:space="preserve">, jamais « président élu ».</w:t>
      </w:r>
    </w:p>
    <w:p>
      <w:pPr>
        <w:numPr>
          <w:ilvl w:val="0"/>
          <w:numId w:val="1029"/>
        </w:numPr>
        <w:pStyle w:val="Compact"/>
      </w:pPr>
      <w:r>
        <w:rPr>
          <w:bCs/>
          <w:b/>
        </w:rPr>
        <w:t xml:space="preserve">Sur le kere</w:t>
      </w:r>
      <w:r>
        <w:t xml:space="preserve"> </w:t>
      </w:r>
      <w:r>
        <w:t xml:space="preserve">: parler de « famine aggravée par la sécheresse</w:t>
      </w:r>
      <w:r>
        <w:t xml:space="preserve"> </w:t>
      </w:r>
      <w:r>
        <w:rPr>
          <w:iCs/>
          <w:i/>
        </w:rPr>
        <w:t xml:space="preserve">et par la pauvreté structurelle</w:t>
      </w:r>
      <w:r>
        <w:t xml:space="preserve"> </w:t>
      </w:r>
      <w:r>
        <w:t xml:space="preserve">», en citant explicitement l’étude de World Weather Attribution si tu emploies la formule « famine climatique ».</w:t>
      </w:r>
    </w:p>
    <w:p>
      <w:pPr>
        <w:numPr>
          <w:ilvl w:val="0"/>
          <w:numId w:val="1029"/>
        </w:numPr>
        <w:pStyle w:val="Compact"/>
      </w:pPr>
      <w:r>
        <w:rPr>
          <w:bCs/>
          <w:b/>
        </w:rPr>
        <w:t xml:space="preserve">Traiter le calendrier 2027 au conditionnel.</w:t>
      </w:r>
      <w:r>
        <w:t xml:space="preserve"> </w:t>
      </w:r>
      <w:r>
        <w:t xml:space="preserve">C’est une annonce, pas un fait accompli.</w:t>
      </w:r>
    </w:p>
    <w:p>
      <w:pPr>
        <w:numPr>
          <w:ilvl w:val="0"/>
          <w:numId w:val="1029"/>
        </w:numPr>
        <w:pStyle w:val="Compact"/>
      </w:pPr>
      <w:r>
        <w:rPr>
          <w:bCs/>
          <w:b/>
        </w:rPr>
        <w:t xml:space="preserve">Sur la nationalité de Rajoelina</w:t>
      </w:r>
      <w:r>
        <w:t xml:space="preserve"> </w:t>
      </w:r>
      <w:r>
        <w:t xml:space="preserve">: distinguer le fait (naturalisation en 2014, révélée en 2023) de son effet juridique, toujours disputé.</w:t>
      </w:r>
    </w:p>
    <w:p>
      <w:pPr>
        <w:numPr>
          <w:ilvl w:val="0"/>
          <w:numId w:val="1029"/>
        </w:numPr>
        <w:pStyle w:val="Compact"/>
      </w:pPr>
      <w:r>
        <w:rPr>
          <w:bCs/>
          <w:b/>
        </w:rPr>
        <w:t xml:space="preserve">Re-vérifier toute donnée chiffrée le jour de l’enregistrement.</w:t>
      </w:r>
    </w:p>
    <w:bookmarkEnd w:id="101"/>
    <w:bookmarkStart w:id="102" w:name="accroches-5"/>
    <w:p>
      <w:pPr>
        <w:pStyle w:val="Heading2"/>
      </w:pPr>
      <w:r>
        <w:t xml:space="preserve">Accroches</w:t>
      </w:r>
    </w:p>
    <w:p>
      <w:pPr>
        <w:pStyle w:val="BlockText"/>
      </w:pPr>
      <w:r>
        <w:t xml:space="preserve">« En 2009, une unité d’élite baptisée CAPSAT avait porté un jeune maire de trente-quatre ans à la tête de Madagascar. Seize ans plus tard, la même unité l’a chassé. »</w:t>
      </w:r>
    </w:p>
    <w:p>
      <w:pPr>
        <w:pStyle w:val="BlockText"/>
      </w:pPr>
      <w:r>
        <w:t xml:space="preserve">« Tout est parti d’une panne de courant : à Antananarivo, l’électricité s’éteignait plusieurs heures par jour — et un soir de septembre 2025, la rue a décidé que c’en était assez. »</w:t>
      </w:r>
    </w:p>
    <w:p>
      <w:pPr>
        <w:pStyle w:val="BlockText"/>
      </w:pPr>
      <w:r>
        <w:t xml:space="preserve">« Sur les pancartes des manifestants malgaches flottait le drapeau pirate d’un manga japonais : une génération née après la crise de 2009 réclamait de l’eau, de la lumière, et un pays. »</w:t>
      </w:r>
    </w:p>
    <w:bookmarkEnd w:id="102"/>
    <w:bookmarkEnd w:id="103"/>
    <w:bookmarkStart w:id="104" w:name="X92be0875f86eb468d3bab8837d329bb3698dfe0"/>
    <w:p>
      <w:pPr>
        <w:pStyle w:val="Heading1"/>
      </w:pPr>
      <w:r>
        <w:t xml:space="preserve">Corrections à apporter au document source</w:t>
      </w:r>
    </w:p>
    <w:p>
      <w:pPr>
        <w:pStyle w:val="FirstParagraph"/>
      </w:pPr>
      <w:r>
        <w:t xml:space="preserve">Le document de départ contient plusieurs formulations à corriger avant toute écriture de script.</w:t>
      </w:r>
    </w:p>
    <w:p>
      <w:pPr>
        <w:pStyle w:val="BodyText"/>
      </w:pPr>
      <w:r>
        <w:rPr>
          <w:bCs/>
          <w:b/>
        </w:rPr>
        <w:t xml:space="preserve">1. Les os d’oiseaux-éléphants.</w:t>
      </w:r>
      <w:r>
        <w:t xml:space="preserve"> </w:t>
      </w:r>
      <w:r>
        <w:t xml:space="preserve">Le document présente la datation à « plus de 10 000 ans » comme une découverte qui « a repoussé cette possibilité beaucoup plus loin », en mentionnant la controverse mais sans en donner les termes. Il faut nommer les deux camps et leurs arguments — c’est ce qui transforme une note de bas de page en épisode.</w:t>
      </w:r>
    </w:p>
    <w:p>
      <w:pPr>
        <w:pStyle w:val="BodyText"/>
      </w:pPr>
      <w:r>
        <w:rPr>
          <w:bCs/>
          <w:b/>
        </w:rPr>
        <w:t xml:space="preserve">2. « Ranavalona Ire, la reine qui refuse de se soumettre ».</w:t>
      </w:r>
      <w:r>
        <w:t xml:space="preserve"> </w:t>
      </w:r>
      <w:r>
        <w:t xml:space="preserve">Le titre est juste, mais le document ne signale pas que les chiffres de mortalité de son règne proviennent de sources missionnaires hostiles et sont invérifiables. C’est une omission qui exposerait le podcast à une critique légitime.</w:t>
      </w:r>
    </w:p>
    <w:p>
      <w:pPr>
        <w:pStyle w:val="BodyText"/>
      </w:pPr>
      <w:r>
        <w:rPr>
          <w:bCs/>
          <w:b/>
        </w:rPr>
        <w:t xml:space="preserve">3. Le bilan de 1947.</w:t>
      </w:r>
      <w:r>
        <w:t xml:space="preserve"> </w:t>
      </w:r>
      <w:r>
        <w:t xml:space="preserve">Le document ne donne aucun chiffre — ce qui est prudent, mais insuffisant. Il faut au contraire donner les trois chiffres et expliquer d’où vient chacun. C’est le passage le plus attendu par le public malgache.</w:t>
      </w:r>
    </w:p>
    <w:p>
      <w:pPr>
        <w:pStyle w:val="BodyText"/>
      </w:pPr>
      <w:r>
        <w:rPr>
          <w:bCs/>
          <w:b/>
        </w:rPr>
        <w:t xml:space="preserve">4. « Les pirates » et Libertalia.</w:t>
      </w:r>
      <w:r>
        <w:t xml:space="preserve"> </w:t>
      </w:r>
      <w:r>
        <w:t xml:space="preserve">Le document ne mentionne pas Libertalia, mais tout épisode sur les pirates de Madagascar y viendra. Il faut décider d’emblée : Libertalia est une fiction de 1724, à raconter comme telle.</w:t>
      </w:r>
    </w:p>
    <w:p>
      <w:pPr>
        <w:pStyle w:val="BodyText"/>
      </w:pPr>
      <w:r>
        <w:rPr>
          <w:bCs/>
          <w:b/>
        </w:rPr>
        <w:t xml:space="preserve">5. Le royaume merina présenté comme « Madagascar ».</w:t>
      </w:r>
      <w:r>
        <w:t xml:space="preserve"> </w:t>
      </w:r>
      <w:r>
        <w:t xml:space="preserve">Le document glisse vers l’idée d’un royaume qui unifie l’île. C’est inexact : les Sakalava, le Sud et une partie de la côte est n’ont jamais été soumis avant la conquête française.</w:t>
      </w:r>
    </w:p>
    <w:p>
      <w:pPr>
        <w:pStyle w:val="BodyText"/>
      </w:pPr>
      <w:r>
        <w:rPr>
          <w:bCs/>
          <w:b/>
        </w:rPr>
        <w:t xml:space="preserve">6. La chronologie 2025-2026.</w:t>
      </w:r>
      <w:r>
        <w:t xml:space="preserve"> </w:t>
      </w:r>
      <w:r>
        <w:t xml:space="preserve">Le document s’arrête sur « la chute de Rajoelina et la prise du pouvoir par Michael Randrianirina » comme événement récent. Depuis, il y a eu un changement de Premier ministre en mars 2026, deux cyclones meurtriers, un rapport Amnesty accablant, et l’annonce d’un calendrier électoral pour 2027. La section 6 de ce dossier est à jour au 19 août 2026.</w:t>
      </w:r>
    </w:p>
    <w:p>
      <w:pPr>
        <w:pStyle w:val="BodyText"/>
      </w:pPr>
      <w:r>
        <w:rPr>
          <w:bCs/>
          <w:b/>
        </w:rPr>
        <w:t xml:space="preserve">7. L’orthographe du nom du président.</w:t>
      </w:r>
      <w:r>
        <w:t xml:space="preserve"> </w:t>
      </w:r>
      <w:r>
        <w:t xml:space="preserve">Le document écrit « Michael Randrianirina ». La graphie usuelle dans la presse malgache et internationale est</w:t>
      </w:r>
      <w:r>
        <w:t xml:space="preserve"> </w:t>
      </w:r>
      <w:r>
        <w:rPr>
          <w:bCs/>
          <w:b/>
        </w:rPr>
        <w:t xml:space="preserve">Michaël Randrianirina</w:t>
      </w:r>
      <w:r>
        <w:t xml:space="preserve">.</w:t>
      </w:r>
    </w:p>
    <w:p>
      <w:pPr>
        <w:pStyle w:val="BodyText"/>
      </w:pPr>
      <w:r>
        <w:rPr>
          <w:bCs/>
          <w:b/>
        </w:rPr>
        <w:t xml:space="preserve">8. Le format proposé.</w:t>
      </w:r>
      <w:r>
        <w:t xml:space="preserve"> </w:t>
      </w:r>
      <w:r>
        <w:t xml:space="preserve">Le document suggérait « 15 à 20 épisodes ». Avec un format narration + extraits, la matière couvre confortablement 30 épisodes sur 6 saisons. Un épisode de plus vaut mieux qu’un épisode qui survole.</w:t>
      </w:r>
    </w:p>
    <w:bookmarkEnd w:id="104"/>
    <w:bookmarkStart w:id="105" w:name="glossaire-malgache"/>
    <w:p>
      <w:pPr>
        <w:pStyle w:val="Heading1"/>
      </w:pPr>
      <w:r>
        <w:t xml:space="preserve">Glossaire malgache</w:t>
      </w:r>
    </w:p>
    <w:p>
      <w:pPr>
        <w:pStyle w:val="FirstParagraph"/>
      </w:pPr>
      <w:r>
        <w:t xml:space="preserve">À introduire une fois chacun, puis à réutiliser librement.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Terme</w:t>
            </w:r>
          </w:p>
        </w:tc>
        <w:tc>
          <w:tcPr/>
          <w:p>
            <w:pPr>
              <w:pStyle w:val="Compact"/>
              <w:jc w:val="left"/>
            </w:pPr>
            <w:r>
              <w:t xml:space="preserve">Définition prête à lire</w:t>
            </w:r>
          </w:p>
        </w:tc>
      </w:tr>
      <w:tr>
        <w:tc>
          <w:tcPr/>
          <w:p>
            <w:pPr>
              <w:pStyle w:val="Compact"/>
              <w:jc w:val="left"/>
            </w:pPr>
            <w:r>
              <w:rPr>
                <w:bCs/>
                <w:b/>
              </w:rPr>
              <w:t xml:space="preserve">Fanompoana</w:t>
            </w:r>
          </w:p>
        </w:tc>
        <w:tc>
          <w:tcPr/>
          <w:p>
            <w:pPr>
              <w:pStyle w:val="Compact"/>
              <w:jc w:val="left"/>
            </w:pPr>
            <w:r>
              <w:t xml:space="preserve">Le service dû au souverain — un travail non payé, exigé de tous, qui a construit les digues, les rizières et les routes du royaume. La colonisation française le reprendra sous un autre nom.</w:t>
            </w:r>
          </w:p>
        </w:tc>
      </w:tr>
      <w:tr>
        <w:tc>
          <w:tcPr/>
          <w:p>
            <w:pPr>
              <w:pStyle w:val="Compact"/>
              <w:jc w:val="left"/>
            </w:pPr>
            <w:r>
              <w:rPr>
                <w:bCs/>
                <w:b/>
              </w:rPr>
              <w:t xml:space="preserve">Fihavanana</w:t>
            </w:r>
          </w:p>
        </w:tc>
        <w:tc>
          <w:tcPr/>
          <w:p>
            <w:pPr>
              <w:pStyle w:val="Compact"/>
              <w:jc w:val="left"/>
            </w:pPr>
            <w:r>
              <w:t xml:space="preserve">Le lien de parenté élargi, le devoir de solidarité et d’harmonie entre les gens. C’est le mot que les Malgaches donnent quand on leur demande ce qui tient leur société.</w:t>
            </w:r>
          </w:p>
        </w:tc>
      </w:tr>
      <w:tr>
        <w:tc>
          <w:tcPr/>
          <w:p>
            <w:pPr>
              <w:pStyle w:val="Compact"/>
              <w:jc w:val="left"/>
            </w:pPr>
            <w:r>
              <w:rPr>
                <w:bCs/>
                <w:b/>
              </w:rPr>
              <w:t xml:space="preserve">Hasina</w:t>
            </w:r>
          </w:p>
        </w:tc>
        <w:tc>
          <w:tcPr/>
          <w:p>
            <w:pPr>
              <w:pStyle w:val="Compact"/>
              <w:jc w:val="left"/>
            </w:pPr>
            <w:r>
              <w:t xml:space="preserve">La force sacrée, invisible, qui rend un roi légitime, une relique puissante, une terre féconde. On ne la possède pas : on en reçoit ou on en perd.</w:t>
            </w:r>
          </w:p>
        </w:tc>
      </w:tr>
      <w:tr>
        <w:tc>
          <w:tcPr/>
          <w:p>
            <w:pPr>
              <w:pStyle w:val="Compact"/>
              <w:jc w:val="left"/>
            </w:pPr>
            <w:r>
              <w:rPr>
                <w:bCs/>
                <w:b/>
              </w:rPr>
              <w:t xml:space="preserve">Kabary</w:t>
            </w:r>
          </w:p>
        </w:tc>
        <w:tc>
          <w:tcPr/>
          <w:p>
            <w:pPr>
              <w:pStyle w:val="Compact"/>
              <w:jc w:val="left"/>
            </w:pPr>
            <w:r>
              <w:t xml:space="preserve">Le discours public, art oratoire codifié, chargé de proverbes. Un roi malgache ne décrète pas : il fait un kabary.</w:t>
            </w:r>
          </w:p>
        </w:tc>
      </w:tr>
      <w:tr>
        <w:tc>
          <w:tcPr/>
          <w:p>
            <w:pPr>
              <w:pStyle w:val="Compact"/>
              <w:jc w:val="left"/>
            </w:pPr>
            <w:r>
              <w:rPr>
                <w:bCs/>
                <w:b/>
              </w:rPr>
              <w:t xml:space="preserve">Razana</w:t>
            </w:r>
          </w:p>
        </w:tc>
        <w:tc>
          <w:tcPr/>
          <w:p>
            <w:pPr>
              <w:pStyle w:val="Compact"/>
              <w:jc w:val="left"/>
            </w:pPr>
            <w:r>
              <w:t xml:space="preserve">Les ancêtres. Pas des morts : des membres actifs de la famille, qu’on consulte, qu’on nourrit, et qu’on retourne.</w:t>
            </w:r>
          </w:p>
        </w:tc>
      </w:tr>
      <w:tr>
        <w:tc>
          <w:tcPr/>
          <w:p>
            <w:pPr>
              <w:pStyle w:val="Compact"/>
              <w:jc w:val="left"/>
            </w:pPr>
            <w:r>
              <w:rPr>
                <w:bCs/>
                <w:b/>
              </w:rPr>
              <w:t xml:space="preserve">Famadihana</w:t>
            </w:r>
          </w:p>
        </w:tc>
        <w:tc>
          <w:tcPr/>
          <w:p>
            <w:pPr>
              <w:pStyle w:val="Compact"/>
              <w:jc w:val="left"/>
            </w:pPr>
            <w:r>
              <w:t xml:space="preserve">Le retournement des morts : on exhume les ancêtres, on renouvelle leur linceul, on danse avec eux, on les remet en terre. Ce n’est pas un deuil, c’est une fête.</w:t>
            </w:r>
          </w:p>
        </w:tc>
      </w:tr>
      <w:tr>
        <w:tc>
          <w:tcPr/>
          <w:p>
            <w:pPr>
              <w:pStyle w:val="Compact"/>
              <w:jc w:val="left"/>
            </w:pPr>
            <w:r>
              <w:rPr>
                <w:bCs/>
                <w:b/>
              </w:rPr>
              <w:t xml:space="preserve">Vazimba</w:t>
            </w:r>
          </w:p>
        </w:tc>
        <w:tc>
          <w:tcPr/>
          <w:p>
            <w:pPr>
              <w:pStyle w:val="Compact"/>
              <w:jc w:val="left"/>
            </w:pPr>
            <w:r>
              <w:t xml:space="preserve">Les premiers habitants selon la tradition. Peuple oublié ou simplement « ceux d’avant » : la question reste ouverte.</w:t>
            </w:r>
          </w:p>
        </w:tc>
      </w:tr>
      <w:tr>
        <w:tc>
          <w:tcPr/>
          <w:p>
            <w:pPr>
              <w:pStyle w:val="Compact"/>
              <w:jc w:val="left"/>
            </w:pPr>
            <w:r>
              <w:rPr>
                <w:bCs/>
                <w:b/>
              </w:rPr>
              <w:t xml:space="preserve">Sampy</w:t>
            </w:r>
          </w:p>
        </w:tc>
        <w:tc>
          <w:tcPr/>
          <w:p>
            <w:pPr>
              <w:pStyle w:val="Compact"/>
              <w:jc w:val="left"/>
            </w:pPr>
            <w:r>
              <w:t xml:space="preserve">Les idoles tutélaires du royaume, protectrices, détruites publiquement en 1869.</w:t>
            </w:r>
          </w:p>
        </w:tc>
      </w:tr>
      <w:tr>
        <w:tc>
          <w:tcPr/>
          <w:p>
            <w:pPr>
              <w:pStyle w:val="Compact"/>
              <w:jc w:val="left"/>
            </w:pPr>
            <w:r>
              <w:rPr>
                <w:bCs/>
                <w:b/>
              </w:rPr>
              <w:t xml:space="preserve">Ombiasy</w:t>
            </w:r>
          </w:p>
        </w:tc>
        <w:tc>
          <w:tcPr/>
          <w:p>
            <w:pPr>
              <w:pStyle w:val="Compact"/>
              <w:jc w:val="left"/>
            </w:pPr>
            <w:r>
              <w:t xml:space="preserve">Le devin-guérisseur, souvent lettré, maître du calendrier et de l’astrologie (</w:t>
            </w:r>
            <w:r>
              <w:rPr>
                <w:iCs/>
                <w:i/>
              </w:rPr>
              <w:t xml:space="preserve">vintana</w:t>
            </w:r>
            <w:r>
              <w:t xml:space="preserve">).</w:t>
            </w:r>
          </w:p>
        </w:tc>
      </w:tr>
      <w:tr>
        <w:tc>
          <w:tcPr/>
          <w:p>
            <w:pPr>
              <w:pStyle w:val="Compact"/>
              <w:jc w:val="left"/>
            </w:pPr>
            <w:r>
              <w:rPr>
                <w:bCs/>
                <w:b/>
              </w:rPr>
              <w:t xml:space="preserve">Sorabe</w:t>
            </w:r>
          </w:p>
        </w:tc>
        <w:tc>
          <w:tcPr/>
          <w:p>
            <w:pPr>
              <w:pStyle w:val="Compact"/>
              <w:jc w:val="left"/>
            </w:pPr>
            <w:r>
              <w:t xml:space="preserve">L’écriture du malgache en caractères arabes, pratiquée par les Antemoro du Sud-Est. Madagascar écrivait avant l’arrivée des missionnaires.</w:t>
            </w:r>
          </w:p>
        </w:tc>
      </w:tr>
      <w:tr>
        <w:tc>
          <w:tcPr/>
          <w:p>
            <w:pPr>
              <w:pStyle w:val="Compact"/>
              <w:jc w:val="left"/>
            </w:pPr>
            <w:r>
              <w:rPr>
                <w:bCs/>
                <w:b/>
              </w:rPr>
              <w:t xml:space="preserve">Dady</w:t>
            </w:r>
          </w:p>
        </w:tc>
        <w:tc>
          <w:tcPr/>
          <w:p>
            <w:pPr>
              <w:pStyle w:val="Compact"/>
              <w:jc w:val="left"/>
            </w:pPr>
            <w:r>
              <w:t xml:space="preserve">Les reliques royales sakalava — restes corporels des souverains, sources vivantes de légitimité.</w:t>
            </w:r>
          </w:p>
        </w:tc>
      </w:tr>
      <w:tr>
        <w:tc>
          <w:tcPr/>
          <w:p>
            <w:pPr>
              <w:pStyle w:val="Compact"/>
              <w:jc w:val="left"/>
            </w:pPr>
            <w:r>
              <w:rPr>
                <w:bCs/>
                <w:b/>
              </w:rPr>
              <w:t xml:space="preserve">Andevo</w:t>
            </w:r>
          </w:p>
        </w:tc>
        <w:tc>
          <w:tcPr/>
          <w:p>
            <w:pPr>
              <w:pStyle w:val="Compact"/>
              <w:jc w:val="left"/>
            </w:pPr>
            <w:r>
              <w:t xml:space="preserve">Les esclaves, dans la société merina — par opposition aux</w:t>
            </w:r>
            <w:r>
              <w:t xml:space="preserve"> </w:t>
            </w:r>
            <w:r>
              <w:rPr>
                <w:iCs/>
                <w:i/>
              </w:rPr>
              <w:t xml:space="preserve">andriana</w:t>
            </w:r>
            <w:r>
              <w:t xml:space="preserve"> </w:t>
            </w:r>
            <w:r>
              <w:t xml:space="preserve">(nobles) et aux</w:t>
            </w:r>
            <w:r>
              <w:t xml:space="preserve"> </w:t>
            </w:r>
            <w:r>
              <w:rPr>
                <w:iCs/>
                <w:i/>
              </w:rPr>
              <w:t xml:space="preserve">hova</w:t>
            </w:r>
            <w:r>
              <w:t xml:space="preserve"> </w:t>
            </w:r>
            <w:r>
              <w:t xml:space="preserve">(roturiers libres).</w:t>
            </w:r>
          </w:p>
        </w:tc>
      </w:tr>
      <w:tr>
        <w:tc>
          <w:tcPr/>
          <w:p>
            <w:pPr>
              <w:pStyle w:val="Compact"/>
              <w:jc w:val="left"/>
            </w:pPr>
            <w:r>
              <w:rPr>
                <w:bCs/>
                <w:b/>
              </w:rPr>
              <w:t xml:space="preserve">Tanguin (tangena)</w:t>
            </w:r>
          </w:p>
        </w:tc>
        <w:tc>
          <w:tcPr/>
          <w:p>
            <w:pPr>
              <w:pStyle w:val="Compact"/>
              <w:jc w:val="left"/>
            </w:pPr>
            <w:r>
              <w:t xml:space="preserve">L’ordalie par le poison : l’accusé qui survit est innocent. Aboli en 1863.</w:t>
            </w:r>
          </w:p>
        </w:tc>
      </w:tr>
      <w:tr>
        <w:tc>
          <w:tcPr/>
          <w:p>
            <w:pPr>
              <w:pStyle w:val="Compact"/>
              <w:jc w:val="left"/>
            </w:pPr>
            <w:r>
              <w:rPr>
                <w:bCs/>
                <w:b/>
              </w:rPr>
              <w:t xml:space="preserve">Kere</w:t>
            </w:r>
          </w:p>
        </w:tc>
        <w:tc>
          <w:tcPr/>
          <w:p>
            <w:pPr>
              <w:pStyle w:val="Compact"/>
              <w:jc w:val="left"/>
            </w:pPr>
            <w:r>
              <w:t xml:space="preserve">La famine, dans le Sud. Le mot est entré dans la langue politique malgache.</w:t>
            </w:r>
          </w:p>
        </w:tc>
      </w:tr>
      <w:tr>
        <w:tc>
          <w:tcPr/>
          <w:p>
            <w:pPr>
              <w:pStyle w:val="Compact"/>
              <w:jc w:val="left"/>
            </w:pPr>
            <w:r>
              <w:rPr>
                <w:bCs/>
                <w:b/>
              </w:rPr>
              <w:t xml:space="preserve">Menalamba</w:t>
            </w:r>
          </w:p>
        </w:tc>
        <w:tc>
          <w:tcPr/>
          <w:p>
            <w:pPr>
              <w:pStyle w:val="Compact"/>
              <w:jc w:val="left"/>
            </w:pPr>
            <w:r>
              <w:t xml:space="preserve">« Châles rouges » — les insurgés de 1895-1898.</w:t>
            </w:r>
          </w:p>
        </w:tc>
      </w:tr>
      <w:tr>
        <w:tc>
          <w:tcPr/>
          <w:p>
            <w:pPr>
              <w:pStyle w:val="Compact"/>
              <w:jc w:val="left"/>
            </w:pPr>
            <w:r>
              <w:rPr>
                <w:bCs/>
                <w:b/>
              </w:rPr>
              <w:t xml:space="preserve">Boky Mena</w:t>
            </w:r>
          </w:p>
        </w:tc>
        <w:tc>
          <w:tcPr/>
          <w:p>
            <w:pPr>
              <w:pStyle w:val="Compact"/>
              <w:jc w:val="left"/>
            </w:pPr>
            <w:r>
              <w:t xml:space="preserve">Le « Livre rouge » de Ratsiraka, charte de la révolution socialiste malgache, 1975.</w:t>
            </w:r>
          </w:p>
        </w:tc>
      </w:tr>
      <w:tr>
        <w:tc>
          <w:tcPr/>
          <w:p>
            <w:pPr>
              <w:pStyle w:val="Compact"/>
              <w:jc w:val="left"/>
            </w:pPr>
            <w:r>
              <w:rPr>
                <w:bCs/>
                <w:b/>
              </w:rPr>
              <w:t xml:space="preserve">Hery Velona</w:t>
            </w:r>
          </w:p>
        </w:tc>
        <w:tc>
          <w:tcPr/>
          <w:p>
            <w:pPr>
              <w:pStyle w:val="Compact"/>
              <w:jc w:val="left"/>
            </w:pPr>
            <w:r>
              <w:t xml:space="preserve">« Forces Vives » — la coalition d’opposition de 1991.</w:t>
            </w:r>
          </w:p>
        </w:tc>
      </w:tr>
    </w:tbl>
    <w:bookmarkEnd w:id="105"/>
    <w:bookmarkStart w:id="112" w:name="bibliographie-par-période"/>
    <w:p>
      <w:pPr>
        <w:pStyle w:val="Heading1"/>
      </w:pPr>
      <w:r>
        <w:t xml:space="preserve">Bibliographie par période</w:t>
      </w:r>
    </w:p>
    <w:bookmarkStart w:id="106" w:name="période-1-origines"/>
    <w:p>
      <w:pPr>
        <w:pStyle w:val="Heading2"/>
      </w:pPr>
      <w:r>
        <w:t xml:space="preserve">Période 1 — Origines</w:t>
      </w:r>
    </w:p>
    <w:p>
      <w:pPr>
        <w:numPr>
          <w:ilvl w:val="0"/>
          <w:numId w:val="1030"/>
        </w:numPr>
        <w:pStyle w:val="Compact"/>
      </w:pPr>
      <w:r>
        <w:t xml:space="preserve">Hansford, J.</w:t>
      </w:r>
      <w:r>
        <w:t xml:space="preserve"> </w:t>
      </w:r>
      <w:r>
        <w:rPr>
          <w:iCs/>
          <w:i/>
        </w:rPr>
        <w:t xml:space="preserve">et al.</w:t>
      </w:r>
      <w:r>
        <w:t xml:space="preserve">, « Early Holocene human presence in Madagascar »,</w:t>
      </w:r>
      <w:r>
        <w:t xml:space="preserve"> </w:t>
      </w:r>
      <w:r>
        <w:rPr>
          <w:iCs/>
          <w:i/>
        </w:rPr>
        <w:t xml:space="preserve">Science Advances</w:t>
      </w:r>
      <w:r>
        <w:t xml:space="preserve">, 2018.</w:t>
      </w:r>
    </w:p>
    <w:p>
      <w:pPr>
        <w:numPr>
          <w:ilvl w:val="0"/>
          <w:numId w:val="1030"/>
        </w:numPr>
        <w:pStyle w:val="Compact"/>
      </w:pPr>
      <w:r>
        <w:t xml:space="preserve">Turvey, S.</w:t>
      </w:r>
      <w:r>
        <w:t xml:space="preserve"> </w:t>
      </w:r>
      <w:r>
        <w:rPr>
          <w:iCs/>
          <w:i/>
        </w:rPr>
        <w:t xml:space="preserve">et al.</w:t>
      </w:r>
      <w:r>
        <w:t xml:space="preserve">, « Evidence for Early Human Arrival in Madagascar is Robust: A Response to Mitchell », 2020.</w:t>
      </w:r>
    </w:p>
    <w:p>
      <w:pPr>
        <w:numPr>
          <w:ilvl w:val="0"/>
          <w:numId w:val="1030"/>
        </w:numPr>
        <w:pStyle w:val="Compact"/>
      </w:pPr>
      <w:r>
        <w:t xml:space="preserve">Mitchell, P., « A critical review of radiocarbon dates clarifies the human settlement of Madagascar »,</w:t>
      </w:r>
      <w:r>
        <w:t xml:space="preserve"> </w:t>
      </w:r>
      <w:r>
        <w:rPr>
          <w:iCs/>
          <w:i/>
        </w:rPr>
        <w:t xml:space="preserve">Quaternary Science Reviews</w:t>
      </w:r>
      <w:r>
        <w:t xml:space="preserve">, 2019.</w:t>
      </w:r>
    </w:p>
    <w:p>
      <w:pPr>
        <w:numPr>
          <w:ilvl w:val="0"/>
          <w:numId w:val="1030"/>
        </w:numPr>
        <w:pStyle w:val="Compact"/>
      </w:pPr>
      <w:r>
        <w:t xml:space="preserve">Crowther, A.</w:t>
      </w:r>
      <w:r>
        <w:t xml:space="preserve"> </w:t>
      </w:r>
      <w:r>
        <w:rPr>
          <w:iCs/>
          <w:i/>
        </w:rPr>
        <w:t xml:space="preserve">et al.</w:t>
      </w:r>
      <w:r>
        <w:t xml:space="preserve">, « Ancient crops provide first archaeological signature of the westward Austronesian expansion »,</w:t>
      </w:r>
      <w:r>
        <w:t xml:space="preserve"> </w:t>
      </w:r>
      <w:r>
        <w:rPr>
          <w:iCs/>
          <w:i/>
        </w:rPr>
        <w:t xml:space="preserve">PNAS</w:t>
      </w:r>
      <w:r>
        <w:t xml:space="preserve">, 2016.</w:t>
      </w:r>
    </w:p>
    <w:p>
      <w:pPr>
        <w:numPr>
          <w:ilvl w:val="0"/>
          <w:numId w:val="1030"/>
        </w:numPr>
        <w:pStyle w:val="Compact"/>
      </w:pPr>
      <w:r>
        <w:t xml:space="preserve">Cox, M.</w:t>
      </w:r>
      <w:r>
        <w:t xml:space="preserve"> </w:t>
      </w:r>
      <w:r>
        <w:rPr>
          <w:iCs/>
          <w:i/>
        </w:rPr>
        <w:t xml:space="preserve">et al.</w:t>
      </w:r>
      <w:r>
        <w:t xml:space="preserve">, « A small cohort of Island Southeast Asian women founded Madagascar »,</w:t>
      </w:r>
      <w:r>
        <w:t xml:space="preserve"> </w:t>
      </w:r>
      <w:r>
        <w:rPr>
          <w:iCs/>
          <w:i/>
        </w:rPr>
        <w:t xml:space="preserve">Proceedings of the Royal Society B</w:t>
      </w:r>
      <w:r>
        <w:t xml:space="preserve">, 2012.</w:t>
      </w:r>
    </w:p>
    <w:p>
      <w:pPr>
        <w:numPr>
          <w:ilvl w:val="0"/>
          <w:numId w:val="1030"/>
        </w:numPr>
        <w:pStyle w:val="Compact"/>
      </w:pPr>
      <w:r>
        <w:t xml:space="preserve">Pierron, D.</w:t>
      </w:r>
      <w:r>
        <w:t xml:space="preserve"> </w:t>
      </w:r>
      <w:r>
        <w:rPr>
          <w:iCs/>
          <w:i/>
        </w:rPr>
        <w:t xml:space="preserve">et al.</w:t>
      </w:r>
      <w:r>
        <w:t xml:space="preserve">, « Genomic landscape of human diversity across Madagascar »,</w:t>
      </w:r>
      <w:r>
        <w:t xml:space="preserve"> </w:t>
      </w:r>
      <w:r>
        <w:rPr>
          <w:iCs/>
          <w:i/>
        </w:rPr>
        <w:t xml:space="preserve">PNAS</w:t>
      </w:r>
      <w:r>
        <w:t xml:space="preserve">, 2017.</w:t>
      </w:r>
    </w:p>
    <w:p>
      <w:pPr>
        <w:numPr>
          <w:ilvl w:val="0"/>
          <w:numId w:val="1030"/>
        </w:numPr>
        <w:pStyle w:val="Compact"/>
      </w:pPr>
      <w:r>
        <w:t xml:space="preserve">Adelaar, A., « South Borneo as an ancient Sprachbund area »,</w:t>
      </w:r>
      <w:r>
        <w:t xml:space="preserve"> </w:t>
      </w:r>
      <w:r>
        <w:rPr>
          <w:iCs/>
          <w:i/>
        </w:rPr>
        <w:t xml:space="preserve">Wacana</w:t>
      </w:r>
      <w:r>
        <w:t xml:space="preserve">.</w:t>
      </w:r>
    </w:p>
    <w:p>
      <w:pPr>
        <w:numPr>
          <w:ilvl w:val="0"/>
          <w:numId w:val="1030"/>
        </w:numPr>
        <w:pStyle w:val="Compact"/>
      </w:pPr>
      <w:r>
        <w:t xml:space="preserve">Crossland, Z.,</w:t>
      </w:r>
      <w:r>
        <w:t xml:space="preserve"> </w:t>
      </w:r>
      <w:r>
        <w:rPr>
          <w:iCs/>
          <w:i/>
        </w:rPr>
        <w:t xml:space="preserve">Ancestral Encounters in Highland Madagascar</w:t>
      </w:r>
      <w:r>
        <w:t xml:space="preserve">, Cambridge University Press, 2014.</w:t>
      </w:r>
    </w:p>
    <w:p>
      <w:pPr>
        <w:numPr>
          <w:ilvl w:val="0"/>
          <w:numId w:val="1030"/>
        </w:numPr>
        <w:pStyle w:val="Compact"/>
      </w:pPr>
      <w:r>
        <w:t xml:space="preserve">Mission archéologique France-Madagascar (MAFMAD), présentation AIBL et ministère de la Culture.</w:t>
      </w:r>
    </w:p>
    <w:bookmarkEnd w:id="106"/>
    <w:bookmarkStart w:id="107" w:name="période-2-cités-royaumes-et-pirates"/>
    <w:p>
      <w:pPr>
        <w:pStyle w:val="Heading2"/>
      </w:pPr>
      <w:r>
        <w:t xml:space="preserve">Période 2 — Cités, royaumes et pirates</w:t>
      </w:r>
    </w:p>
    <w:p>
      <w:pPr>
        <w:numPr>
          <w:ilvl w:val="0"/>
          <w:numId w:val="1031"/>
        </w:numPr>
        <w:pStyle w:val="Compact"/>
      </w:pPr>
      <w:r>
        <w:t xml:space="preserve">Radimilahy, C.,</w:t>
      </w:r>
      <w:r>
        <w:t xml:space="preserve"> </w:t>
      </w:r>
      <w:r>
        <w:rPr>
          <w:iCs/>
          <w:i/>
        </w:rPr>
        <w:t xml:space="preserve">Mahilaka: An Archaeological Investigation of an Early Town in Northwestern Madagascar</w:t>
      </w:r>
      <w:r>
        <w:t xml:space="preserve">.</w:t>
      </w:r>
    </w:p>
    <w:p>
      <w:pPr>
        <w:numPr>
          <w:ilvl w:val="0"/>
          <w:numId w:val="1031"/>
        </w:numPr>
        <w:pStyle w:val="Compact"/>
      </w:pPr>
      <w:r>
        <w:t xml:space="preserve">« Vohémar, cité-État malgache »,</w:t>
      </w:r>
      <w:r>
        <w:t xml:space="preserve"> </w:t>
      </w:r>
      <w:r>
        <w:rPr>
          <w:iCs/>
          <w:i/>
        </w:rPr>
        <w:t xml:space="preserve">Études océan Indien</w:t>
      </w:r>
      <w:r>
        <w:t xml:space="preserve">, OpenEdition.</w:t>
      </w:r>
    </w:p>
    <w:p>
      <w:pPr>
        <w:numPr>
          <w:ilvl w:val="0"/>
          <w:numId w:val="1031"/>
        </w:numPr>
        <w:pStyle w:val="Compact"/>
      </w:pPr>
      <w:r>
        <w:t xml:space="preserve">Flacourt, É. de,</w:t>
      </w:r>
      <w:r>
        <w:t xml:space="preserve"> </w:t>
      </w:r>
      <w:r>
        <w:rPr>
          <w:iCs/>
          <w:i/>
        </w:rPr>
        <w:t xml:space="preserve">Histoire de la Grande Isle Madagascar</w:t>
      </w:r>
      <w:r>
        <w:t xml:space="preserve">, 1658 — édition critique de Claude Allibert.</w:t>
      </w:r>
    </w:p>
    <w:p>
      <w:pPr>
        <w:numPr>
          <w:ilvl w:val="0"/>
          <w:numId w:val="1031"/>
        </w:numPr>
        <w:pStyle w:val="Compact"/>
      </w:pPr>
      <w:r>
        <w:t xml:space="preserve">Filliot, J.-M., « La traite des esclaves vers les Mascareignes au XVIIIe siècle », Persée.</w:t>
      </w:r>
    </w:p>
    <w:p>
      <w:pPr>
        <w:numPr>
          <w:ilvl w:val="0"/>
          <w:numId w:val="1031"/>
        </w:numPr>
        <w:pStyle w:val="Compact"/>
      </w:pPr>
      <w:r>
        <w:t xml:space="preserve">Graeber, D.,</w:t>
      </w:r>
      <w:r>
        <w:t xml:space="preserve"> </w:t>
      </w:r>
      <w:r>
        <w:rPr>
          <w:iCs/>
          <w:i/>
        </w:rPr>
        <w:t xml:space="preserve">Pirate Enlightenment, or the Real Libertalia</w:t>
      </w:r>
      <w:r>
        <w:t xml:space="preserve">, 2023 — thèse stimulante, spéculative, à citer comme telle.</w:t>
      </w:r>
    </w:p>
    <w:p>
      <w:pPr>
        <w:numPr>
          <w:ilvl w:val="0"/>
          <w:numId w:val="1031"/>
        </w:numPr>
        <w:pStyle w:val="Compact"/>
      </w:pPr>
      <w:r>
        <w:t xml:space="preserve">« Les manuscrits arabico-malgaches (sorabe) du pays antemoro », HAL-SHS.</w:t>
      </w:r>
    </w:p>
    <w:p>
      <w:pPr>
        <w:numPr>
          <w:ilvl w:val="0"/>
          <w:numId w:val="1031"/>
        </w:numPr>
        <w:pStyle w:val="Compact"/>
      </w:pPr>
      <w:r>
        <w:t xml:space="preserve">« Les royautés sacrées de Madagascar (XVe-XIXe s.) »,</w:t>
      </w:r>
      <w:r>
        <w:t xml:space="preserve"> </w:t>
      </w:r>
      <w:r>
        <w:rPr>
          <w:iCs/>
          <w:i/>
        </w:rPr>
        <w:t xml:space="preserve">Cahiers d’études africaines</w:t>
      </w:r>
      <w:r>
        <w:t xml:space="preserve">, Cairn, 2025.</w:t>
      </w:r>
    </w:p>
    <w:bookmarkEnd w:id="107"/>
    <w:bookmarkStart w:id="108" w:name="période-3-le-royaume"/>
    <w:p>
      <w:pPr>
        <w:pStyle w:val="Heading2"/>
      </w:pPr>
      <w:r>
        <w:t xml:space="preserve">Période 3 — Le royaume</w:t>
      </w:r>
    </w:p>
    <w:p>
      <w:pPr>
        <w:numPr>
          <w:ilvl w:val="0"/>
          <w:numId w:val="1032"/>
        </w:numPr>
        <w:pStyle w:val="Compact"/>
      </w:pPr>
      <w:r>
        <w:t xml:space="preserve">Campbell, G.,</w:t>
      </w:r>
      <w:r>
        <w:t xml:space="preserve"> </w:t>
      </w:r>
      <w:r>
        <w:rPr>
          <w:iCs/>
          <w:i/>
        </w:rPr>
        <w:t xml:space="preserve">An Economic History of Imperial Madagascar, 1750-1895</w:t>
      </w:r>
      <w:r>
        <w:t xml:space="preserve">, Cambridge University Press, 2005.</w:t>
      </w:r>
      <w:r>
        <w:t xml:space="preserve"> </w:t>
      </w:r>
      <w:r>
        <w:rPr>
          <w:bCs/>
          <w:b/>
        </w:rPr>
        <w:t xml:space="preserve">Référence centrale.</w:t>
      </w:r>
    </w:p>
    <w:p>
      <w:pPr>
        <w:numPr>
          <w:ilvl w:val="0"/>
          <w:numId w:val="1032"/>
        </w:numPr>
        <w:pStyle w:val="Compact"/>
      </w:pPr>
      <w:r>
        <w:t xml:space="preserve">Campbell, G., « Slavery and Fanompoana: the Structure of Forced Labour in Imerina, 1790-1861 »,</w:t>
      </w:r>
      <w:r>
        <w:t xml:space="preserve"> </w:t>
      </w:r>
      <w:r>
        <w:rPr>
          <w:iCs/>
          <w:i/>
        </w:rPr>
        <w:t xml:space="preserve">Journal of African History</w:t>
      </w:r>
      <w:r>
        <w:t xml:space="preserve">.</w:t>
      </w:r>
    </w:p>
    <w:p>
      <w:pPr>
        <w:numPr>
          <w:ilvl w:val="0"/>
          <w:numId w:val="1032"/>
        </w:numPr>
        <w:pStyle w:val="Compact"/>
      </w:pPr>
      <w:r>
        <w:t xml:space="preserve">Larson, P., travaux sur la mémoire et l’esclavage en Imerina.</w:t>
      </w:r>
    </w:p>
    <w:p>
      <w:pPr>
        <w:numPr>
          <w:ilvl w:val="0"/>
          <w:numId w:val="1032"/>
        </w:numPr>
        <w:pStyle w:val="Compact"/>
      </w:pPr>
      <w:r>
        <w:t xml:space="preserve">Callet, F.,</w:t>
      </w:r>
      <w:r>
        <w:t xml:space="preserve"> </w:t>
      </w:r>
      <w:r>
        <w:rPr>
          <w:iCs/>
          <w:i/>
        </w:rPr>
        <w:t xml:space="preserve">Tantara ny Andriana eto Madagasikara</w:t>
      </w:r>
      <w:r>
        <w:t xml:space="preserve"> </w:t>
      </w:r>
      <w:r>
        <w:t xml:space="preserve">— source de tradition orale, compilation 1873-1902.</w:t>
      </w:r>
    </w:p>
    <w:p>
      <w:pPr>
        <w:numPr>
          <w:ilvl w:val="0"/>
          <w:numId w:val="1032"/>
        </w:numPr>
        <w:pStyle w:val="Compact"/>
      </w:pPr>
      <w:r>
        <w:t xml:space="preserve">Ellis, W.,</w:t>
      </w:r>
      <w:r>
        <w:t xml:space="preserve"> </w:t>
      </w:r>
      <w:r>
        <w:rPr>
          <w:iCs/>
          <w:i/>
        </w:rPr>
        <w:t xml:space="preserve">History of Madagascar</w:t>
      </w:r>
      <w:r>
        <w:t xml:space="preserve">, 1838 — source missionnaire, partie prenante.</w:t>
      </w:r>
    </w:p>
    <w:p>
      <w:pPr>
        <w:numPr>
          <w:ilvl w:val="0"/>
          <w:numId w:val="1032"/>
        </w:numPr>
        <w:pStyle w:val="Compact"/>
      </w:pPr>
      <w:r>
        <w:t xml:space="preserve">« Le traité conclu entre Radama Ier et Lesage le 4 février 1817 »,</w:t>
      </w:r>
      <w:r>
        <w:t xml:space="preserve"> </w:t>
      </w:r>
      <w:r>
        <w:rPr>
          <w:iCs/>
          <w:i/>
        </w:rPr>
        <w:t xml:space="preserve">Revue française d’histoire d’outre-mer</w:t>
      </w:r>
      <w:r>
        <w:t xml:space="preserve">, 1974, Persée.</w:t>
      </w:r>
    </w:p>
    <w:p>
      <w:pPr>
        <w:numPr>
          <w:ilvl w:val="0"/>
          <w:numId w:val="1032"/>
        </w:numPr>
        <w:pStyle w:val="Compact"/>
      </w:pPr>
      <w:r>
        <w:t xml:space="preserve">« La prétendue survivance du roi Radama II », Persée, 1957.</w:t>
      </w:r>
    </w:p>
    <w:p>
      <w:pPr>
        <w:numPr>
          <w:ilvl w:val="0"/>
          <w:numId w:val="1032"/>
        </w:numPr>
        <w:pStyle w:val="Compact"/>
      </w:pPr>
      <w:r>
        <w:t xml:space="preserve">« L’expédition de Madagascar, 1895 », Histoire par l’image (ministère de la Culture).</w:t>
      </w:r>
    </w:p>
    <w:bookmarkEnd w:id="108"/>
    <w:bookmarkStart w:id="109" w:name="période-4-colonisation"/>
    <w:p>
      <w:pPr>
        <w:pStyle w:val="Heading2"/>
      </w:pPr>
      <w:r>
        <w:t xml:space="preserve">Période 4 — Colonisation</w:t>
      </w:r>
    </w:p>
    <w:p>
      <w:pPr>
        <w:numPr>
          <w:ilvl w:val="0"/>
          <w:numId w:val="1033"/>
        </w:numPr>
        <w:pStyle w:val="Compact"/>
      </w:pPr>
      <w:r>
        <w:t xml:space="preserve">Tronchon, J.,</w:t>
      </w:r>
      <w:r>
        <w:t xml:space="preserve"> </w:t>
      </w:r>
      <w:r>
        <w:rPr>
          <w:iCs/>
          <w:i/>
        </w:rPr>
        <w:t xml:space="preserve">L’Insurrection malgache de 1947</w:t>
      </w:r>
      <w:r>
        <w:t xml:space="preserve">, 1974 (rééd. 1986).</w:t>
      </w:r>
      <w:r>
        <w:t xml:space="preserve"> </w:t>
      </w:r>
      <w:r>
        <w:rPr>
          <w:bCs/>
          <w:b/>
        </w:rPr>
        <w:t xml:space="preserve">Référence centrale.</w:t>
      </w:r>
    </w:p>
    <w:p>
      <w:pPr>
        <w:numPr>
          <w:ilvl w:val="0"/>
          <w:numId w:val="1033"/>
        </w:numPr>
        <w:pStyle w:val="Compact"/>
      </w:pPr>
      <w:r>
        <w:t xml:space="preserve">Fremigacci, J., travaux sur l’insurrection de 1947 et son bilan.</w:t>
      </w:r>
      <w:r>
        <w:t xml:space="preserve"> </w:t>
      </w:r>
      <w:r>
        <w:rPr>
          <w:bCs/>
          <w:b/>
        </w:rPr>
        <w:t xml:space="preserve">Référence centrale.</w:t>
      </w:r>
    </w:p>
    <w:p>
      <w:pPr>
        <w:numPr>
          <w:ilvl w:val="0"/>
          <w:numId w:val="1033"/>
        </w:numPr>
        <w:pStyle w:val="Compact"/>
      </w:pPr>
      <w:r>
        <w:t xml:space="preserve">Ellis, S.,</w:t>
      </w:r>
      <w:r>
        <w:t xml:space="preserve"> </w:t>
      </w:r>
      <w:r>
        <w:rPr>
          <w:iCs/>
          <w:i/>
        </w:rPr>
        <w:t xml:space="preserve">L’Insurrection des Menalamba, une révolte à Madagascar (1895-1898)</w:t>
      </w:r>
      <w:r>
        <w:t xml:space="preserve">, Karthala.</w:t>
      </w:r>
    </w:p>
    <w:p>
      <w:pPr>
        <w:numPr>
          <w:ilvl w:val="0"/>
          <w:numId w:val="1033"/>
        </w:numPr>
        <w:pStyle w:val="Compact"/>
      </w:pPr>
      <w:r>
        <w:t xml:space="preserve">Ellis, S., « Un complot colonial à Madagascar. L’affaire Rainandriamampandry », Persée, 1991.</w:t>
      </w:r>
    </w:p>
    <w:p>
      <w:pPr>
        <w:numPr>
          <w:ilvl w:val="0"/>
          <w:numId w:val="1033"/>
        </w:numPr>
        <w:pStyle w:val="Compact"/>
      </w:pPr>
      <w:r>
        <w:t xml:space="preserve">Domenichini, J., « Jean Ralaimongo (1884-1943), ou Madagascar au seuil du nationalisme », Persée, 1969.</w:t>
      </w:r>
    </w:p>
    <w:p>
      <w:pPr>
        <w:numPr>
          <w:ilvl w:val="0"/>
          <w:numId w:val="1033"/>
        </w:numPr>
        <w:pStyle w:val="Compact"/>
      </w:pPr>
      <w:r>
        <w:t xml:space="preserve">Notice « Ralaimongo Jean », Maitron.</w:t>
      </w:r>
    </w:p>
    <w:p>
      <w:pPr>
        <w:numPr>
          <w:ilvl w:val="0"/>
          <w:numId w:val="1033"/>
        </w:numPr>
        <w:pStyle w:val="Compact"/>
      </w:pPr>
      <w:r>
        <w:t xml:space="preserve">Discours de Jacques Chirac, Antananarivo, 21 juillet 2005, elysee.fr — source primaire.</w:t>
      </w:r>
    </w:p>
    <w:p>
      <w:pPr>
        <w:numPr>
          <w:ilvl w:val="0"/>
          <w:numId w:val="1033"/>
        </w:numPr>
        <w:pStyle w:val="Compact"/>
      </w:pPr>
      <w:r>
        <w:t xml:space="preserve">France 24, « Macron annonce la création d’une commission mixte d’historiens sur la répression de 1947 », 24 avril 2025.</w:t>
      </w:r>
    </w:p>
    <w:bookmarkEnd w:id="109"/>
    <w:bookmarkStart w:id="110" w:name="période-5-les-républiques"/>
    <w:p>
      <w:pPr>
        <w:pStyle w:val="Heading2"/>
      </w:pPr>
      <w:r>
        <w:t xml:space="preserve">Période 5 — Les Républiques</w:t>
      </w:r>
    </w:p>
    <w:p>
      <w:pPr>
        <w:numPr>
          <w:ilvl w:val="0"/>
          <w:numId w:val="1034"/>
        </w:numPr>
        <w:pStyle w:val="Compact"/>
      </w:pPr>
      <w:r>
        <w:t xml:space="preserve">« Mobilisation populaire et répression à Madagascar »,</w:t>
      </w:r>
      <w:r>
        <w:t xml:space="preserve"> </w:t>
      </w:r>
      <w:r>
        <w:rPr>
          <w:iCs/>
          <w:i/>
        </w:rPr>
        <w:t xml:space="preserve">Politique africaine</w:t>
      </w:r>
      <w:r>
        <w:t xml:space="preserve">, Cairn, 2009.</w:t>
      </w:r>
    </w:p>
    <w:p>
      <w:pPr>
        <w:numPr>
          <w:ilvl w:val="0"/>
          <w:numId w:val="1034"/>
        </w:numPr>
        <w:pStyle w:val="Compact"/>
      </w:pPr>
      <w:r>
        <w:rPr>
          <w:iCs/>
          <w:i/>
        </w:rPr>
        <w:t xml:space="preserve">Paysans, intellectuels et populisme à Madagascar</w:t>
      </w:r>
      <w:r>
        <w:t xml:space="preserve">, chapitre sur le soulèvement du Sud de 1971, Cairn.</w:t>
      </w:r>
    </w:p>
    <w:p>
      <w:pPr>
        <w:numPr>
          <w:ilvl w:val="0"/>
          <w:numId w:val="1034"/>
        </w:numPr>
        <w:pStyle w:val="Compact"/>
      </w:pPr>
      <w:r>
        <w:t xml:space="preserve">Encyclopædia Universalis, notices « 8-26 août 1991 » et « 5 septembre 1996 ».</w:t>
      </w:r>
    </w:p>
    <w:p>
      <w:pPr>
        <w:numPr>
          <w:ilvl w:val="0"/>
          <w:numId w:val="1034"/>
        </w:numPr>
        <w:pStyle w:val="Compact"/>
      </w:pPr>
      <w:r>
        <w:t xml:space="preserve">Banque mondiale, série NY.GDP.PCAP.CD, Madagascar.</w:t>
      </w:r>
    </w:p>
    <w:p>
      <w:pPr>
        <w:numPr>
          <w:ilvl w:val="0"/>
          <w:numId w:val="1034"/>
        </w:numPr>
        <w:pStyle w:val="Compact"/>
      </w:pPr>
      <w:r>
        <w:t xml:space="preserve">Mongabay et CADTM, dossiers sur l’affaire Daewoo.</w:t>
      </w:r>
    </w:p>
    <w:p>
      <w:pPr>
        <w:numPr>
          <w:ilvl w:val="0"/>
          <w:numId w:val="1034"/>
        </w:numPr>
        <w:pStyle w:val="Compact"/>
      </w:pPr>
      <w:r>
        <w:t xml:space="preserve">ISS Africa, « The Madagascar upheaval – coup, revolution or</w:t>
      </w:r>
      <w:r>
        <w:t xml:space="preserve"> </w:t>
      </w:r>
      <w:r>
        <w:t xml:space="preserve">“</w:t>
      </w:r>
      <w:r>
        <w:t xml:space="preserve">coupvolution</w:t>
      </w:r>
      <w:r>
        <w:t xml:space="preserve">”</w:t>
      </w:r>
      <w:r>
        <w:t xml:space="preserve">? ».</w:t>
      </w:r>
    </w:p>
    <w:bookmarkEnd w:id="110"/>
    <w:bookmarkStart w:id="111" w:name="période-6-contemporain"/>
    <w:p>
      <w:pPr>
        <w:pStyle w:val="Heading2"/>
      </w:pPr>
      <w:r>
        <w:t xml:space="preserve">Période 6 — Contemporain</w:t>
      </w:r>
    </w:p>
    <w:p>
      <w:pPr>
        <w:numPr>
          <w:ilvl w:val="0"/>
          <w:numId w:val="1035"/>
        </w:numPr>
        <w:pStyle w:val="Compact"/>
      </w:pPr>
      <w:r>
        <w:t xml:space="preserve">World Weather Attribution, « Factors other than climate change are the main drivers of recent food insecurity in Southern Madagascar », 1er décembre 2021.</w:t>
      </w:r>
      <w:r>
        <w:t xml:space="preserve"> </w:t>
      </w:r>
      <w:r>
        <w:rPr>
          <w:bCs/>
          <w:b/>
        </w:rPr>
        <w:t xml:space="preserve">À citer systématiquement dès qu’on parle du kere.</w:t>
      </w:r>
    </w:p>
    <w:p>
      <w:pPr>
        <w:numPr>
          <w:ilvl w:val="0"/>
          <w:numId w:val="1035"/>
        </w:numPr>
        <w:pStyle w:val="Compact"/>
      </w:pPr>
      <w:r>
        <w:t xml:space="preserve">HCDH / ONU, communiqués de septembre-octobre 2025.</w:t>
      </w:r>
    </w:p>
    <w:p>
      <w:pPr>
        <w:numPr>
          <w:ilvl w:val="0"/>
          <w:numId w:val="1035"/>
        </w:numPr>
        <w:pStyle w:val="Compact"/>
      </w:pPr>
      <w:r>
        <w:t xml:space="preserve">ConstitutionNet (International IDEA), « Refondation et transition constitutionnelle à Madagascar », 3 novembre 2025.</w:t>
      </w:r>
    </w:p>
    <w:p>
      <w:pPr>
        <w:numPr>
          <w:ilvl w:val="0"/>
          <w:numId w:val="1035"/>
        </w:numPr>
        <w:pStyle w:val="Compact"/>
      </w:pPr>
      <w:r>
        <w:t xml:space="preserve">Amnesty International, rapport annuel 2026 et note du 30 mars 2026 sur Madagascar.</w:t>
      </w:r>
    </w:p>
    <w:p>
      <w:pPr>
        <w:numPr>
          <w:ilvl w:val="0"/>
          <w:numId w:val="1035"/>
        </w:numPr>
        <w:pStyle w:val="Compact"/>
      </w:pPr>
      <w:r>
        <w:t xml:space="preserve">Élysée, communiqué conjoint Macron / Randrianirina, 24 février 2026 — source primaire officielle.</w:t>
      </w:r>
    </w:p>
    <w:p>
      <w:pPr>
        <w:numPr>
          <w:ilvl w:val="0"/>
          <w:numId w:val="1035"/>
        </w:numPr>
        <w:pStyle w:val="Compact"/>
      </w:pPr>
      <w:r>
        <w:t xml:space="preserve">Banque mondiale, ASCENT Madagascar, mai 2026 ; page pays Madagascar.</w:t>
      </w:r>
    </w:p>
    <w:p>
      <w:pPr>
        <w:numPr>
          <w:ilvl w:val="0"/>
          <w:numId w:val="1035"/>
        </w:numPr>
        <w:pStyle w:val="Compact"/>
      </w:pPr>
      <w:r>
        <w:t xml:space="preserve">BNGRC, bilans cycloniques Fytia et Gezani, février 2026.</w:t>
      </w:r>
    </w:p>
    <w:p>
      <w:pPr>
        <w:numPr>
          <w:ilvl w:val="0"/>
          <w:numId w:val="1035"/>
        </w:numPr>
        <w:pStyle w:val="Compact"/>
      </w:pPr>
      <w:r>
        <w:t xml:space="preserve">L’Express de Madagascar, Madagascar-Tribune, AllAfrica — presse malgache, août 2026.</w:t>
      </w:r>
    </w:p>
    <w:p>
      <w:pPr>
        <w:numPr>
          <w:ilvl w:val="0"/>
          <w:numId w:val="1035"/>
        </w:numPr>
        <w:pStyle w:val="Compact"/>
      </w:pPr>
      <w:r>
        <w:t xml:space="preserve">AFP, RFI, France 24, Africanews — dépêches 2025-2026.</w:t>
      </w:r>
    </w:p>
    <w:bookmarkEnd w:id="111"/>
    <w:bookmarkEnd w:id="112"/>
    <w:bookmarkStart w:id="113" w:name="prochaines-étapes"/>
    <w:p>
      <w:pPr>
        <w:pStyle w:val="Heading1"/>
      </w:pPr>
      <w:r>
        <w:t xml:space="preserve">Prochaines étapes</w:t>
      </w:r>
    </w:p>
    <w:p>
      <w:pPr>
        <w:pStyle w:val="FirstParagraph"/>
      </w:pPr>
      <w:r>
        <w:t xml:space="preserve">Ce dossier est la colonne vertébrale. Voici ce qui manque encore pour produire.</w:t>
      </w:r>
    </w:p>
    <w:p>
      <w:pPr>
        <w:pStyle w:val="BodyText"/>
      </w:pPr>
      <w:r>
        <w:rPr>
          <w:bCs/>
          <w:b/>
        </w:rPr>
        <w:t xml:space="preserve">1. La bible du podcast.</w:t>
      </w:r>
      <w:r>
        <w:t xml:space="preserve"> </w:t>
      </w:r>
      <w:r>
        <w:t xml:space="preserve">Titre, ton, durée cible, structure type d’un épisode (accroche / générique / développement en trois actes / clôture), identité sonore, format des descriptions. Une dizaine de pages. C’est ce qui garantit que l’épisode 27 ressemble à l’épisode 3.</w:t>
      </w:r>
    </w:p>
    <w:p>
      <w:pPr>
        <w:pStyle w:val="BodyText"/>
      </w:pPr>
      <w:r>
        <w:rPr>
          <w:bCs/>
          <w:b/>
        </w:rPr>
        <w:t xml:space="preserve">2. Le script de l’épisode pilote.</w:t>
      </w:r>
      <w:r>
        <w:t xml:space="preserve"> </w:t>
      </w:r>
      <w:r>
        <w:t xml:space="preserve">Le meilleur candidat n’est pas l’épisode 1. C’est</w:t>
      </w:r>
      <w:r>
        <w:t xml:space="preserve"> </w:t>
      </w:r>
      <w:r>
        <w:rPr>
          <w:bCs/>
          <w:b/>
        </w:rPr>
        <w:t xml:space="preserve">l’épisode 2 — le débat sur la date d’arrivée</w:t>
      </w:r>
      <w:r>
        <w:t xml:space="preserve"> </w:t>
      </w:r>
      <w:r>
        <w:t xml:space="preserve">: un objet concret (un os), un mystère, deux camps, aucun besoin de connaissances préalables. Si ce pilote fonctionne, le reste suivra.</w:t>
      </w:r>
    </w:p>
    <w:p>
      <w:pPr>
        <w:pStyle w:val="BodyText"/>
      </w:pPr>
      <w:r>
        <w:rPr>
          <w:bCs/>
          <w:b/>
        </w:rPr>
        <w:t xml:space="preserve">3. Le sourcing des voix secondaires.</w:t>
      </w:r>
      <w:r>
        <w:t xml:space="preserve"> </w:t>
      </w:r>
      <w:r>
        <w:t xml:space="preserve">Le format retenu suppose des extraits lus. Il faut constituer, période par période, un corpus de citations d’époque effectivement disponibles — et trouver des voix malgaches pour équilibrer les sources européennes.</w:t>
      </w:r>
    </w:p>
    <w:p>
      <w:pPr>
        <w:pStyle w:val="BodyText"/>
      </w:pPr>
      <w:r>
        <w:rPr>
          <w:bCs/>
          <w:b/>
        </w:rPr>
        <w:t xml:space="preserve">4. La fiche technique de diffusion.</w:t>
      </w:r>
      <w:r>
        <w:t xml:space="preserve"> </w:t>
      </w:r>
      <w:r>
        <w:t xml:space="preserve">Format audio, métadonnées, flux RSS, découpage pour ta plateforme de streaming, descriptions pour Spotify et YouTube.</w:t>
      </w:r>
    </w:p>
    <w:p>
      <w:pPr>
        <w:pStyle w:val="BodyText"/>
      </w:pPr>
      <w:r>
        <w:rPr>
          <w:bCs/>
          <w:b/>
        </w:rPr>
        <w:t xml:space="preserve">5. La vérification finale de la saison 6.</w:t>
      </w:r>
      <w:r>
        <w:t xml:space="preserve"> </w:t>
      </w:r>
      <w:r>
        <w:t xml:space="preserve">À refaire juste avant l’enregistrement — la liste des points non vérifiés est en fin de section 6.</w:t>
      </w:r>
    </w:p>
    <w:p>
      <w:r>
        <w:pict>
          <v:rect style="width:0;height:1.5pt" o:hralign="center" o:hrstd="t" o:hr="t"/>
        </w:pict>
      </w:r>
    </w:p>
    <w:p>
      <w:pPr>
        <w:pStyle w:val="FirstParagraph"/>
      </w:pPr>
      <w:r>
        <w:rPr>
          <w:iCs/>
          <w:i/>
        </w:rPr>
        <w:t xml:space="preserve">Dossier maître, version 1 — 19 août 2026. Toute donnée de la période 6 est à re-vérifier avant enregistrement.</w:t>
      </w:r>
    </w:p>
    <w:bookmarkEnd w:id="11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1">
    <w:nsid w:val="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6">
    <w:nsid w:val="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5">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6">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7">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HISTOIRE DE MADAGASCAR — Dossier maître du podcast</dc:title>
  <dc:creator/>
  <cp:keywords/>
  <dcterms:created xsi:type="dcterms:W3CDTF">2026-08-19T19:06:48Z</dcterms:created>
  <dcterms:modified xsi:type="dcterms:W3CDTF">2026-08-19T19:06:48Z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Document de travail, version 1 — 19 août 2026</vt:lpwstr>
  </property>
</Properties>
</file>