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i w:val="1"/>
          <w:iCs w:val="1"/>
          <w:u w:val="single"/>
        </w:rPr>
      </w:pPr>
      <w:bookmarkStart w:colFirst="0" w:colLast="0" w:name="_nral2fimvy2q" w:id="0"/>
      <w:bookmarkEnd w:id="0"/>
      <w:r w:rsidDel="00000000" w:rsidR="00000000" w:rsidRPr="00000000">
        <w:rPr>
          <w:b w:val="1"/>
          <w:bCs w:val="1"/>
          <w:i w:val="1"/>
          <w:iCs w:val="1"/>
          <w:u w:val="single"/>
          <w:rtl w:val="0"/>
        </w:rPr>
        <w:t xml:space="preserve">The German U-Boat Campaign in the Atlantic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During World War II, Germany’s U-boat campaign in the Atlantic Ocean was one of the greatest threats to the Allied war effort. German submarines attempted to cut off Britain from food, soldiers, weapons, and supplies coming from North America. Although U-boats caused serious damage early in the war, the Allies eventually defeated them through better technology, convoy systems, intelligence, and stronger air power.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Germany relied on U-boats because Britain was an island nation that needed supplies delivered by sea. After France fell to Germany in 1940, the Germans gained access to French Atlantic ports such as Brest and Lorient. These ports allowed U-boats to reach the Atlantic more quickly. Admiral Karl Dönitz, the commander of Germany’s submarine force, believed that large groups of submarines could defeat Allied shipping. He used a strategy called the “wolf pack,” where several U-boats attacked the same convoy at once, usually at night.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U-boat campaign was especially dangerous in the early years of the war. In 1940 and 1941, German submarines sank many merchant ships bringing supplies to Britain. The problem became even worse after the United States entered the war in December 1941. In early 1942, U-boats attacked ships close to the American east coast during a period sometimes called the “Second Happy Time” by German crews. Many American ships were not yet using convoys or blackout rules, making them easier targets at night.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However, the Allies slowly developed ways to fight back. One important method was using convoy systems. Merchant ships travelled together in large groups protected by destroyers and other warships. While convoys could still be attacked, they were much harder for a single U-boat to destroy. Allied ships also used sonar, known as ASDIC, to detect submarines underwater. Depth charges could then be dropped to damage or destroy the U-boats.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Another major reason for Allied success was intelligence. British codebreakers at Bletchley Park were sometimes able to read German messages sent using the Enigma machine. This helped Allied commanders learn where U-boats might be operating and reroute convoys away from danger. Long-range aircraft also became increasingly important because they could patrol parts of the Atlantic that had once been beyond the reach of land-based planes.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turning point came in May 1943, often called “Black May” by the German U-boat force. During that month, the Germans lost many submarines while sinking fewer Allied ships. Dönitz temporarily withdrew many U-boats from the North Atlantic because the losses were too high. Although U-boats continued fighting until the end of the war, they never again threatened Allied shipping in the same way.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conclusion, the German U-boat campaign was a serious danger to Britain and the Allied war effort. At first, wolf pack attacks and weak Allied defenses allowed German submarines to sink huge amounts of shipping. However, Allied convoys, sonar, intelligence, aircraft, and naval escorts eventually won the Battle of the Atlantic. This victory was important because it allowed the Allies to transport the soldiers and equipment needed to invade Europe in 1944.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