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b0qxsp2kn0vt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Document 1: The Executive Summary &amp;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File Name: 01_Executive_Summary_Apex_Health.pdf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The initial overview document, typically the first thing a buyer reads.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CONFIDENTIAL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OMNIHEALTH GROUP – APEX HEALTH SOLUTIONS ACQUISITION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Date: October 26, 2023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Transaction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Buyer: OmniHealth Group, Inc.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Target: Apex Health Solutions, Inc.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Structure: Asset Purchase Agreement.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Consideration: $150M (Subject to working capital adjustment).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Target Profile: Apex Health Solutions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Apex Health Solutions is a leading provider of digital health solutions for the insurance market. They offer a SaaS-based platform for claims processing and patient engagement.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Rationale for Acquisition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acquisition aligns with OmniHealth's strategy to expand its digital footprint and capture a larger share of the health-tech market. Apex’s technology is complementary and will allow us to cross-sell into our existing client base.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Key Financial Highlights (FY 2022, Unaudited)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Revenue: $45M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EBITDA: $12M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Net Income: $9M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company's growth over the past three years has been exceptional, driven by a recent, large contract with a major insurance player, WellnessCorp 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Key Risks (To Be Addressed in Diligence)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Customer Concentration: As noted, a significant portion of revenue is derived from WellnessCorp.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Employee Retention: The success of the Apex platform is heavily reliant on a few key software engineers.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Legal: A review of the litigation schedule is required.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Financial Audit: Further review of the Quality of Earnings is needed.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