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i w:val="1"/>
          <w:iCs w:val="1"/>
          <w:color w:val="ff9900"/>
          <w:highlight w:val="darkBlue"/>
          <w:u w:val="single"/>
        </w:rPr>
      </w:pPr>
      <w:bookmarkStart w:colFirst="0" w:colLast="0" w:name="_heading=h.c36obr79xf0h" w:id="0"/>
      <w:bookmarkEnd w:id="0"/>
      <w:r w:rsidDel="00000000" w:rsidR="00000000" w:rsidRPr="00000000">
        <w:rPr>
          <w:b w:val="1"/>
          <w:bCs w:val="1"/>
          <w:i w:val="1"/>
          <w:iCs w:val="1"/>
          <w:color w:val="ff9900"/>
          <w:highlight w:val="darkBlue"/>
          <w:u w:val="single"/>
          <w:rtl w:val="0"/>
        </w:rPr>
        <w:t xml:space="preserve">SAMPLE MERGER DOCUMENT II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NRF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v9o1l9ell0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Merger Agreement (“Agreement”) sets forth the terms and conditions pursuant to which Acme Company A (“Purchaser”) shall acquire 100% of the outstanding shares of Acme Company B (“Target”). The Parties intend this transaction to be treated as a statutory merger in accordance with applicable law.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t4mpgyndk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Purchase Price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aggregate purchase price for the acquisition of Target shall be </w:t>
      </w:r>
      <w:r w:rsidDel="00000000" w:rsidR="00000000" w:rsidRPr="00000000">
        <w:rPr>
          <w:b w:val="1"/>
          <w:bCs w:val="1"/>
          <w:rtl w:val="0"/>
        </w:rPr>
        <w:t xml:space="preserve">USD $84,750,000</w:t>
      </w:r>
      <w:r w:rsidDel="00000000" w:rsidR="00000000" w:rsidRPr="00000000">
        <w:rPr>
          <w:rtl w:val="0"/>
        </w:rPr>
        <w:t xml:space="preserve">, to be paid as follows: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$50,000,000 in cash</w:t>
      </w:r>
      <w:r w:rsidDel="00000000" w:rsidR="00000000" w:rsidRPr="00000000">
        <w:rPr>
          <w:rtl w:val="0"/>
        </w:rPr>
        <w:t xml:space="preserve"> upon closing.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$25,000,000 in Acme A stock</w:t>
      </w:r>
      <w:r w:rsidDel="00000000" w:rsidR="00000000" w:rsidRPr="00000000">
        <w:rPr>
          <w:rtl w:val="0"/>
        </w:rPr>
        <w:t xml:space="preserve">, subject to a 12-month lock-up.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$9,750,000 as deferred consideration</w:t>
      </w:r>
      <w:r w:rsidDel="00000000" w:rsidR="00000000" w:rsidRPr="00000000">
        <w:rPr>
          <w:rtl w:val="0"/>
        </w:rPr>
        <w:t xml:space="preserve">, payable over 3 years contingent on Target meeting undisclosed performance metrics.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eco0a936kq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Due Diligence</w:t>
      </w:r>
    </w:p>
    <w:p w:rsidR="00000000" w:rsidDel="00000000" w:rsidP="00000000" w:rsidRDefault="00000000" w:rsidRPr="00000000" w14:paraId="000000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Purchaser has completed a preliminary due diligence review and agrees that no further material disclosures from the Target are required.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h04bczapb6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Representations and Warranties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z6l7sk255p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By the Target: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Target has no known liabilities, pending or threatened litigation, except those listed in </w:t>
      </w:r>
      <w:r w:rsidDel="00000000" w:rsidR="00000000" w:rsidRPr="00000000">
        <w:rPr>
          <w:i w:val="1"/>
          <w:iCs w:val="1"/>
          <w:rtl w:val="0"/>
        </w:rPr>
        <w:t xml:space="preserve">Schedule 7(b)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Target’s financial statements, prepared internally, fairly present its financial position as of the Closing Date.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Target is in </w:t>
      </w:r>
      <w:r w:rsidDel="00000000" w:rsidR="00000000" w:rsidRPr="00000000">
        <w:rPr>
          <w:b w:val="1"/>
          <w:bCs w:val="1"/>
          <w:rtl w:val="0"/>
        </w:rPr>
        <w:t xml:space="preserve">substantial compliance</w:t>
      </w:r>
      <w:r w:rsidDel="00000000" w:rsidR="00000000" w:rsidRPr="00000000">
        <w:rPr>
          <w:rtl w:val="0"/>
        </w:rPr>
        <w:t xml:space="preserve"> with all applicable regulations.</w:t>
      </w:r>
      <w:r w:rsidDel="00000000" w:rsidR="00000000" w:rsidRPr="00000000">
        <w:rPr>
          <w:b w:val="1"/>
          <w:bCs w:val="1"/>
          <w:rtl w:val="0"/>
        </w:rPr>
        <w:t xml:space="preserve">4.2 By the Purchaser: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Purchaser is a duly organized and validly existing corporation with full power to enter this Agreement.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Purchaser acknowledges that </w:t>
      </w:r>
      <w:r w:rsidDel="00000000" w:rsidR="00000000" w:rsidRPr="00000000">
        <w:rPr>
          <w:b w:val="1"/>
          <w:bCs w:val="1"/>
          <w:rtl w:val="0"/>
        </w:rPr>
        <w:t xml:space="preserve">certain historical data may no longer be recoverable due to a server migration in Q4 2024.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u6x9t7j2va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Employees and Management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All current employees of the Target shall be retained post-merger for a minimum of 60 days.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Key executive contracts shall roll over under “substantially similar” terms.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key employee has communicated an intention to leave.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oqw1twh1q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Intellectual Property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Target warrants it owns or has rights to all material IP, except as noted in Schedule 12(a).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Certain proprietary algorithms have not yet been registered or patented</w:t>
      </w:r>
      <w:r w:rsidDel="00000000" w:rsidR="00000000" w:rsidRPr="00000000">
        <w:rPr>
          <w:rtl w:val="0"/>
        </w:rPr>
        <w:t xml:space="preserve"> but are “believed to be protected under common law.”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rfj7z6f8bo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Tax Matters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No tax audits are currently underway. The most recent audit occurred in 2019 and was resolved with minimal penalties.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Target makes no representation regarding tax obligations outside of North America.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t9rw9k9gu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 Conditions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All regulatory approvals must be obtained.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material contracts of the Target shall be assumed unless expressly excluded.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ongoing investigations</w:t>
      </w:r>
      <w:r w:rsidDel="00000000" w:rsidR="00000000" w:rsidRPr="00000000">
        <w:rPr>
          <w:rtl w:val="0"/>
        </w:rPr>
        <w:t xml:space="preserve"> as disclosed in Schedule 14(c) shall not be grounds for termination.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c601fvl17p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Confidentiality and Non-Disparagement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Parties agree not to publicly disclose or disparage any terms of this Agreement.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Any breach of this clause will result in </w:t>
      </w:r>
      <w:r w:rsidDel="00000000" w:rsidR="00000000" w:rsidRPr="00000000">
        <w:rPr>
          <w:b w:val="1"/>
          <w:bCs w:val="1"/>
          <w:rtl w:val="0"/>
        </w:rPr>
        <w:t xml:space="preserve">liquidated damages of $500,000 per incident.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nhxuxkjd87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Governing Law and Dispute Resolution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This Agreement shall be governed by the laws of the British Virgin Islands.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Any disputes shall be resolved by binding arbitration in Luxembourg.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cnsnzsjekk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Acme Company A (Purchaser):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Name: Jack Stone</w:t>
        <w:br w:type="textWrapping"/>
        <w:t xml:space="preserve"> Title: CEO</w:t>
      </w:r>
    </w:p>
    <w:p w:rsidR="00000000" w:rsidDel="00000000" w:rsidP="00000000" w:rsidRDefault="00000000" w:rsidRPr="00000000" w14:paraId="0000003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Acme Company B (Target):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Name: Marla Vega</w:t>
        <w:br w:type="textWrapping"/>
        <w:t xml:space="preserve"> Title: President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xdoacn67c7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Schedule 7(b): Legal Disputes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 12(a): IP Exemptions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 14(c): Ongoing Investigations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 22: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riiFLuT/A1y3rz407ucr2/Gwig==">CgMxLjAyDmguYzM2b2JyNzl4ZjBoMg5oLm92OW8xbDllbGwwbTINaC43dDRtcGd5bmRrazIOaC41ZWNvMGE5MzZrcTEyDmguaGgwNGJjemFwYjZnMg5oLmR6Nmw3c2syNTVwNjIOaC4ydTZ4OXQ3ajJ2YTcyDmguZDhvcXcxdHdoMXFvMg5oLjZyZmo3ejZmOGJveDIOaC5tMXQ5cnc5azlndXMyDmgubWM2MDFmdmwxN3AzMg5oLmtuaHh1eGtqZDg3YzIOaC5uY25zbnpzamVra3EyDmgucHhkb2FjbjY3Yzd2OAByITFTbk90bUplNFlBcXhEU1UyX3NDZTRxeXlaZHlZX2RW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