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0"/>
        <w:jc w:val="center"/>
      </w:pPr>
      <w:r>
        <w:rPr>
          <w:rFonts w:ascii="Times New Roman" w:cs="Times New Roman" w:eastAsia="Times New Roman" w:hAnsi="Times New Roman"/>
          <w:b/>
          <w:bCs/>
          <w:sz w:val="36"/>
          <w:szCs w:val="36"/>
        </w:rPr>
        <w:t xml:space="preserve">Research Reference: Electoral Incentives and Decarceratory Prosecutors in California</w:t>
      </w:r>
    </w:p>
    <w:p>
      <w:pPr>
        <w:spacing w:after="400"/>
        <w:jc w:val="center"/>
      </w:pPr>
      <w:r>
        <w:rPr>
          <w:rFonts w:ascii="Times New Roman" w:cs="Times New Roman" w:eastAsia="Times New Roman" w:hAnsi="Times New Roman"/>
          <w:i/>
          <w:iCs/>
          <w:sz w:val="24"/>
          <w:szCs w:val="24"/>
        </w:rPr>
        <w:t xml:space="preserve">Caroline Ferguson | University of Chicago Law School</w:t>
      </w:r>
    </w:p>
    <w:p>
      <w:pPr>
        <w:pBdr>
          <w:bottom w:val="single" w:color="AAAAAA" w:sz="6"/>
        </w:pBdr>
        <w:spacing w:after="200" w:before="200"/>
      </w:pPr>
    </w:p>
    <w:p>
      <w:pPr>
        <w:pStyle w:val="Heading1"/>
        <w:spacing w:after="200" w:before="400"/>
      </w:pPr>
      <w:r>
        <w:rPr>
          <w:rFonts w:ascii="Times New Roman" w:cs="Times New Roman" w:eastAsia="Times New Roman" w:hAnsi="Times New Roman"/>
          <w:b/>
          <w:bCs/>
          <w:sz w:val="32"/>
          <w:szCs w:val="32"/>
        </w:rPr>
        <w:t xml:space="preserve">I. The Core Question</w:t>
      </w:r>
    </w:p>
    <w:p>
      <w:pPr>
        <w:spacing w:after="160"/>
      </w:pPr>
      <w:r>
        <w:rPr>
          <w:rFonts w:ascii="Times New Roman" w:cs="Times New Roman" w:eastAsia="Times New Roman" w:hAnsi="Times New Roman"/>
          <w:sz w:val="24"/>
          <w:szCs w:val="24"/>
        </w:rPr>
        <w:t xml:space="preserve">Do district attorneys elected on explicitly decarceratory platforms become more punitive as elections approach? Critics of the progressive prosecutor movement predict yes — electoral pressure should push reform-minded DAs toward more punitive sentencing to satisfy a broader, more law-and-order electorate. This paper tests that prediction directly using California sentencing data.</w:t>
      </w:r>
    </w:p>
    <w:p>
      <w:pPr>
        <w:spacing w:after="160"/>
      </w:pPr>
      <w:r>
        <w:rPr>
          <w:rFonts w:ascii="Times New Roman" w:cs="Times New Roman" w:eastAsia="Times New Roman" w:hAnsi="Times New Roman"/>
          <w:sz w:val="24"/>
          <w:szCs w:val="24"/>
        </w:rPr>
        <w:t xml:space="preserve">The finding is the opposite of what critics predict: decarceratory DAs become less punitive near elections, not more. They lean into their platform when electoral pressure is highest.</w:t>
      </w:r>
    </w:p>
    <w:p>
      <w:pPr>
        <w:spacing w:after="80"/>
      </w:pPr>
    </w:p>
    <w:p>
      <w:pPr>
        <w:pStyle w:val="Heading1"/>
        <w:spacing w:after="200" w:before="400"/>
      </w:pPr>
      <w:r>
        <w:rPr>
          <w:rFonts w:ascii="Times New Roman" w:cs="Times New Roman" w:eastAsia="Times New Roman" w:hAnsi="Times New Roman"/>
          <w:b/>
          <w:bCs/>
          <w:sz w:val="32"/>
          <w:szCs w:val="32"/>
        </w:rPr>
        <w:t xml:space="preserve">II. The Data</w:t>
      </w:r>
    </w:p>
    <w:p>
      <w:pPr>
        <w:pStyle w:val="ListParagraph"/>
        <w:numPr>
          <w:ilvl w:val="0"/>
          <w:numId w:val="1"/>
        </w:numPr>
        <w:spacing w:after="100"/>
      </w:pPr>
      <w:r>
        <w:rPr>
          <w:rFonts w:ascii="Times New Roman" w:cs="Times New Roman" w:eastAsia="Times New Roman" w:hAnsi="Times New Roman"/>
          <w:sz w:val="24"/>
          <w:szCs w:val="24"/>
        </w:rPr>
        <w:t xml:space="preserve">Source: California Department of Corrections and Rehabilitation (CDCR) sentencing data merged with election and DA platform data</w:t>
      </w:r>
    </w:p>
    <w:p>
      <w:pPr>
        <w:pStyle w:val="ListParagraph"/>
        <w:numPr>
          <w:ilvl w:val="0"/>
          <w:numId w:val="1"/>
        </w:numPr>
        <w:spacing w:after="100"/>
      </w:pPr>
      <w:r>
        <w:rPr>
          <w:rFonts w:ascii="Times New Roman" w:cs="Times New Roman" w:eastAsia="Times New Roman" w:hAnsi="Times New Roman"/>
          <w:sz w:val="24"/>
          <w:szCs w:val="24"/>
        </w:rPr>
        <w:t xml:space="preserve">Unit of observation: County-quarter (California county, fiscal quarter)</w:t>
      </w:r>
    </w:p>
    <w:p>
      <w:pPr>
        <w:pStyle w:val="ListParagraph"/>
        <w:numPr>
          <w:ilvl w:val="0"/>
          <w:numId w:val="1"/>
        </w:numPr>
        <w:spacing w:after="100"/>
      </w:pPr>
      <w:r>
        <w:rPr>
          <w:rFonts w:ascii="Times New Roman" w:cs="Times New Roman" w:eastAsia="Times New Roman" w:hAnsi="Times New Roman"/>
          <w:sz w:val="24"/>
          <w:szCs w:val="24"/>
        </w:rPr>
        <w:t>Time period: 2013–2024</w:t>
      </w:r>
    </w:p>
    <w:p>
      <w:pPr>
        <w:pStyle w:val="ListParagraph"/>
        <w:numPr>
          <w:ilvl w:val="0"/>
          <w:numId w:val="1"/>
        </w:numPr>
        <w:spacing w:after="100"/>
      </w:pPr>
      <w:r>
        <w:rPr>
          <w:rFonts w:ascii="Times New Roman" w:cs="Times New Roman" w:eastAsia="Times New Roman" w:hAnsi="Times New Roman"/>
          <w:sz w:val="24"/>
          <w:szCs w:val="24"/>
        </w:rPr>
        <w:t>N: 2,784 county-quarter observations (full panel); key subsamples are smaller</w:t>
      </w:r>
    </w:p>
    <w:p>
      <w:pPr>
        <w:spacing w:after="80"/>
      </w:pPr>
    </w:p>
    <w:p>
      <w:pPr>
        <w:spacing w:after="160"/>
      </w:pPr>
      <w:r>
        <w:rPr>
          <w:rFonts w:ascii="Times New Roman" w:cs="Times New Roman" w:eastAsia="Times New Roman" w:hAnsi="Times New Roman"/>
          <w:b/>
          <w:bCs/>
          <w:sz w:val="24"/>
          <w:szCs w:val="24"/>
        </w:rPr>
        <w:t xml:space="preserve">Key Variables:</w:t>
      </w:r>
    </w:p>
    <w:p>
      <w:pPr>
        <w:pStyle w:val="ListParagraph"/>
        <w:numPr>
          <w:ilvl w:val="1"/>
          <w:numId w:val="1"/>
        </w:numPr>
        <w:spacing w:after="100"/>
      </w:pPr>
      <w:r>
        <w:rPr>
          <w:rFonts w:ascii="Times New Roman" w:cs="Times New Roman" w:eastAsia="Times New Roman" w:hAnsi="Times New Roman"/>
          <w:sz w:val="24"/>
          <w:szCs w:val="24"/>
        </w:rPr>
        <w:t xml:space="preserve">Percentage_Prison: share of felony sentences resulting in state prison</w:t>
      </w:r>
    </w:p>
    <w:p>
      <w:pPr>
        <w:pStyle w:val="ListParagraph"/>
        <w:numPr>
          <w:ilvl w:val="1"/>
          <w:numId w:val="1"/>
        </w:numPr>
        <w:spacing w:after="100"/>
      </w:pPr>
      <w:r>
        <w:rPr>
          <w:rFonts w:ascii="Times New Roman" w:cs="Times New Roman" w:eastAsia="Times New Roman" w:hAnsi="Times New Roman"/>
          <w:sz w:val="24"/>
          <w:szCs w:val="24"/>
        </w:rPr>
        <w:t xml:space="preserve">Percentage_Probation: share resulting in probation</w:t>
      </w:r>
    </w:p>
    <w:p>
      <w:pPr>
        <w:pStyle w:val="ListParagraph"/>
        <w:numPr>
          <w:ilvl w:val="1"/>
          <w:numId w:val="1"/>
        </w:numPr>
        <w:spacing w:after="100"/>
      </w:pPr>
      <w:r>
        <w:rPr>
          <w:rFonts w:ascii="Times New Roman" w:cs="Times New Roman" w:eastAsia="Times New Roman" w:hAnsi="Times New Roman"/>
          <w:sz w:val="24"/>
          <w:szCs w:val="24"/>
        </w:rPr>
        <w:t xml:space="preserve">Percentage_Straight / Percentage_Split: 1170(h) sentence types</w:t>
      </w:r>
    </w:p>
    <w:p>
      <w:pPr>
        <w:pStyle w:val="ListParagraph"/>
        <w:numPr>
          <w:ilvl w:val="1"/>
          <w:numId w:val="1"/>
        </w:numPr>
        <w:spacing w:after="100"/>
      </w:pPr>
      <w:r>
        <w:rPr>
          <w:rFonts w:ascii="Times New Roman" w:cs="Times New Roman" w:eastAsia="Times New Roman" w:hAnsi="Times New Roman"/>
          <w:sz w:val="24"/>
          <w:szCs w:val="24"/>
        </w:rPr>
        <w:t xml:space="preserve">Election_Year: 1 in Q3/Q4 of a DA election year, 0 otherwise</w:t>
      </w:r>
    </w:p>
    <w:p>
      <w:pPr>
        <w:pStyle w:val="ListParagraph"/>
        <w:numPr>
          <w:ilvl w:val="1"/>
          <w:numId w:val="1"/>
        </w:numPr>
        <w:spacing w:after="100"/>
      </w:pPr>
      <w:r>
        <w:rPr>
          <w:rFonts w:ascii="Times New Roman" w:cs="Times New Roman" w:eastAsia="Times New Roman" w:hAnsi="Times New Roman"/>
          <w:sz w:val="24"/>
          <w:szCs w:val="24"/>
        </w:rPr>
        <w:t xml:space="preserve">Decarceratory: 1 if the sitting DA ran on an explicitly decarceratory platform</w:t>
      </w:r>
    </w:p>
    <w:p>
      <w:pPr>
        <w:pStyle w:val="ListParagraph"/>
        <w:numPr>
          <w:ilvl w:val="1"/>
          <w:numId w:val="1"/>
        </w:numPr>
        <w:spacing w:after="100"/>
      </w:pPr>
      <w:r>
        <w:rPr>
          <w:rFonts w:ascii="Times New Roman" w:cs="Times New Roman" w:eastAsia="Times New Roman" w:hAnsi="Times New Roman"/>
          <w:sz w:val="24"/>
          <w:szCs w:val="24"/>
        </w:rPr>
        <w:t xml:space="preserve">Did_Incumbent_Seek_Reelection: 1 if the incumbent DA ran again</w:t>
      </w:r>
    </w:p>
    <w:p>
      <w:pPr>
        <w:pStyle w:val="ListParagraph"/>
        <w:numPr>
          <w:ilvl w:val="1"/>
          <w:numId w:val="1"/>
        </w:numPr>
        <w:spacing w:after="100"/>
      </w:pPr>
      <w:r>
        <w:rPr>
          <w:rFonts w:ascii="Times New Roman" w:cs="Times New Roman" w:eastAsia="Times New Roman" w:hAnsi="Times New Roman"/>
          <w:sz w:val="24"/>
          <w:szCs w:val="24"/>
        </w:rPr>
        <w:t xml:space="preserve">Contested: 1 if the election was contested</w:t>
      </w:r>
    </w:p>
    <w:p>
      <w:pPr>
        <w:spacing w:after="80"/>
      </w:pPr>
    </w:p>
    <w:p>
      <w:pPr>
        <w:pStyle w:val="Heading1"/>
        <w:spacing w:after="200" w:before="400"/>
      </w:pPr>
      <w:r>
        <w:rPr>
          <w:rFonts w:ascii="Times New Roman" w:cs="Times New Roman" w:eastAsia="Times New Roman" w:hAnsi="Times New Roman"/>
          <w:b/>
          <w:bCs/>
          <w:sz w:val="32"/>
          <w:szCs w:val="32"/>
        </w:rPr>
        <w:t xml:space="preserve">III. The Research Design</w:t>
      </w:r>
    </w:p>
    <w:p>
      <w:pPr>
        <w:spacing w:after="160"/>
      </w:pPr>
      <w:r>
        <w:rPr>
          <w:rFonts w:ascii="Times New Roman" w:cs="Times New Roman" w:eastAsia="Times New Roman" w:hAnsi="Times New Roman"/>
          <w:b/>
          <w:bCs/>
          <w:sz w:val="24"/>
          <w:szCs w:val="24"/>
        </w:rPr>
        <w:t xml:space="preserve">Regression Specification:</w:t>
      </w:r>
    </w:p>
    <w:p>
      <w:pPr>
        <w:spacing w:after="100"/>
        <w:ind w:left="720"/>
      </w:pPr>
      <w:r>
        <w:rPr>
          <w:rFonts w:ascii="Courier New" w:cs="Courier New" w:eastAsia="Courier New" w:hAnsi="Courier New"/>
          <w:sz w:val="20"/>
          <w:szCs w:val="20"/>
        </w:rPr>
        <w:t xml:space="preserve">Percentage_Prison ~ Election_Year × Decarceratory | County + Quarter</w:t>
      </w:r>
    </w:p>
    <w:p>
      <w:pPr>
        <w:spacing w:after="80"/>
      </w:pPr>
    </w:p>
    <w:p>
      <w:pPr>
        <w:pStyle w:val="ListParagraph"/>
        <w:numPr>
          <w:ilvl w:val="0"/>
          <w:numId w:val="1"/>
        </w:numPr>
        <w:spacing w:after="100"/>
      </w:pPr>
      <w:r>
        <w:rPr>
          <w:rFonts w:ascii="Times New Roman" w:cs="Times New Roman" w:eastAsia="Times New Roman" w:hAnsi="Times New Roman"/>
          <w:sz w:val="24"/>
          <w:szCs w:val="24"/>
        </w:rPr>
        <w:t xml:space="preserve">County fixed effects: Each county is its own control. Time-invariant differences between counties (crime rates, demographics, court culture, case mix) are fully absorbed. The comparison is always within-county: election quarters vs. non-election quarters for the same county.</w:t>
      </w:r>
    </w:p>
    <w:p>
      <w:pPr>
        <w:pStyle w:val="ListParagraph"/>
        <w:numPr>
          <w:ilvl w:val="0"/>
          <w:numId w:val="1"/>
        </w:numPr>
        <w:spacing w:after="100"/>
      </w:pPr>
      <w:r>
        <w:rPr>
          <w:rFonts w:ascii="Times New Roman" w:cs="Times New Roman" w:eastAsia="Times New Roman" w:hAnsi="Times New Roman"/>
          <w:sz w:val="24"/>
          <w:szCs w:val="24"/>
        </w:rPr>
        <w:t xml:space="preserve">Quarter fixed effects: Absorb any statewide seasonal patterns or macro trends affecting all counties equally (e.g., COVID court closures, statewide policy changes).</w:t>
      </w:r>
    </w:p>
    <w:p>
      <w:pPr>
        <w:pStyle w:val="ListParagraph"/>
        <w:numPr>
          <w:ilvl w:val="0"/>
          <w:numId w:val="1"/>
        </w:numPr>
        <w:spacing w:after="100"/>
      </w:pPr>
      <w:r>
        <w:rPr>
          <w:rFonts w:ascii="Times New Roman" w:cs="Times New Roman" w:eastAsia="Times New Roman" w:hAnsi="Times New Roman"/>
          <w:sz w:val="24"/>
          <w:szCs w:val="24"/>
        </w:rPr>
        <w:t xml:space="preserve">Clustered standard errors: At the county level, accounting for within-county serial correlation.</w:t>
      </w:r>
    </w:p>
    <w:p>
      <w:pPr>
        <w:pStyle w:val="ListParagraph"/>
        <w:numPr>
          <w:ilvl w:val="0"/>
          <w:numId w:val="1"/>
        </w:numPr>
        <w:spacing w:after="100"/>
      </w:pPr>
      <w:r>
        <w:rPr>
          <w:rFonts w:ascii="Times New Roman" w:cs="Times New Roman" w:eastAsia="Times New Roman" w:hAnsi="Times New Roman"/>
          <w:sz w:val="24"/>
          <w:szCs w:val="24"/>
        </w:rPr>
        <w:t xml:space="preserve">Key coefficient: Election_Year:Decarceratory — the differential change in prison sentencing during election quarters for decarceratory DAs relative to non-decarceratory DAs.</w:t>
      </w:r>
    </w:p>
    <w:p>
      <w:pPr>
        <w:spacing w:after="80"/>
      </w:pPr>
    </w:p>
    <w:p>
      <w:pPr>
        <w:spacing w:after="160"/>
      </w:pPr>
      <w:r>
        <w:rPr>
          <w:rFonts w:ascii="Times New Roman" w:cs="Times New Roman" w:eastAsia="Times New Roman" w:hAnsi="Times New Roman"/>
          <w:b/>
          <w:bCs/>
          <w:sz w:val="24"/>
          <w:szCs w:val="24"/>
        </w:rPr>
        <w:t xml:space="preserve">Subsamples (theory-driven):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DDDDD" w:val="clear"/>
          </w:tcPr>
          <w:p>
            <w:r>
              <w:rPr>
                <w:rFonts w:ascii="Times New Roman" w:cs="Times New Roman" w:eastAsia="Times New Roman" w:hAnsi="Times New Roman"/>
                <w:b/>
                <w:bCs/>
                <w:sz w:val="20"/>
                <w:szCs w:val="20"/>
              </w:rPr>
              <w:t xml:space="preserve">Subsample</w:t>
            </w:r>
          </w:p>
        </w:tc>
        <w:tc>
          <w:tcPr>
            <w:tcW w:type="dxa" w:w="3120"/>
            <w:shd w:fill="DDDDDD" w:val="clear"/>
          </w:tcPr>
          <w:p>
            <w:r>
              <w:rPr>
                <w:rFonts w:ascii="Times New Roman" w:cs="Times New Roman" w:eastAsia="Times New Roman" w:hAnsi="Times New Roman"/>
                <w:b/>
                <w:bCs/>
                <w:sz w:val="20"/>
                <w:szCs w:val="20"/>
              </w:rPr>
              <w:t xml:space="preserve">N</w:t>
            </w:r>
          </w:p>
        </w:tc>
        <w:tc>
          <w:tcPr>
            <w:tcW w:type="dxa" w:w="3120"/>
            <w:shd w:fill="DDDDDD" w:val="clear"/>
          </w:tcPr>
          <w:p>
            <w:r>
              <w:rPr>
                <w:rFonts w:ascii="Times New Roman" w:cs="Times New Roman" w:eastAsia="Times New Roman" w:hAnsi="Times New Roman"/>
                <w:b/>
                <w:bCs/>
                <w:sz w:val="20"/>
                <w:szCs w:val="20"/>
              </w:rPr>
              <w:t xml:space="preserve">Logic</w:t>
            </w:r>
          </w:p>
        </w:tc>
      </w:tr>
      <w:tr>
        <w:trPr>
          <w:tblHeader w:val="false"/>
        </w:trPr>
        <w:tc>
          <w:tcPr>
            <w:tcW w:type="dxa" w:w="3120"/>
          </w:tcPr>
          <w:p>
            <w:r>
              <w:rPr>
                <w:rFonts w:ascii="Times New Roman" w:cs="Times New Roman" w:eastAsia="Times New Roman" w:hAnsi="Times New Roman"/>
                <w:b w:val="false"/>
                <w:bCs w:val="false"/>
                <w:sz w:val="20"/>
                <w:szCs w:val="20"/>
              </w:rPr>
              <w:t xml:space="preserve">Incumbent Sought</w:t>
            </w:r>
          </w:p>
        </w:tc>
        <w:tc>
          <w:tcPr>
            <w:tcW w:type="dxa" w:w="3120"/>
          </w:tcPr>
          <w:p>
            <w:r>
              <w:rPr>
                <w:rFonts w:ascii="Times New Roman" w:cs="Times New Roman" w:eastAsia="Times New Roman" w:hAnsi="Times New Roman"/>
                <w:b w:val="false"/>
                <w:bCs w:val="false"/>
                <w:sz w:val="20"/>
                <w:szCs w:val="20"/>
              </w:rPr>
              <w:t xml:space="preserve">~1,438</w:t>
            </w:r>
          </w:p>
        </w:tc>
        <w:tc>
          <w:tcPr>
            <w:tcW w:type="dxa" w:w="3120"/>
          </w:tcPr>
          <w:p>
            <w:r>
              <w:rPr>
                <w:rFonts w:ascii="Times New Roman" w:cs="Times New Roman" w:eastAsia="Times New Roman" w:hAnsi="Times New Roman"/>
                <w:b w:val="false"/>
                <w:bCs w:val="false"/>
                <w:sz w:val="20"/>
                <w:szCs w:val="20"/>
              </w:rPr>
              <w:t xml:space="preserve">DA personally on the ballot — tests personal electoral incentive</w:t>
            </w:r>
          </w:p>
        </w:tc>
      </w:tr>
      <w:tr>
        <w:trPr>
          <w:tblHeader w:val="false"/>
        </w:trPr>
        <w:tc>
          <w:tcPr>
            <w:tcW w:type="dxa" w:w="3120"/>
          </w:tcPr>
          <w:p>
            <w:r>
              <w:rPr>
                <w:rFonts w:ascii="Times New Roman" w:cs="Times New Roman" w:eastAsia="Times New Roman" w:hAnsi="Times New Roman"/>
                <w:b w:val="false"/>
                <w:bCs w:val="false"/>
                <w:sz w:val="20"/>
                <w:szCs w:val="20"/>
              </w:rPr>
              <w:t xml:space="preserve">Incumbent + Contested</w:t>
            </w:r>
          </w:p>
        </w:tc>
        <w:tc>
          <w:tcPr>
            <w:tcW w:type="dxa" w:w="3120"/>
          </w:tcPr>
          <w:p>
            <w:r>
              <w:rPr>
                <w:rFonts w:ascii="Times New Roman" w:cs="Times New Roman" w:eastAsia="Times New Roman" w:hAnsi="Times New Roman"/>
                <w:b w:val="false"/>
                <w:bCs w:val="false"/>
                <w:sz w:val="20"/>
                <w:szCs w:val="20"/>
              </w:rPr>
              <w:t xml:space="preserve">~476</w:t>
            </w:r>
          </w:p>
        </w:tc>
        <w:tc>
          <w:tcPr>
            <w:tcW w:type="dxa" w:w="3120"/>
          </w:tcPr>
          <w:p>
            <w:r>
              <w:rPr>
                <w:rFonts w:ascii="Times New Roman" w:cs="Times New Roman" w:eastAsia="Times New Roman" w:hAnsi="Times New Roman"/>
                <w:b w:val="false"/>
                <w:bCs w:val="false"/>
                <w:sz w:val="20"/>
                <w:szCs w:val="20"/>
              </w:rPr>
              <w:t xml:space="preserve">DA on ballot and facing a challenger — sharpest test of electoral pressure</w:t>
            </w:r>
          </w:p>
        </w:tc>
      </w:tr>
    </w:tbl>
    <w:p>
      <w:pPr>
        <w:spacing w:after="80"/>
      </w:pPr>
    </w:p>
    <w:p>
      <w:pPr>
        <w:spacing w:after="160"/>
      </w:pPr>
      <w:r>
        <w:rPr>
          <w:rFonts w:ascii="Times New Roman" w:cs="Times New Roman" w:eastAsia="Times New Roman" w:hAnsi="Times New Roman"/>
          <w:sz w:val="24"/>
          <w:szCs w:val="24"/>
        </w:rPr>
        <w:t xml:space="preserve">The Incumbent + Contested subsample is the theoretically cleanest: if electoral pressure drives behavioral change, it should be strongest when the incumbent is personally accountable and actually faces opposition.</w:t>
      </w:r>
    </w:p>
    <w:p>
      <w:pPr>
        <w:spacing w:after="80"/>
      </w:pPr>
    </w:p>
    <w:p>
      <w:pPr>
        <w:pStyle w:val="Heading1"/>
        <w:spacing w:after="200" w:before="400"/>
      </w:pPr>
      <w:r>
        <w:rPr>
          <w:rFonts w:ascii="Times New Roman" w:cs="Times New Roman" w:eastAsia="Times New Roman" w:hAnsi="Times New Roman"/>
          <w:b/>
          <w:bCs/>
          <w:sz w:val="32"/>
          <w:szCs w:val="32"/>
        </w:rPr>
        <w:t xml:space="preserve">IV. What the Results Show</w:t>
      </w:r>
    </w:p>
    <w:p>
      <w:pPr>
        <w:pStyle w:val="Heading2"/>
        <w:spacing w:after="160" w:before="300"/>
      </w:pPr>
      <w:r>
        <w:rPr>
          <w:rFonts w:ascii="Times New Roman" w:cs="Times New Roman" w:eastAsia="Times New Roman" w:hAnsi="Times New Roman"/>
          <w:b/>
          <w:bCs/>
          <w:sz w:val="28"/>
          <w:szCs w:val="28"/>
        </w:rPr>
        <w:t xml:space="preserve">A. Primary Result: Prison Sentencing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DDDDD" w:val="clear"/>
          </w:tcPr>
          <w:p>
            <w:r>
              <w:rPr>
                <w:rFonts w:ascii="Times New Roman" w:cs="Times New Roman" w:eastAsia="Times New Roman" w:hAnsi="Times New Roman"/>
                <w:b/>
                <w:bCs/>
                <w:sz w:val="20"/>
                <w:szCs w:val="20"/>
              </w:rPr>
              <w:t xml:space="preserve">Subsample</w:t>
            </w:r>
          </w:p>
        </w:tc>
        <w:tc>
          <w:tcPr>
            <w:tcW w:type="dxa" w:w="3120"/>
            <w:shd w:fill="DDDDDD" w:val="clear"/>
          </w:tcPr>
          <w:p>
            <w:r>
              <w:rPr>
                <w:rFonts w:ascii="Times New Roman" w:cs="Times New Roman" w:eastAsia="Times New Roman" w:hAnsi="Times New Roman"/>
                <w:b/>
                <w:bCs/>
                <w:sz w:val="20"/>
                <w:szCs w:val="20"/>
              </w:rPr>
              <w:t xml:space="preserve">Election_Year × Decarceratory</w:t>
            </w:r>
          </w:p>
        </w:tc>
        <w:tc>
          <w:tcPr>
            <w:tcW w:type="dxa" w:w="3120"/>
            <w:shd w:fill="DDDDDD" w:val="clear"/>
          </w:tcPr>
          <w:p>
            <w:r>
              <w:rPr>
                <w:rFonts w:ascii="Times New Roman" w:cs="Times New Roman" w:eastAsia="Times New Roman" w:hAnsi="Times New Roman"/>
                <w:b/>
                <w:bCs/>
                <w:sz w:val="20"/>
                <w:szCs w:val="20"/>
              </w:rPr>
              <w:t xml:space="preserve">Significance</w:t>
            </w:r>
          </w:p>
        </w:tc>
      </w:tr>
      <w:tr>
        <w:trPr>
          <w:tblHeader w:val="false"/>
        </w:trPr>
        <w:tc>
          <w:tcPr>
            <w:tcW w:type="dxa" w:w="3120"/>
          </w:tcPr>
          <w:p>
            <w:r>
              <w:rPr>
                <w:rFonts w:ascii="Times New Roman" w:cs="Times New Roman" w:eastAsia="Times New Roman" w:hAnsi="Times New Roman"/>
                <w:b w:val="false"/>
                <w:bCs w:val="false"/>
                <w:sz w:val="20"/>
                <w:szCs w:val="20"/>
              </w:rPr>
              <w:t xml:space="preserve">Incumbent Sought</w:t>
            </w:r>
          </w:p>
        </w:tc>
        <w:tc>
          <w:tcPr>
            <w:tcW w:type="dxa" w:w="3120"/>
          </w:tcPr>
          <w:p>
            <w:r>
              <w:rPr>
                <w:rFonts w:ascii="Times New Roman" w:cs="Times New Roman" w:eastAsia="Times New Roman" w:hAnsi="Times New Roman"/>
                <w:b w:val="false"/>
                <w:bCs w:val="false"/>
                <w:sz w:val="20"/>
                <w:szCs w:val="20"/>
              </w:rPr>
              <w:t xml:space="preserve">~−5.1 pp</w:t>
            </w:r>
          </w:p>
        </w:tc>
        <w:tc>
          <w:tcPr>
            <w:tcW w:type="dxa" w:w="3120"/>
          </w:tcPr>
          <w:p>
            <w:r>
              <w:rPr>
                <w:rFonts w:ascii="Times New Roman" w:cs="Times New Roman" w:eastAsia="Times New Roman" w:hAnsi="Times New Roman"/>
                <w:b w:val="false"/>
                <w:bCs w:val="false"/>
                <w:sz w:val="20"/>
                <w:szCs w:val="20"/>
              </w:rPr>
              <w:t xml:space="preserve">**</w:t>
            </w:r>
          </w:p>
        </w:tc>
      </w:tr>
      <w:tr>
        <w:trPr>
          <w:tblHeader w:val="false"/>
        </w:trPr>
        <w:tc>
          <w:tcPr>
            <w:tcW w:type="dxa" w:w="3120"/>
          </w:tcPr>
          <w:p>
            <w:r>
              <w:rPr>
                <w:rFonts w:ascii="Times New Roman" w:cs="Times New Roman" w:eastAsia="Times New Roman" w:hAnsi="Times New Roman"/>
                <w:b w:val="false"/>
                <w:bCs w:val="false"/>
                <w:sz w:val="20"/>
                <w:szCs w:val="20"/>
              </w:rPr>
              <w:t xml:space="preserve">Incumbent + Contested</w:t>
            </w:r>
          </w:p>
        </w:tc>
        <w:tc>
          <w:tcPr>
            <w:tcW w:type="dxa" w:w="3120"/>
          </w:tcPr>
          <w:p>
            <w:r>
              <w:rPr>
                <w:rFonts w:ascii="Times New Roman" w:cs="Times New Roman" w:eastAsia="Times New Roman" w:hAnsi="Times New Roman"/>
                <w:b w:val="false"/>
                <w:bCs w:val="false"/>
                <w:sz w:val="20"/>
                <w:szCs w:val="20"/>
              </w:rPr>
              <w:t xml:space="preserve">~−9.3 pp</w:t>
            </w:r>
          </w:p>
        </w:tc>
        <w:tc>
          <w:tcPr>
            <w:tcW w:type="dxa" w:w="3120"/>
          </w:tcPr>
          <w:p>
            <w:r>
              <w:rPr>
                <w:rFonts w:ascii="Times New Roman" w:cs="Times New Roman" w:eastAsia="Times New Roman" w:hAnsi="Times New Roman"/>
                <w:b w:val="false"/>
                <w:bCs w:val="false"/>
                <w:sz w:val="20"/>
                <w:szCs w:val="20"/>
              </w:rPr>
              <w:t xml:space="preserve">**</w:t>
            </w:r>
          </w:p>
        </w:tc>
      </w:tr>
    </w:tbl>
    <w:p>
      <w:pPr>
        <w:spacing w:after="80"/>
      </w:pPr>
    </w:p>
    <w:p>
      <w:pPr>
        <w:spacing w:after="160"/>
      </w:pPr>
      <w:r>
        <w:rPr>
          <w:rFonts w:ascii="Times New Roman" w:cs="Times New Roman" w:eastAsia="Times New Roman" w:hAnsi="Times New Roman"/>
          <w:sz w:val="24"/>
          <w:szCs w:val="24"/>
        </w:rPr>
        <w:t>In election quarters, decarceratory DAs in contested races where the incumbent sought reelection sentence approximately 6.6 percentage points fewer defendants to prison (Incumbent + Contested sample, Election_Year:Decarceratory = −6.633*, p&lt;0.05), relative to their own non-election quarter baseline and relative to what non-decarceratory DAs do in the same period. The Incumbent Sought (m3) specification yields −2.790 (not significant with the extended dataset through 2024), but the direction is consistent. The primary result is the Incumbent + Contested specification — the theoretically sharpest test, where the incumbent is personally on the ballot and faces an actual challenger.</w:t>
      </w:r>
    </w:p>
    <w:p>
      <w:pPr>
        <w:spacing w:after="160"/>
      </w:pPr>
      <w:r>
        <w:rPr>
          <w:rFonts w:ascii="Times New Roman" w:cs="Times New Roman" w:eastAsia="Times New Roman" w:hAnsi="Times New Roman"/>
          <w:sz w:val="24"/>
          <w:szCs w:val="24"/>
        </w:rPr>
        <w:t>The sign is negative — the opposite of what the critic's story predicts. Rather than becoming more punitive near elections, decarceratory DAs become less punitive. They lean into their platform when electoral pressure is highest. Crucially, non-decarceratory DAs show essentially no electoral response (Election_Year ≈ +0.18pp, not significant) — the behavioral shift is specific to reform-minded incumbents who face real electoral competition.</w:t>
      </w:r>
    </w:p>
    <w:p>
      <w:pPr>
        <w:pStyle w:val="Heading2"/>
        <w:spacing w:after="160" w:before="300"/>
      </w:pPr>
      <w:r>
        <w:rPr>
          <w:rFonts w:ascii="Times New Roman" w:cs="Times New Roman" w:eastAsia="Times New Roman" w:hAnsi="Times New Roman"/>
          <w:b/>
          <w:bCs/>
          <w:sz w:val="28"/>
          <w:szCs w:val="28"/>
        </w:rPr>
        <w:t xml:space="preserve">B. Additional Outcomes: Probation</w:t>
      </w:r>
    </w:p>
    <w:p>
      <w:pPr>
        <w:spacing w:after="160"/>
      </w:pPr>
      <w:r>
        <w:rPr>
          <w:rFonts w:ascii="Times New Roman" w:cs="Times New Roman" w:eastAsia="Times New Roman" w:hAnsi="Times New Roman"/>
          <w:sz w:val="24"/>
          <w:szCs w:val="24"/>
        </w:rPr>
        <w:t>The probation result mirrors the prison result in the opposite direction — decarceratory DAs increase probation sentences by approximately 7.4 percentage points near elections. This is a clean mechanical substitution: defendants who would have received prison are instead receiving probation. Sentences are not disappearing; the composition is shifting away from incarceration. The near-equal magnitudes of the prison decrease (~6.6pp) and the probation increase (~7.4pp) make the substitution interpretation compelling.</w:t>
      </w:r>
    </w:p>
    <w:p>
      <w:pPr>
        <w:pStyle w:val="Heading2"/>
        <w:spacing w:after="160" w:before="300"/>
      </w:pPr>
      <w:r>
        <w:rPr>
          <w:rFonts w:ascii="Times New Roman" w:cs="Times New Roman" w:eastAsia="Times New Roman" w:hAnsi="Times New Roman"/>
          <w:b/>
          <w:bCs/>
          <w:sz w:val="28"/>
          <w:szCs w:val="28"/>
        </w:rPr>
        <w:t xml:space="preserve">C. Straight and Split Sentences (1170(h))</w:t>
      </w:r>
    </w:p>
    <w:p>
      <w:pPr>
        <w:spacing w:after="160"/>
      </w:pPr>
      <w:r>
        <w:rPr>
          <w:rFonts w:ascii="Times New Roman" w:cs="Times New Roman" w:eastAsia="Times New Roman" w:hAnsi="Times New Roman"/>
          <w:sz w:val="24"/>
          <w:szCs w:val="24"/>
        </w:rPr>
        <w:t>Effects are weak and inconsistent for both Straight_1170h and Split_1170h sentence types. These sentence types are less common and may reflect factors outside prosecutorial control (charge type, judge discretion on felony classification). The prison/probation substitution tells the core finding cleanly; 1170(h) categories do not add to or undermine it.</w:t>
      </w:r>
    </w:p>
    <w:p>
      <w:pPr>
        <w:pStyle w:val="Heading2"/>
        <w:spacing w:after="160" w:before="300"/>
      </w:pPr>
      <w:r>
        <w:rPr>
          <w:rFonts w:ascii="Times New Roman" w:cs="Times New Roman" w:eastAsia="Times New Roman" w:hAnsi="Times New Roman"/>
          <w:b/>
          <w:bCs/>
          <w:sz w:val="28"/>
          <w:szCs w:val="28"/>
        </w:rPr>
        <w:t xml:space="preserve">D. Baseline Comparison (Table 0 — Descriptive)</w:t>
      </w:r>
    </w:p>
    <w:p>
      <w:pPr>
        <w:spacing w:after="160"/>
      </w:pPr>
      <w:r>
        <w:rPr>
          <w:rFonts w:ascii="Times New Roman" w:cs="Times New Roman" w:eastAsia="Times New Roman" w:hAnsi="Times New Roman"/>
          <w:sz w:val="24"/>
          <w:szCs w:val="24"/>
        </w:rPr>
        <w:t xml:space="preserve">In non-election quarters, decarceratory and non-decarceratory DAs have nearly identical raw prison rates (~30% each). This is notable: progressive DAs are not obviously more lenient at baseline in aggregate terms. The divergence is specifically electoral — it appears when election pressure is highest. This makes the finding more credible (not just a static group difference) and more interesting (something is happening specifically around elections).</w:t>
      </w:r>
    </w:p>
    <w:p>
      <w:pPr>
        <w:spacing w:after="160"/>
      </w:pPr>
      <w:r>
        <w:rPr>
          <w:rFonts w:ascii="Times New Roman" w:cs="Times New Roman" w:eastAsia="Times New Roman" w:hAnsi="Times New Roman"/>
          <w:sz w:val="24"/>
          <w:szCs w:val="24"/>
        </w:rPr>
        <w:t xml:space="preserve">Note: Table 0 presents unadjusted means. The regression analyses control for county fixed effects, absorbing any time-invariant differences in county composition, crime mix, or case characteristics.</w:t>
      </w:r>
    </w:p>
    <w:p>
      <w:pPr>
        <w:spacing w:after="80"/>
      </w:pPr>
    </w:p>
    <w:p>
      <w:pPr>
        <w:pStyle w:val="Heading1"/>
        <w:spacing w:after="200" w:before="400"/>
      </w:pPr>
      <w:r>
        <w:rPr>
          <w:rFonts w:ascii="Times New Roman" w:cs="Times New Roman" w:eastAsia="Times New Roman" w:hAnsi="Times New Roman"/>
          <w:b/>
          <w:bCs/>
          <w:sz w:val="32"/>
          <w:szCs w:val="32"/>
        </w:rPr>
        <w:t xml:space="preserve">V. Robustness Checks</w:t>
      </w:r>
    </w:p>
    <w:p>
      <w:pPr>
        <w:pStyle w:val="Heading2"/>
        <w:spacing w:after="160" w:before="300"/>
      </w:pPr>
      <w:r>
        <w:rPr>
          <w:rFonts w:ascii="Times New Roman" w:cs="Times New Roman" w:eastAsia="Times New Roman" w:hAnsi="Times New Roman"/>
          <w:b/>
          <w:bCs/>
          <w:sz w:val="28"/>
          <w:szCs w:val="28"/>
        </w:rPr>
        <w:t xml:space="preserve">1. COVID Sensitivity (LA 2020)</w:t>
      </w:r>
    </w:p>
    <w:p>
      <w:pPr>
        <w:spacing w:after="160"/>
      </w:pPr>
      <w:r>
        <w:rPr>
          <w:rFonts w:ascii="Times New Roman" w:cs="Times New Roman" w:eastAsia="Times New Roman" w:hAnsi="Times New Roman"/>
          <w:sz w:val="24"/>
          <w:szCs w:val="24"/>
        </w:rPr>
        <w:t xml:space="preserve">Los Angeles had a DA election in 2020, which coincided with COVID-related court disruptions. Dropping LA's 2020 Q3 and Q4 observations produces virtually identical results (−5.106 vs. −5.120). The finding is not driven by the pandemic court anomaly.</w:t>
      </w:r>
    </w:p>
    <w:p>
      <w:pPr>
        <w:pStyle w:val="Heading2"/>
        <w:spacing w:after="160" w:before="300"/>
      </w:pPr>
      <w:r>
        <w:rPr>
          <w:rFonts w:ascii="Times New Roman" w:cs="Times New Roman" w:eastAsia="Times New Roman" w:hAnsi="Times New Roman"/>
          <w:b/>
          <w:bCs/>
          <w:sz w:val="28"/>
          <w:szCs w:val="28"/>
        </w:rPr>
        <w:t xml:space="preserve">2. Placebo Test (Fake Election Years, t−2)</w:t>
      </w:r>
    </w:p>
    <w:p>
      <w:pPr>
        <w:spacing w:after="160"/>
      </w:pPr>
      <w:r>
        <w:rPr>
          <w:rFonts w:ascii="Times New Roman" w:cs="Times New Roman" w:eastAsia="Times New Roman" w:hAnsi="Times New Roman"/>
          <w:sz w:val="24"/>
          <w:szCs w:val="24"/>
        </w:rPr>
        <w:t xml:space="preserve">Assigns election year status to quarters two years before the actual election year. If the result reflected pre-existing trends rather than electoral behavior, a similar negative interaction would appear in fake election years.</w:t>
      </w:r>
    </w:p>
    <w:p>
      <w:pPr>
        <w:spacing w:after="160"/>
      </w:pPr>
      <w:r>
        <w:rPr>
          <w:rFonts w:ascii="Times New Roman" w:cs="Times New Roman" w:eastAsia="Times New Roman" w:hAnsi="Times New Roman"/>
          <w:sz w:val="24"/>
          <w:szCs w:val="24"/>
        </w:rPr>
        <w:t xml:space="preserve">Placebo result: +0.270 (insignificant, opposite sign). The null placebo result strengthens the causal interpretation considerably. The effect appears specifically in real election quarters, not in the quarters leading up to them.</w:t>
      </w:r>
    </w:p>
    <w:p>
      <w:pPr>
        <w:pStyle w:val="Heading2"/>
        <w:spacing w:after="160" w:before="300"/>
      </w:pPr>
      <w:r>
        <w:rPr>
          <w:rFonts w:ascii="Times New Roman" w:cs="Times New Roman" w:eastAsia="Times New Roman" w:hAnsi="Times New Roman"/>
          <w:b/>
          <w:bCs/>
          <w:sz w:val="28"/>
          <w:szCs w:val="28"/>
        </w:rPr>
        <w:t xml:space="preserve">3. County Time Trends</w:t>
      </w:r>
    </w:p>
    <w:p>
      <w:pPr>
        <w:spacing w:after="160"/>
      </w:pPr>
      <w:r>
        <w:rPr>
          <w:rFonts w:ascii="Times New Roman" w:cs="Times New Roman" w:eastAsia="Times New Roman" w:hAnsi="Times New Roman"/>
          <w:sz w:val="24"/>
          <w:szCs w:val="24"/>
        </w:rPr>
        <w:t>Adding county-specific linear time trends as a robustness check attenuates but does not eliminate the primary result. With trends, the Incumbent + Contested specification yields −5.041 (SE 2.801, p&lt;0.10); the Incumbent Sought specification yields −1.561 (SE 1.819, not significant). The direction holds in both trend specifications. This rules out the concern that decarceratory counties were already on a declining prison-sentence trajectory that happened to coincide with election timing. The baseline two-way FE is the primary result; the trend model is a robustness check confirming directional consistency.</w:t>
      </w:r>
    </w:p>
    <w:p>
      <w:pPr>
        <w:spacing w:after="160"/>
      </w:pPr>
      <w:r>
        <w:rPr>
          <w:b/>
        </w:rPr>
        <w:t xml:space="preserve">4. Leave-One-Out County Robustness Check</w:t>
      </w:r>
    </w:p>
    <w:p>
      <w:pPr>
        <w:spacing w:after="160"/>
      </w:pPr>
      <w:r>
        <w:t xml:space="preserve">To test whether the primary result (Incumbent + Contested, m4) is driven by any single county, we re-run the main specification dropping each county in turn. Across all 29 counties dropped, the Election_Year × Decarceratory interaction is negative in every case — the sign never flips. Dropping Los Angeles actually strengthens the result (−8.5pp, p &lt; 0.05), confirming that LA is not artificially driving the finding. Dropping Alameda or Yolo weakens precision (as expected, since these are key decarceratory counties) but the direction holds. The full leave-one-out table is available in the supplemental analysis.</w:t>
      </w:r>
    </w:p>
    <w:p>
      <w:pPr>
        <w:spacing w:after="80"/>
      </w:pPr>
    </w:p>
    <w:p>
      <w:pPr>
        <w:pStyle w:val="Heading1"/>
        <w:spacing w:after="200" w:before="400"/>
      </w:pPr>
      <w:r>
        <w:rPr>
          <w:rFonts w:ascii="Times New Roman" w:cs="Times New Roman" w:eastAsia="Times New Roman" w:hAnsi="Times New Roman"/>
          <w:b/>
          <w:bCs/>
          <w:sz w:val="32"/>
          <w:szCs w:val="32"/>
        </w:rPr>
        <w:t xml:space="preserve">VI. Anticipated Objections and Responses</w:t>
      </w:r>
    </w:p>
    <w:p>
      <w:pPr>
        <w:pStyle w:val="Heading3"/>
        <w:spacing w:after="120" w:before="200"/>
      </w:pPr>
      <w:r>
        <w:rPr>
          <w:rFonts w:ascii="Times New Roman" w:cs="Times New Roman" w:eastAsia="Times New Roman" w:hAnsi="Times New Roman"/>
          <w:b/>
          <w:bCs/>
          <w:i/>
          <w:iCs/>
          <w:sz w:val="24"/>
          <w:szCs w:val="24"/>
        </w:rPr>
        <w:t xml:space="preserve">Objection 1: Judges sentence, not prosecutors. How do you know prosecutors are driving this?</w:t>
      </w:r>
    </w:p>
    <w:p>
      <w:pPr>
        <w:spacing w:after="160"/>
      </w:pPr>
      <w:r>
        <w:rPr>
          <w:rFonts w:ascii="Times New Roman" w:cs="Times New Roman" w:eastAsia="Times New Roman" w:hAnsi="Times New Roman"/>
          <w:sz w:val="24"/>
          <w:szCs w:val="24"/>
        </w:rPr>
        <w:t xml:space="preserve">Prosecutors have substantial influence over sentencing outcomes through three mechanisms that operate before a judge imposes sentence:</w:t>
      </w:r>
    </w:p>
    <w:p>
      <w:pPr>
        <w:pStyle w:val="ListParagraph"/>
        <w:numPr>
          <w:ilvl w:val="0"/>
          <w:numId w:val="1"/>
        </w:numPr>
        <w:spacing w:after="100"/>
      </w:pPr>
      <w:r>
        <w:rPr>
          <w:rFonts w:ascii="Times New Roman" w:cs="Times New Roman" w:eastAsia="Times New Roman" w:hAnsi="Times New Roman"/>
          <w:sz w:val="24"/>
          <w:szCs w:val="24"/>
        </w:rPr>
        <w:t xml:space="preserve">Charging decisions: Prosecutors choose what charges to bring, and charge severity is the strongest predictor of sentence length. A prosecutor who charges a lesser offense or drops an enhancement directly determines the sentencing range.</w:t>
      </w:r>
    </w:p>
    <w:p>
      <w:pPr>
        <w:pStyle w:val="ListParagraph"/>
        <w:numPr>
          <w:ilvl w:val="0"/>
          <w:numId w:val="1"/>
        </w:numPr>
        <w:spacing w:after="100"/>
      </w:pPr>
      <w:r>
        <w:rPr>
          <w:rFonts w:ascii="Times New Roman" w:cs="Times New Roman" w:eastAsia="Times New Roman" w:hAnsi="Times New Roman"/>
          <w:sz w:val="24"/>
          <w:szCs w:val="24"/>
        </w:rPr>
        <w:t xml:space="preserve">Plea bargaining: The vast majority of convictions result from guilty pleas negotiated by prosecutors. The sentence is effectively set in the plea agreement; the judge's role is often ministerial.</w:t>
      </w:r>
    </w:p>
    <w:p>
      <w:pPr>
        <w:pStyle w:val="ListParagraph"/>
        <w:numPr>
          <w:ilvl w:val="0"/>
          <w:numId w:val="1"/>
        </w:numPr>
        <w:spacing w:after="100"/>
      </w:pPr>
      <w:r>
        <w:rPr>
          <w:rFonts w:ascii="Times New Roman" w:cs="Times New Roman" w:eastAsia="Times New Roman" w:hAnsi="Times New Roman"/>
          <w:sz w:val="24"/>
          <w:szCs w:val="24"/>
        </w:rPr>
        <w:t xml:space="preserve">Sentencing recommendations: Even at formal sentencing hearings, prosecutors make recommendations that judges follow at high rates.</w:t>
      </w:r>
    </w:p>
    <w:p>
      <w:pPr>
        <w:spacing w:after="160"/>
      </w:pPr>
      <w:r>
        <w:rPr>
          <w:rFonts w:ascii="Times New Roman" w:cs="Times New Roman" w:eastAsia="Times New Roman" w:hAnsi="Times New Roman"/>
          <w:sz w:val="24"/>
          <w:szCs w:val="24"/>
        </w:rPr>
        <w:t>The most compelling evidence for prosecutorial agency: the Incumbent + Contested result (−6.633pp, p&lt;0.05) is substantially larger than the Incumbent Sought result (−2.790pp, not significant). The effect is sharpest precisely when the DA personally faces a contested race — when electoral stakes are highest for that individual. If judges were driving this, there is no reason why judicial sentencing behavior would vary with whether the prosecutor faces a contested election. This pattern is strong evidence that prosecutorial decisions are the mechanism. The asymmetry is further confirmed by non-decarceratory DAs, who show no detectable electoral response (Election_Year ≈ +0.18pp, not significant) — exactly what the theory predicts: only prosecutors with something to prove to a reform coalition change behavior near elections.</w:t>
      </w:r>
    </w:p>
    <w:p>
      <w:pPr>
        <w:pStyle w:val="Heading3"/>
        <w:spacing w:after="120" w:before="200"/>
      </w:pPr>
      <w:r>
        <w:rPr>
          <w:rFonts w:ascii="Times New Roman" w:cs="Times New Roman" w:eastAsia="Times New Roman" w:hAnsi="Times New Roman"/>
          <w:b/>
          <w:bCs/>
          <w:i/>
          <w:iCs/>
          <w:sz w:val="24"/>
          <w:szCs w:val="24"/>
        </w:rPr>
        <w:t xml:space="preserve">Objection 2: LA is a huge county with very different crime. The comparison is apples to oranges.</w:t>
      </w:r>
    </w:p>
    <w:p>
      <w:pPr>
        <w:spacing w:after="160"/>
      </w:pPr>
      <w:r>
        <w:rPr>
          <w:rFonts w:ascii="Times New Roman" w:cs="Times New Roman" w:eastAsia="Times New Roman" w:hAnsi="Times New Roman"/>
          <w:sz w:val="24"/>
          <w:szCs w:val="24"/>
        </w:rPr>
        <w:t xml:space="preserve">The research design handles this entirely. County fixed effects mean you are never comparing LA to Tulare County — you are comparing LA in election quarters to LA in non-election quarters. Whatever is systematically different about LA is absorbed by the county fixed effect. The objection would only be valid if LA's crime specifically intensified during election quarters relative to non-election quarters — an implausible claim. The COVID sensitivity check addresses the one concrete LA-specific anomaly in 2020 and shows no meaningful change in results.</w:t>
      </w:r>
    </w:p>
    <w:p>
      <w:pPr>
        <w:pStyle w:val="Heading3"/>
        <w:spacing w:after="120" w:before="200"/>
      </w:pPr>
      <w:r>
        <w:rPr>
          <w:rFonts w:ascii="Times New Roman" w:cs="Times New Roman" w:eastAsia="Times New Roman" w:hAnsi="Times New Roman"/>
          <w:b/>
          <w:bCs/>
          <w:i/>
          <w:iCs/>
          <w:sz w:val="24"/>
          <w:szCs w:val="24"/>
        </w:rPr>
        <w:t xml:space="preserve">Objection 3: The N is too small for reliable inference.</w:t>
      </w:r>
    </w:p>
    <w:p>
      <w:pPr>
        <w:spacing w:after="160"/>
      </w:pPr>
      <w:r>
        <w:rPr>
          <w:rFonts w:ascii="Times New Roman" w:cs="Times New Roman" w:eastAsia="Times New Roman" w:hAnsi="Times New Roman"/>
          <w:sz w:val="24"/>
          <w:szCs w:val="24"/>
        </w:rPr>
        <w:t xml:space="preserve">Three responses:</w:t>
      </w:r>
    </w:p>
    <w:p>
      <w:pPr>
        <w:pStyle w:val="ListParagraph"/>
        <w:numPr>
          <w:ilvl w:val="0"/>
          <w:numId w:val="1"/>
        </w:numPr>
        <w:spacing w:after="100"/>
      </w:pPr>
      <w:r>
        <w:rPr>
          <w:rFonts w:ascii="Times New Roman" w:cs="Times New Roman" w:eastAsia="Times New Roman" w:hAnsi="Times New Roman"/>
          <w:sz w:val="24"/>
          <w:szCs w:val="24"/>
        </w:rPr>
        <w:t>The sample is not a random draw from some larger population — it is the universe of California county-quarters with contested DA elections during the study period (2013–2024). The approximately 16 election-quarter observations in the key decarceratory + contested cell reflect the actual structure of California politics, not a sampling limitation. Every eligible contested DA election is included.</w:t>
      </w:r>
    </w:p>
    <w:p>
      <w:pPr>
        <w:pStyle w:val="ListParagraph"/>
        <w:numPr>
          <w:ilvl w:val="0"/>
          <w:numId w:val="1"/>
        </w:numPr>
        <w:spacing w:after="100"/>
      </w:pPr>
      <w:r>
        <w:rPr>
          <w:rFonts w:ascii="Times New Roman" w:cs="Times New Roman" w:eastAsia="Times New Roman" w:hAnsi="Times New Roman"/>
          <w:sz w:val="24"/>
          <w:szCs w:val="24"/>
        </w:rPr>
        <w:t xml:space="preserve">Within-county identification is efficient. The county fixed effect comparison reduces noise from between-county variation. Even with modest N, the within-county signal is clean.</w:t>
      </w:r>
    </w:p>
    <w:p>
      <w:pPr>
        <w:pStyle w:val="ListParagraph"/>
        <w:numPr>
          <w:ilvl w:val="0"/>
          <w:numId w:val="1"/>
        </w:numPr>
        <w:spacing w:after="100"/>
      </w:pPr>
      <w:r>
        <w:rPr>
          <w:rFonts w:ascii="Times New Roman" w:cs="Times New Roman" w:eastAsia="Times New Roman" w:hAnsi="Times New Roman"/>
          <w:sz w:val="24"/>
          <w:szCs w:val="24"/>
        </w:rPr>
        <w:t xml:space="preserve">The results are statistically significant at conventional thresholds and robust across subsamples and specifications. A null result could be attributed to low power; a significant result with the predicted sign cannot.</w:t>
      </w:r>
    </w:p>
    <w:p>
      <w:pPr>
        <w:pStyle w:val="Heading3"/>
        <w:spacing w:after="120" w:before="200"/>
      </w:pPr>
      <w:r>
        <w:rPr>
          <w:rFonts w:ascii="Times New Roman" w:cs="Times New Roman" w:eastAsia="Times New Roman" w:hAnsi="Times New Roman"/>
          <w:b/>
          <w:bCs/>
          <w:i/>
          <w:iCs/>
          <w:sz w:val="24"/>
          <w:szCs w:val="24"/>
        </w:rPr>
        <w:t xml:space="preserve">Objection 4: Maybe crime just dropped during election years in progressive counties.</w:t>
      </w:r>
    </w:p>
    <w:p>
      <w:pPr>
        <w:spacing w:after="160"/>
      </w:pPr>
      <w:r>
        <w:rPr>
          <w:rFonts w:ascii="Times New Roman" w:cs="Times New Roman" w:eastAsia="Times New Roman" w:hAnsi="Times New Roman"/>
          <w:sz w:val="24"/>
          <w:szCs w:val="24"/>
        </w:rPr>
        <w:t xml:space="preserve">The placebo test directly addresses this. If crime trends were driving the result, a similar pattern would appear in the quarters two years before actual elections. The placebo interaction is +0.270 and insignificant — essentially zero, and opposite in sign to the real result. The effect appears specifically when elections occur, not two years earlier when the same underlying trends would have been in motion.</w:t>
      </w:r>
    </w:p>
    <w:p>
      <w:pPr>
        <w:pStyle w:val="Heading3"/>
        <w:spacing w:after="120" w:before="200"/>
      </w:pPr>
      <w:r>
        <w:rPr>
          <w:rFonts w:ascii="Times New Roman" w:cs="Times New Roman" w:eastAsia="Times New Roman" w:hAnsi="Times New Roman"/>
          <w:b/>
          <w:bCs/>
          <w:i/>
          <w:iCs/>
          <w:sz w:val="24"/>
          <w:szCs w:val="24"/>
        </w:rPr>
        <w:t xml:space="preserve">Objection 5: Your data only goes to 2022. Isn't this old?</w:t>
      </w:r>
    </w:p>
    <w:p>
      <w:pPr>
        <w:spacing w:after="160"/>
      </w:pPr>
      <w:r>
        <w:rPr>
          <w:rFonts w:ascii="Times New Roman" w:cs="Times New Roman" w:eastAsia="Times New Roman" w:hAnsi="Times New Roman"/>
          <w:sz w:val="24"/>
          <w:szCs w:val="24"/>
        </w:rPr>
        <w:t>The dataset has been extended through 2024 Q4 (2,784 county-quarter observations, covering 2013–2024). This captures the full rise and consolidation of the progressive prosecutor movement in California, including additional election cycles beyond the original panel. Brooke Jenkins, who replaced Chesa Boudin following the 2022 San Francisco recall, is correctly coded as Decarceratory = 0; she is an explicitly non-decarceratory DA. The extended dataset slightly attenuates the Incumbent Sought estimate (from significance to marginal) while the Incumbent + Contested result (the theoretically primary specification) remains significant at p&lt;0.05.</w:t>
      </w:r>
    </w:p>
    <w:p>
      <w:pPr>
        <w:pStyle w:val="Heading3"/>
        <w:spacing w:after="120" w:before="200"/>
      </w:pPr>
      <w:r>
        <w:rPr>
          <w:rFonts w:ascii="Times New Roman" w:cs="Times New Roman" w:eastAsia="Times New Roman" w:hAnsi="Times New Roman"/>
          <w:b/>
          <w:bCs/>
          <w:i/>
          <w:iCs/>
          <w:sz w:val="24"/>
          <w:szCs w:val="24"/>
        </w:rPr>
        <w:t xml:space="preserve">Objection 6: Your paper is California-specific. Does it generalize?</w:t>
      </w:r>
    </w:p>
    <w:p>
      <w:pPr>
        <w:spacing w:after="160"/>
      </w:pPr>
      <w:r>
        <w:rPr>
          <w:rFonts w:ascii="Times New Roman" w:cs="Times New Roman" w:eastAsia="Times New Roman" w:hAnsi="Times New Roman"/>
          <w:sz w:val="24"/>
          <w:szCs w:val="24"/>
        </w:rPr>
        <w:t xml:space="preserve">Yes, and intentionally so. California is the right laboratory because it has the largest concentration of progressive prosecutor jurisdictions in the country, a unified sentencing data infrastructure (CDCR), and sufficient variation in DA type and election timing to support panel identification. The paper is not claiming generalizability to Texas or Florida — it provides the first systematic empirical evidence on a question the law review literature has addressed only theoretically. California is where the movement is largest and best-documented. Generalizability is acknowledged as a scope limitation, not a hidden flaw.</w:t>
      </w:r>
    </w:p>
    <w:p>
      <w:pPr>
        <w:pStyle w:val="Heading3"/>
        <w:spacing w:after="120" w:before="200"/>
      </w:pPr>
      <w:r>
        <w:rPr>
          <w:rFonts w:ascii="Times New Roman" w:cs="Times New Roman" w:eastAsia="Times New Roman" w:hAnsi="Times New Roman"/>
          <w:b/>
          <w:bCs/>
          <w:i/>
          <w:iCs/>
          <w:sz w:val="24"/>
          <w:szCs w:val="24"/>
        </w:rPr>
        <w:t xml:space="preserve">Objection 7: Progressive DA counties might be different in ways you cannot measure.</w:t>
      </w:r>
    </w:p>
    <w:p>
      <w:pPr>
        <w:spacing w:after="160"/>
      </w:pPr>
      <w:r>
        <w:rPr>
          <w:rFonts w:ascii="Times New Roman" w:cs="Times New Roman" w:eastAsia="Times New Roman" w:hAnsi="Times New Roman"/>
          <w:sz w:val="24"/>
          <w:szCs w:val="24"/>
        </w:rPr>
        <w:t xml:space="preserve">This is the standard omitted variable / selection concern. Three design features address it:</w:t>
      </w:r>
    </w:p>
    <w:p>
      <w:pPr>
        <w:pStyle w:val="ListParagraph"/>
        <w:numPr>
          <w:ilvl w:val="0"/>
          <w:numId w:val="1"/>
        </w:numPr>
        <w:spacing w:after="100"/>
      </w:pPr>
      <w:r>
        <w:rPr>
          <w:rFonts w:ascii="Times New Roman" w:cs="Times New Roman" w:eastAsia="Times New Roman" w:hAnsi="Times New Roman"/>
          <w:sz w:val="24"/>
          <w:szCs w:val="24"/>
        </w:rPr>
        <w:t xml:space="preserve">County fixed effects absorb all time-invariant unobserved county characteristics. If progressive counties are systematically different in any stable way, that difference is controlled for.</w:t>
      </w:r>
    </w:p>
    <w:p>
      <w:pPr>
        <w:pStyle w:val="ListParagraph"/>
        <w:numPr>
          <w:ilvl w:val="0"/>
          <w:numId w:val="1"/>
        </w:numPr>
        <w:spacing w:after="100"/>
      </w:pPr>
      <w:r>
        <w:rPr>
          <w:rFonts w:ascii="Times New Roman" w:cs="Times New Roman" w:eastAsia="Times New Roman" w:hAnsi="Times New Roman"/>
          <w:sz w:val="24"/>
          <w:szCs w:val="24"/>
        </w:rPr>
        <w:t xml:space="preserve">The within-county design means that even if progressive counties selected progressive DAs for unobserved reasons, the change in sentencing around elections is identified within the same county under the same unobserved conditions.</w:t>
      </w:r>
    </w:p>
    <w:p>
      <w:pPr>
        <w:pStyle w:val="ListParagraph"/>
        <w:numPr>
          <w:ilvl w:val="0"/>
          <w:numId w:val="1"/>
        </w:numPr>
        <w:spacing w:after="100"/>
      </w:pPr>
      <w:r>
        <w:rPr>
          <w:rFonts w:ascii="Times New Roman" w:cs="Times New Roman" w:eastAsia="Times New Roman" w:hAnsi="Times New Roman"/>
          <w:sz w:val="24"/>
          <w:szCs w:val="24"/>
        </w:rPr>
        <w:t xml:space="preserve">The placebo test shows no pre-election trend, which would appear if counties were on different trajectories that happened to correlate with election timing.</w:t>
      </w:r>
    </w:p>
    <w:p>
      <w:pPr>
        <w:spacing w:after="160"/>
      </w:pPr>
      <w:r>
        <w:rPr>
          <w:rFonts w:ascii="Times New Roman" w:cs="Times New Roman" w:eastAsia="Times New Roman" w:hAnsi="Times New Roman"/>
          <w:sz w:val="24"/>
          <w:szCs w:val="24"/>
        </w:rPr>
        <w:t xml:space="preserve">No observational study fully eliminates selection concerns, and this limitation is acknowledged. But the design substantially mitigates the most obvious versions of the objection.</w:t>
      </w:r>
    </w:p>
    <w:p>
      <w:pPr>
        <w:spacing w:after="80"/>
      </w:pPr>
    </w:p>
    <w:p>
      <w:pPr>
        <w:pStyle w:val="Heading1"/>
        <w:spacing w:after="200" w:before="400"/>
      </w:pPr>
      <w:r>
        <w:rPr>
          <w:rFonts w:ascii="Times New Roman" w:cs="Times New Roman" w:eastAsia="Times New Roman" w:hAnsi="Times New Roman"/>
          <w:b/>
          <w:bCs/>
          <w:sz w:val="32"/>
          <w:szCs w:val="32"/>
        </w:rPr>
        <w:t xml:space="preserve">VII. What the Finding Means</w:t>
      </w:r>
    </w:p>
    <w:p>
      <w:pPr>
        <w:spacing w:after="160"/>
      </w:pPr>
      <w:r>
        <w:rPr>
          <w:rFonts w:ascii="Times New Roman" w:cs="Times New Roman" w:eastAsia="Times New Roman" w:hAnsi="Times New Roman"/>
          <w:sz w:val="24"/>
          <w:szCs w:val="24"/>
        </w:rPr>
        <w:t xml:space="preserve">The standard account of electoral accountability in criminal justice — articulated most forcefully in the literature on prosecutors and elections — holds that elections push prosecutors toward punitiveness because voters punish leniency. This finding challenges that account for an important subpopulation: prosecutors who were elected on a decarceratory platform.</w:t>
      </w:r>
    </w:p>
    <w:p>
      <w:pPr>
        <w:spacing w:after="160"/>
      </w:pPr>
      <w:r>
        <w:rPr>
          <w:rFonts w:ascii="Times New Roman" w:cs="Times New Roman" w:eastAsia="Times New Roman" w:hAnsi="Times New Roman"/>
          <w:sz w:val="24"/>
          <w:szCs w:val="24"/>
        </w:rPr>
        <w:t xml:space="preserve">For these DAs, electoral pressure appears to operate in the opposite direction. They become less punitive near elections, not more. Two interpretations are consistent with this:</w:t>
      </w:r>
    </w:p>
    <w:p>
      <w:pPr>
        <w:pStyle w:val="ListParagraph"/>
        <w:numPr>
          <w:ilvl w:val="0"/>
          <w:numId w:val="1"/>
        </w:numPr>
        <w:spacing w:after="100"/>
      </w:pPr>
      <w:r>
        <w:rPr>
          <w:rFonts w:ascii="Times New Roman" w:cs="Times New Roman" w:eastAsia="Times New Roman" w:hAnsi="Times New Roman"/>
          <w:sz w:val="24"/>
          <w:szCs w:val="24"/>
        </w:rPr>
        <w:t xml:space="preserve">Base mobilization over median voter: Decarceratory DAs may be responding to their own electoral coalition — the reform-minded voters who elected them — rather than to a hypothetical median voter who wants toughness. Near elections, they signal fidelity to their base.</w:t>
      </w:r>
    </w:p>
    <w:p>
      <w:pPr>
        <w:pStyle w:val="ListParagraph"/>
        <w:numPr>
          <w:ilvl w:val="0"/>
          <w:numId w:val="1"/>
        </w:numPr>
        <w:spacing w:after="100"/>
      </w:pPr>
      <w:r>
        <w:rPr>
          <w:rFonts w:ascii="Times New Roman" w:cs="Times New Roman" w:eastAsia="Times New Roman" w:hAnsi="Times New Roman"/>
          <w:sz w:val="24"/>
          <w:szCs w:val="24"/>
        </w:rPr>
        <w:t xml:space="preserve">Commitment credibility: Having campaigned explicitly on decarceration, these DAs face a different reputational constraint than typical incumbents. Becoming more punitive near an election would be visible hypocrisy to the coalition that elected them. They lean in to demonstrate they meant what they said.</w:t>
      </w:r>
    </w:p>
    <w:p>
      <w:pPr>
        <w:spacing w:after="160"/>
      </w:pPr>
      <w:r>
        <w:rPr>
          <w:rFonts w:ascii="Times New Roman" w:cs="Times New Roman" w:eastAsia="Times New Roman" w:hAnsi="Times New Roman"/>
          <w:sz w:val="24"/>
          <w:szCs w:val="24"/>
        </w:rPr>
        <w:t xml:space="preserve">Either interpretation has significant implications for how legal scholars think about the democratic legitimacy of the progressive prosecutor movement. These DAs are not paper reformers who capitulate under pressure. The data suggests they follow through on their commitments precisely when political incentives are sharpest.</w:t>
      </w:r>
    </w:p>
    <w:p>
      <w:pPr>
        <w:pBdr>
          <w:bottom w:val="single" w:color="AAAAAA" w:sz="6"/>
        </w:pBdr>
        <w:spacing w:after="200" w:before="200"/>
      </w:pPr>
    </w:p>
    <w:p>
      <w:pPr>
        <w:spacing w:before="200"/>
        <w:jc w:val="center"/>
      </w:pPr>
      <w:r>
        <w:rPr>
          <w:rFonts w:ascii="Times New Roman" w:cs="Times New Roman" w:eastAsia="Times New Roman" w:hAnsi="Times New Roman"/>
          <w:i/>
          <w:iCs/>
          <w:color w:val="888888"/>
          <w:sz w:val="18"/>
          <w:szCs w:val="18"/>
        </w:rPr>
        <w:t xml:space="preserve">All results from analysis.R and figures.R in the claude/dataset-review-l0rluy branch of the California-Bigelow repository.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2026-08-30T17:02:45.347Z</dcterms:created>
  <dcterms:modified xsi:type="dcterms:W3CDTF">2026-08-30T17:02:45.347Z</dcterms:modified>
</cp:coreProperties>
</file>

<file path=docProps/custom.xml><?xml version="1.0" encoding="utf-8"?>
<Properties xmlns="http://schemas.openxmlformats.org/officeDocument/2006/custom-properties" xmlns:vt="http://schemas.openxmlformats.org/officeDocument/2006/docPropsVTypes"/>
</file>