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Times New Roman" w:cs="Times New Roman" w:eastAsia="Times New Roman" w:hAnsi="Times New Roman"/>
          <w:b/>
          <w:bCs/>
          <w:sz w:val="36"/>
          <w:szCs w:val="36"/>
        </w:rPr>
        <w:t xml:space="preserve">Research Reference: Electoral Incentives and Decarceratory Prosecutors in California</w:t>
      </w:r>
    </w:p>
    <w:p>
      <w:pPr>
        <w:spacing w:after="400"/>
        <w:jc w:val="center"/>
      </w:pPr>
      <w:r>
        <w:rPr>
          <w:rFonts w:ascii="Times New Roman" w:cs="Times New Roman" w:eastAsia="Times New Roman" w:hAnsi="Times New Roman"/>
          <w:i/>
          <w:iCs/>
          <w:sz w:val="24"/>
          <w:szCs w:val="24"/>
        </w:rPr>
        <w:t xml:space="preserve">Caroline Ferguson | University of Chicago Law School</w:t>
      </w:r>
    </w:p>
    <w:p>
      <w:pPr>
        <w:pBdr>
          <w:bottom w:val="single" w:color="AAAAAA" w:sz="6"/>
        </w:pBdr>
        <w:spacing w:after="200" w:before="200"/>
      </w:pPr>
    </w:p>
    <w:p>
      <w:pPr>
        <w:pStyle w:val="Heading1"/>
        <w:spacing w:after="200" w:before="400"/>
      </w:pPr>
      <w:r>
        <w:rPr>
          <w:rFonts w:ascii="Times New Roman" w:cs="Times New Roman" w:eastAsia="Times New Roman" w:hAnsi="Times New Roman"/>
          <w:b/>
          <w:bCs/>
          <w:sz w:val="32"/>
          <w:szCs w:val="32"/>
        </w:rPr>
        <w:t xml:space="preserve">I. The Core Question</w:t>
      </w:r>
    </w:p>
    <w:p>
      <w:pPr>
        <w:spacing w:after="160"/>
      </w:pPr>
      <w:r>
        <w:rPr>
          <w:rFonts w:ascii="Times New Roman" w:cs="Times New Roman" w:eastAsia="Times New Roman" w:hAnsi="Times New Roman"/>
          <w:sz w:val="24"/>
          <w:szCs w:val="24"/>
        </w:rPr>
        <w:t xml:space="preserve">Do district attorneys elected on explicitly decarceratory platforms become more punitive as elections approach? Critics of the progressive prosecutor movement predict yes — electoral pressure should push reform-minded DAs toward more punitive sentencing to satisfy a broader, more law-and-order electorate. This paper tests that prediction directly using California sentencing data.</w:t>
      </w:r>
    </w:p>
    <w:p>
      <w:pPr>
        <w:spacing w:after="160"/>
      </w:pPr>
      <w:r>
        <w:rPr>
          <w:rFonts w:ascii="Times New Roman" w:cs="Times New Roman" w:eastAsia="Times New Roman" w:hAnsi="Times New Roman"/>
          <w:sz w:val="24"/>
          <w:szCs w:val="24"/>
        </w:rPr>
        <w:t xml:space="preserve">The finding is the opposite of what critics predict: decarceratory DAs become less punitive near elections, not more. They lean into their platform when electoral pressure is highest.</w:t>
      </w:r>
    </w:p>
    <w:p>
      <w:pPr>
        <w:spacing w:after="80"/>
      </w:pPr>
    </w:p>
    <w:p>
      <w:pPr>
        <w:pStyle w:val="Heading1"/>
        <w:spacing w:after="200" w:before="400"/>
      </w:pPr>
      <w:r>
        <w:rPr>
          <w:rFonts w:ascii="Times New Roman" w:cs="Times New Roman" w:eastAsia="Times New Roman" w:hAnsi="Times New Roman"/>
          <w:b/>
          <w:bCs/>
          <w:sz w:val="32"/>
          <w:szCs w:val="32"/>
        </w:rPr>
        <w:t xml:space="preserve">II. The Data</w:t>
      </w:r>
    </w:p>
    <w:p>
      <w:pPr>
        <w:pStyle w:val="ListParagraph"/>
        <w:numPr>
          <w:ilvl w:val="0"/>
          <w:numId w:val="1"/>
        </w:numPr>
        <w:spacing w:after="100"/>
      </w:pPr>
      <w:r>
        <w:rPr>
          <w:rFonts w:ascii="Times New Roman" w:cs="Times New Roman" w:eastAsia="Times New Roman" w:hAnsi="Times New Roman"/>
          <w:sz w:val="24"/>
          <w:szCs w:val="24"/>
        </w:rPr>
        <w:t xml:space="preserve">Source: California Department of Corrections and Rehabilitation (CDCR) sentencing data merged with election and DA platform data</w:t>
      </w:r>
    </w:p>
    <w:p>
      <w:pPr>
        <w:pStyle w:val="ListParagraph"/>
        <w:numPr>
          <w:ilvl w:val="0"/>
          <w:numId w:val="1"/>
        </w:numPr>
        <w:spacing w:after="100"/>
      </w:pPr>
      <w:r>
        <w:rPr>
          <w:rFonts w:ascii="Times New Roman" w:cs="Times New Roman" w:eastAsia="Times New Roman" w:hAnsi="Times New Roman"/>
          <w:sz w:val="24"/>
          <w:szCs w:val="24"/>
        </w:rPr>
        <w:t xml:space="preserve">Unit of observation: County-quarter (California county, fiscal quarter)</w:t>
      </w:r>
    </w:p>
    <w:p>
      <w:pPr>
        <w:pStyle w:val="ListParagraph"/>
        <w:numPr>
          <w:ilvl w:val="0"/>
          <w:numId w:val="1"/>
        </w:numPr>
        <w:spacing w:after="100"/>
      </w:pPr>
      <w:r>
        <w:rPr>
          <w:rFonts w:ascii="Times New Roman" w:cs="Times New Roman" w:eastAsia="Times New Roman" w:hAnsi="Times New Roman"/>
          <w:sz w:val="24"/>
          <w:szCs w:val="24"/>
        </w:rPr>
        <w:t xml:space="preserve">Time period: 2013–2022</w:t>
      </w:r>
    </w:p>
    <w:p>
      <w:pPr>
        <w:pStyle w:val="ListParagraph"/>
        <w:numPr>
          <w:ilvl w:val="0"/>
          <w:numId w:val="1"/>
        </w:numPr>
        <w:spacing w:after="100"/>
      </w:pPr>
      <w:r>
        <w:rPr>
          <w:rFonts w:ascii="Times New Roman" w:cs="Times New Roman" w:eastAsia="Times New Roman" w:hAnsi="Times New Roman"/>
          <w:sz w:val="24"/>
          <w:szCs w:val="24"/>
        </w:rPr>
        <w:t xml:space="preserve">N: 2,362 county-quarter observations (full panel); key subsamples are smaller</w:t>
      </w:r>
    </w:p>
    <w:p>
      <w:pPr>
        <w:spacing w:after="80"/>
      </w:pPr>
    </w:p>
    <w:p>
      <w:pPr>
        <w:spacing w:after="160"/>
      </w:pPr>
      <w:r>
        <w:rPr>
          <w:rFonts w:ascii="Times New Roman" w:cs="Times New Roman" w:eastAsia="Times New Roman" w:hAnsi="Times New Roman"/>
          <w:b/>
          <w:bCs/>
          <w:sz w:val="24"/>
          <w:szCs w:val="24"/>
        </w:rPr>
        <w:t xml:space="preserve">Key Variables:</w:t>
      </w:r>
    </w:p>
    <w:p>
      <w:pPr>
        <w:pStyle w:val="ListParagraph"/>
        <w:numPr>
          <w:ilvl w:val="1"/>
          <w:numId w:val="1"/>
        </w:numPr>
        <w:spacing w:after="100"/>
      </w:pPr>
      <w:r>
        <w:rPr>
          <w:rFonts w:ascii="Times New Roman" w:cs="Times New Roman" w:eastAsia="Times New Roman" w:hAnsi="Times New Roman"/>
          <w:sz w:val="24"/>
          <w:szCs w:val="24"/>
        </w:rPr>
        <w:t xml:space="preserve">Percentage_Prison: share of felony sentences resulting in state prison</w:t>
      </w:r>
    </w:p>
    <w:p>
      <w:pPr>
        <w:pStyle w:val="ListParagraph"/>
        <w:numPr>
          <w:ilvl w:val="1"/>
          <w:numId w:val="1"/>
        </w:numPr>
        <w:spacing w:after="100"/>
      </w:pPr>
      <w:r>
        <w:rPr>
          <w:rFonts w:ascii="Times New Roman" w:cs="Times New Roman" w:eastAsia="Times New Roman" w:hAnsi="Times New Roman"/>
          <w:sz w:val="24"/>
          <w:szCs w:val="24"/>
        </w:rPr>
        <w:t xml:space="preserve">Percentage_Probation: share resulting in probation</w:t>
      </w:r>
    </w:p>
    <w:p>
      <w:pPr>
        <w:pStyle w:val="ListParagraph"/>
        <w:numPr>
          <w:ilvl w:val="1"/>
          <w:numId w:val="1"/>
        </w:numPr>
        <w:spacing w:after="100"/>
      </w:pPr>
      <w:r>
        <w:rPr>
          <w:rFonts w:ascii="Times New Roman" w:cs="Times New Roman" w:eastAsia="Times New Roman" w:hAnsi="Times New Roman"/>
          <w:sz w:val="24"/>
          <w:szCs w:val="24"/>
        </w:rPr>
        <w:t xml:space="preserve">Percentage_Straight / Percentage_Split: 1170(h) sentence types</w:t>
      </w:r>
    </w:p>
    <w:p>
      <w:pPr>
        <w:pStyle w:val="ListParagraph"/>
        <w:numPr>
          <w:ilvl w:val="1"/>
          <w:numId w:val="1"/>
        </w:numPr>
        <w:spacing w:after="100"/>
      </w:pPr>
      <w:r>
        <w:rPr>
          <w:rFonts w:ascii="Times New Roman" w:cs="Times New Roman" w:eastAsia="Times New Roman" w:hAnsi="Times New Roman"/>
          <w:sz w:val="24"/>
          <w:szCs w:val="24"/>
        </w:rPr>
        <w:t xml:space="preserve">Election_Year: 1 in Q3/Q4 of a DA election year, 0 otherwise</w:t>
      </w:r>
    </w:p>
    <w:p>
      <w:pPr>
        <w:pStyle w:val="ListParagraph"/>
        <w:numPr>
          <w:ilvl w:val="1"/>
          <w:numId w:val="1"/>
        </w:numPr>
        <w:spacing w:after="100"/>
      </w:pPr>
      <w:r>
        <w:rPr>
          <w:rFonts w:ascii="Times New Roman" w:cs="Times New Roman" w:eastAsia="Times New Roman" w:hAnsi="Times New Roman"/>
          <w:sz w:val="24"/>
          <w:szCs w:val="24"/>
        </w:rPr>
        <w:t xml:space="preserve">Decarceratory: 1 if the sitting DA ran on an explicitly decarceratory platform</w:t>
      </w:r>
    </w:p>
    <w:p>
      <w:pPr>
        <w:pStyle w:val="ListParagraph"/>
        <w:numPr>
          <w:ilvl w:val="1"/>
          <w:numId w:val="1"/>
        </w:numPr>
        <w:spacing w:after="100"/>
      </w:pPr>
      <w:r>
        <w:rPr>
          <w:rFonts w:ascii="Times New Roman" w:cs="Times New Roman" w:eastAsia="Times New Roman" w:hAnsi="Times New Roman"/>
          <w:sz w:val="24"/>
          <w:szCs w:val="24"/>
        </w:rPr>
        <w:t xml:space="preserve">Did_Incumbent_Seek_Reelection: 1 if the incumbent DA ran again</w:t>
      </w:r>
    </w:p>
    <w:p>
      <w:pPr>
        <w:pStyle w:val="ListParagraph"/>
        <w:numPr>
          <w:ilvl w:val="1"/>
          <w:numId w:val="1"/>
        </w:numPr>
        <w:spacing w:after="100"/>
      </w:pPr>
      <w:r>
        <w:rPr>
          <w:rFonts w:ascii="Times New Roman" w:cs="Times New Roman" w:eastAsia="Times New Roman" w:hAnsi="Times New Roman"/>
          <w:sz w:val="24"/>
          <w:szCs w:val="24"/>
        </w:rPr>
        <w:t xml:space="preserve">Contested: 1 if the election was contested</w:t>
      </w:r>
    </w:p>
    <w:p>
      <w:pPr>
        <w:spacing w:after="80"/>
      </w:pPr>
    </w:p>
    <w:p>
      <w:pPr>
        <w:pStyle w:val="Heading1"/>
        <w:spacing w:after="200" w:before="400"/>
      </w:pPr>
      <w:r>
        <w:rPr>
          <w:rFonts w:ascii="Times New Roman" w:cs="Times New Roman" w:eastAsia="Times New Roman" w:hAnsi="Times New Roman"/>
          <w:b/>
          <w:bCs/>
          <w:sz w:val="32"/>
          <w:szCs w:val="32"/>
        </w:rPr>
        <w:t xml:space="preserve">III. The Research Design</w:t>
      </w:r>
    </w:p>
    <w:p>
      <w:pPr>
        <w:spacing w:after="160"/>
      </w:pPr>
      <w:r>
        <w:rPr>
          <w:rFonts w:ascii="Times New Roman" w:cs="Times New Roman" w:eastAsia="Times New Roman" w:hAnsi="Times New Roman"/>
          <w:b/>
          <w:bCs/>
          <w:sz w:val="24"/>
          <w:szCs w:val="24"/>
        </w:rPr>
        <w:t xml:space="preserve">Regression Specification:</w:t>
      </w:r>
    </w:p>
    <w:p>
      <w:pPr>
        <w:spacing w:after="100"/>
        <w:ind w:left="720"/>
      </w:pPr>
      <w:r>
        <w:rPr>
          <w:rFonts w:ascii="Courier New" w:cs="Courier New" w:eastAsia="Courier New" w:hAnsi="Courier New"/>
          <w:sz w:val="20"/>
          <w:szCs w:val="20"/>
        </w:rPr>
        <w:t xml:space="preserve">Percentage_Prison ~ Election_Year × Decarceratory | County + Quarter</w:t>
      </w:r>
    </w:p>
    <w:p>
      <w:pPr>
        <w:spacing w:after="80"/>
      </w:pPr>
    </w:p>
    <w:p>
      <w:pPr>
        <w:pStyle w:val="ListParagraph"/>
        <w:numPr>
          <w:ilvl w:val="0"/>
          <w:numId w:val="1"/>
        </w:numPr>
        <w:spacing w:after="100"/>
      </w:pPr>
      <w:r>
        <w:rPr>
          <w:rFonts w:ascii="Times New Roman" w:cs="Times New Roman" w:eastAsia="Times New Roman" w:hAnsi="Times New Roman"/>
          <w:sz w:val="24"/>
          <w:szCs w:val="24"/>
        </w:rPr>
        <w:t xml:space="preserve">County fixed effects: Each county is its own control. Time-invariant differences between counties (crime rates, demographics, court culture, case mix) are fully absorbed. The comparison is always within-county: election quarters vs. non-election quarters for the same county.</w:t>
      </w:r>
    </w:p>
    <w:p>
      <w:pPr>
        <w:pStyle w:val="ListParagraph"/>
        <w:numPr>
          <w:ilvl w:val="0"/>
          <w:numId w:val="1"/>
        </w:numPr>
        <w:spacing w:after="100"/>
      </w:pPr>
      <w:r>
        <w:rPr>
          <w:rFonts w:ascii="Times New Roman" w:cs="Times New Roman" w:eastAsia="Times New Roman" w:hAnsi="Times New Roman"/>
          <w:sz w:val="24"/>
          <w:szCs w:val="24"/>
        </w:rPr>
        <w:t xml:space="preserve">Quarter fixed effects: Absorb any statewide seasonal patterns or macro trends affecting all counties equally (e.g., COVID court closures, statewide policy changes).</w:t>
      </w:r>
    </w:p>
    <w:p>
      <w:pPr>
        <w:pStyle w:val="ListParagraph"/>
        <w:numPr>
          <w:ilvl w:val="0"/>
          <w:numId w:val="1"/>
        </w:numPr>
        <w:spacing w:after="100"/>
      </w:pPr>
      <w:r>
        <w:rPr>
          <w:rFonts w:ascii="Times New Roman" w:cs="Times New Roman" w:eastAsia="Times New Roman" w:hAnsi="Times New Roman"/>
          <w:sz w:val="24"/>
          <w:szCs w:val="24"/>
        </w:rPr>
        <w:t xml:space="preserve">Clustered standard errors: At the county level, accounting for within-county serial correlation.</w:t>
      </w:r>
    </w:p>
    <w:p>
      <w:pPr>
        <w:pStyle w:val="ListParagraph"/>
        <w:numPr>
          <w:ilvl w:val="0"/>
          <w:numId w:val="1"/>
        </w:numPr>
        <w:spacing w:after="100"/>
      </w:pPr>
      <w:r>
        <w:rPr>
          <w:rFonts w:ascii="Times New Roman" w:cs="Times New Roman" w:eastAsia="Times New Roman" w:hAnsi="Times New Roman"/>
          <w:sz w:val="24"/>
          <w:szCs w:val="24"/>
        </w:rPr>
        <w:t xml:space="preserve">Key coefficient: Election_Year:Decarceratory — the differential change in prison sentencing during election quarters for decarceratory DAs relative to non-decarceratory DAs.</w:t>
      </w:r>
    </w:p>
    <w:p>
      <w:pPr>
        <w:spacing w:after="80"/>
      </w:pPr>
    </w:p>
    <w:p>
      <w:pPr>
        <w:spacing w:after="160"/>
      </w:pPr>
      <w:r>
        <w:rPr>
          <w:rFonts w:ascii="Times New Roman" w:cs="Times New Roman" w:eastAsia="Times New Roman" w:hAnsi="Times New Roman"/>
          <w:b/>
          <w:bCs/>
          <w:sz w:val="24"/>
          <w:szCs w:val="24"/>
        </w:rPr>
        <w:t xml:space="preserve">Subsamples (theory-driven):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DDDDD" w:val="clear"/>
          </w:tcPr>
          <w:p>
            <w:r>
              <w:rPr>
                <w:rFonts w:ascii="Times New Roman" w:cs="Times New Roman" w:eastAsia="Times New Roman" w:hAnsi="Times New Roman"/>
                <w:b/>
                <w:bCs/>
                <w:sz w:val="20"/>
                <w:szCs w:val="20"/>
              </w:rPr>
              <w:t xml:space="preserve">Subsample</w:t>
            </w:r>
          </w:p>
        </w:tc>
        <w:tc>
          <w:tcPr>
            <w:tcW w:type="dxa" w:w="3120"/>
            <w:shd w:fill="DDDDDD" w:val="clear"/>
          </w:tcPr>
          <w:p>
            <w:r>
              <w:rPr>
                <w:rFonts w:ascii="Times New Roman" w:cs="Times New Roman" w:eastAsia="Times New Roman" w:hAnsi="Times New Roman"/>
                <w:b/>
                <w:bCs/>
                <w:sz w:val="20"/>
                <w:szCs w:val="20"/>
              </w:rPr>
              <w:t xml:space="preserve">N</w:t>
            </w:r>
          </w:p>
        </w:tc>
        <w:tc>
          <w:tcPr>
            <w:tcW w:type="dxa" w:w="3120"/>
            <w:shd w:fill="DDDDDD" w:val="clear"/>
          </w:tcPr>
          <w:p>
            <w:r>
              <w:rPr>
                <w:rFonts w:ascii="Times New Roman" w:cs="Times New Roman" w:eastAsia="Times New Roman" w:hAnsi="Times New Roman"/>
                <w:b/>
                <w:bCs/>
                <w:sz w:val="20"/>
                <w:szCs w:val="20"/>
              </w:rPr>
              <w:t xml:space="preserve">Logic</w:t>
            </w:r>
          </w:p>
        </w:tc>
      </w:tr>
      <w:tr>
        <w:trPr>
          <w:tblHeader w:val="false"/>
        </w:trPr>
        <w:tc>
          <w:tcPr>
            <w:tcW w:type="dxa" w:w="3120"/>
          </w:tcPr>
          <w:p>
            <w:r>
              <w:rPr>
                <w:rFonts w:ascii="Times New Roman" w:cs="Times New Roman" w:eastAsia="Times New Roman" w:hAnsi="Times New Roman"/>
                <w:b w:val="false"/>
                <w:bCs w:val="false"/>
                <w:sz w:val="20"/>
                <w:szCs w:val="20"/>
              </w:rPr>
              <w:t xml:space="preserve">Incumbent Sought</w:t>
            </w:r>
          </w:p>
        </w:tc>
        <w:tc>
          <w:tcPr>
            <w:tcW w:type="dxa" w:w="3120"/>
          </w:tcPr>
          <w:p>
            <w:r>
              <w:rPr>
                <w:rFonts w:ascii="Times New Roman" w:cs="Times New Roman" w:eastAsia="Times New Roman" w:hAnsi="Times New Roman"/>
                <w:b w:val="false"/>
                <w:bCs w:val="false"/>
                <w:sz w:val="20"/>
                <w:szCs w:val="20"/>
              </w:rPr>
              <w:t xml:space="preserve">~1,438</w:t>
            </w:r>
          </w:p>
        </w:tc>
        <w:tc>
          <w:tcPr>
            <w:tcW w:type="dxa" w:w="3120"/>
          </w:tcPr>
          <w:p>
            <w:r>
              <w:rPr>
                <w:rFonts w:ascii="Times New Roman" w:cs="Times New Roman" w:eastAsia="Times New Roman" w:hAnsi="Times New Roman"/>
                <w:b w:val="false"/>
                <w:bCs w:val="false"/>
                <w:sz w:val="20"/>
                <w:szCs w:val="20"/>
              </w:rPr>
              <w:t xml:space="preserve">DA personally on the ballot — tests personal electoral incentive</w:t>
            </w:r>
          </w:p>
        </w:tc>
      </w:tr>
      <w:tr>
        <w:trPr>
          <w:tblHeader w:val="false"/>
        </w:trPr>
        <w:tc>
          <w:tcPr>
            <w:tcW w:type="dxa" w:w="3120"/>
          </w:tcPr>
          <w:p>
            <w:r>
              <w:rPr>
                <w:rFonts w:ascii="Times New Roman" w:cs="Times New Roman" w:eastAsia="Times New Roman" w:hAnsi="Times New Roman"/>
                <w:b w:val="false"/>
                <w:bCs w:val="false"/>
                <w:sz w:val="20"/>
                <w:szCs w:val="20"/>
              </w:rPr>
              <w:t xml:space="preserve">Incumbent + Contested</w:t>
            </w:r>
          </w:p>
        </w:tc>
        <w:tc>
          <w:tcPr>
            <w:tcW w:type="dxa" w:w="3120"/>
          </w:tcPr>
          <w:p>
            <w:r>
              <w:rPr>
                <w:rFonts w:ascii="Times New Roman" w:cs="Times New Roman" w:eastAsia="Times New Roman" w:hAnsi="Times New Roman"/>
                <w:b w:val="false"/>
                <w:bCs w:val="false"/>
                <w:sz w:val="20"/>
                <w:szCs w:val="20"/>
              </w:rPr>
              <w:t xml:space="preserve">~476</w:t>
            </w:r>
          </w:p>
        </w:tc>
        <w:tc>
          <w:tcPr>
            <w:tcW w:type="dxa" w:w="3120"/>
          </w:tcPr>
          <w:p>
            <w:r>
              <w:rPr>
                <w:rFonts w:ascii="Times New Roman" w:cs="Times New Roman" w:eastAsia="Times New Roman" w:hAnsi="Times New Roman"/>
                <w:b w:val="false"/>
                <w:bCs w:val="false"/>
                <w:sz w:val="20"/>
                <w:szCs w:val="20"/>
              </w:rPr>
              <w:t xml:space="preserve">DA on ballot and facing a challenger — sharpest test of electoral pressure</w:t>
            </w:r>
          </w:p>
        </w:tc>
      </w:tr>
    </w:tbl>
    <w:p>
      <w:pPr>
        <w:spacing w:after="80"/>
      </w:pPr>
    </w:p>
    <w:p>
      <w:pPr>
        <w:spacing w:after="160"/>
      </w:pPr>
      <w:r>
        <w:rPr>
          <w:rFonts w:ascii="Times New Roman" w:cs="Times New Roman" w:eastAsia="Times New Roman" w:hAnsi="Times New Roman"/>
          <w:sz w:val="24"/>
          <w:szCs w:val="24"/>
        </w:rPr>
        <w:t xml:space="preserve">The Incumbent + Contested subsample is the theoretically cleanest: if electoral pressure drives behavioral change, it should be strongest when the incumbent is personally accountable and actually faces opposition.</w:t>
      </w:r>
    </w:p>
    <w:p>
      <w:pPr>
        <w:spacing w:after="80"/>
      </w:pPr>
    </w:p>
    <w:p>
      <w:pPr>
        <w:pStyle w:val="Heading1"/>
        <w:spacing w:after="200" w:before="400"/>
      </w:pPr>
      <w:r>
        <w:rPr>
          <w:rFonts w:ascii="Times New Roman" w:cs="Times New Roman" w:eastAsia="Times New Roman" w:hAnsi="Times New Roman"/>
          <w:b/>
          <w:bCs/>
          <w:sz w:val="32"/>
          <w:szCs w:val="32"/>
        </w:rPr>
        <w:t xml:space="preserve">IV. What the Results Show</w:t>
      </w:r>
    </w:p>
    <w:p>
      <w:pPr>
        <w:pStyle w:val="Heading2"/>
        <w:spacing w:after="160" w:before="300"/>
      </w:pPr>
      <w:r>
        <w:rPr>
          <w:rFonts w:ascii="Times New Roman" w:cs="Times New Roman" w:eastAsia="Times New Roman" w:hAnsi="Times New Roman"/>
          <w:b/>
          <w:bCs/>
          <w:sz w:val="28"/>
          <w:szCs w:val="28"/>
        </w:rPr>
        <w:t xml:space="preserve">A. Primary Result: Prison Sentencing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DDDDD" w:val="clear"/>
          </w:tcPr>
          <w:p>
            <w:r>
              <w:rPr>
                <w:rFonts w:ascii="Times New Roman" w:cs="Times New Roman" w:eastAsia="Times New Roman" w:hAnsi="Times New Roman"/>
                <w:b/>
                <w:bCs/>
                <w:sz w:val="20"/>
                <w:szCs w:val="20"/>
              </w:rPr>
              <w:t xml:space="preserve">Subsample</w:t>
            </w:r>
          </w:p>
        </w:tc>
        <w:tc>
          <w:tcPr>
            <w:tcW w:type="dxa" w:w="3120"/>
            <w:shd w:fill="DDDDDD" w:val="clear"/>
          </w:tcPr>
          <w:p>
            <w:r>
              <w:rPr>
                <w:rFonts w:ascii="Times New Roman" w:cs="Times New Roman" w:eastAsia="Times New Roman" w:hAnsi="Times New Roman"/>
                <w:b/>
                <w:bCs/>
                <w:sz w:val="20"/>
                <w:szCs w:val="20"/>
              </w:rPr>
              <w:t xml:space="preserve">Election_Year × Decarceratory</w:t>
            </w:r>
          </w:p>
        </w:tc>
        <w:tc>
          <w:tcPr>
            <w:tcW w:type="dxa" w:w="3120"/>
            <w:shd w:fill="DDDDDD" w:val="clear"/>
          </w:tcPr>
          <w:p>
            <w:r>
              <w:rPr>
                <w:rFonts w:ascii="Times New Roman" w:cs="Times New Roman" w:eastAsia="Times New Roman" w:hAnsi="Times New Roman"/>
                <w:b/>
                <w:bCs/>
                <w:sz w:val="20"/>
                <w:szCs w:val="20"/>
              </w:rPr>
              <w:t xml:space="preserve">Significance</w:t>
            </w:r>
          </w:p>
        </w:tc>
      </w:tr>
      <w:tr>
        <w:trPr>
          <w:tblHeader w:val="false"/>
        </w:trPr>
        <w:tc>
          <w:tcPr>
            <w:tcW w:type="dxa" w:w="3120"/>
          </w:tcPr>
          <w:p>
            <w:r>
              <w:rPr>
                <w:rFonts w:ascii="Times New Roman" w:cs="Times New Roman" w:eastAsia="Times New Roman" w:hAnsi="Times New Roman"/>
                <w:b w:val="false"/>
                <w:bCs w:val="false"/>
                <w:sz w:val="20"/>
                <w:szCs w:val="20"/>
              </w:rPr>
              <w:t xml:space="preserve">Incumbent Sought</w:t>
            </w:r>
          </w:p>
        </w:tc>
        <w:tc>
          <w:tcPr>
            <w:tcW w:type="dxa" w:w="3120"/>
          </w:tcPr>
          <w:p>
            <w:r>
              <w:rPr>
                <w:rFonts w:ascii="Times New Roman" w:cs="Times New Roman" w:eastAsia="Times New Roman" w:hAnsi="Times New Roman"/>
                <w:b w:val="false"/>
                <w:bCs w:val="false"/>
                <w:sz w:val="20"/>
                <w:szCs w:val="20"/>
              </w:rPr>
              <w:t xml:space="preserve">~−5.1 pp</w:t>
            </w:r>
          </w:p>
        </w:tc>
        <w:tc>
          <w:tcPr>
            <w:tcW w:type="dxa" w:w="3120"/>
          </w:tcPr>
          <w:p>
            <w:r>
              <w:rPr>
                <w:rFonts w:ascii="Times New Roman" w:cs="Times New Roman" w:eastAsia="Times New Roman" w:hAnsi="Times New Roman"/>
                <w:b w:val="false"/>
                <w:bCs w:val="false"/>
                <w:sz w:val="20"/>
                <w:szCs w:val="20"/>
              </w:rPr>
              <w:t xml:space="preserve">**</w:t>
            </w:r>
          </w:p>
        </w:tc>
      </w:tr>
      <w:tr>
        <w:trPr>
          <w:tblHeader w:val="false"/>
        </w:trPr>
        <w:tc>
          <w:tcPr>
            <w:tcW w:type="dxa" w:w="3120"/>
          </w:tcPr>
          <w:p>
            <w:r>
              <w:rPr>
                <w:rFonts w:ascii="Times New Roman" w:cs="Times New Roman" w:eastAsia="Times New Roman" w:hAnsi="Times New Roman"/>
                <w:b w:val="false"/>
                <w:bCs w:val="false"/>
                <w:sz w:val="20"/>
                <w:szCs w:val="20"/>
              </w:rPr>
              <w:t xml:space="preserve">Incumbent + Contested</w:t>
            </w:r>
          </w:p>
        </w:tc>
        <w:tc>
          <w:tcPr>
            <w:tcW w:type="dxa" w:w="3120"/>
          </w:tcPr>
          <w:p>
            <w:r>
              <w:rPr>
                <w:rFonts w:ascii="Times New Roman" w:cs="Times New Roman" w:eastAsia="Times New Roman" w:hAnsi="Times New Roman"/>
                <w:b w:val="false"/>
                <w:bCs w:val="false"/>
                <w:sz w:val="20"/>
                <w:szCs w:val="20"/>
              </w:rPr>
              <w:t xml:space="preserve">~−9.3 pp</w:t>
            </w:r>
          </w:p>
        </w:tc>
        <w:tc>
          <w:tcPr>
            <w:tcW w:type="dxa" w:w="3120"/>
          </w:tcPr>
          <w:p>
            <w:r>
              <w:rPr>
                <w:rFonts w:ascii="Times New Roman" w:cs="Times New Roman" w:eastAsia="Times New Roman" w:hAnsi="Times New Roman"/>
                <w:b w:val="false"/>
                <w:bCs w:val="false"/>
                <w:sz w:val="20"/>
                <w:szCs w:val="20"/>
              </w:rPr>
              <w:t xml:space="preserve">**</w:t>
            </w:r>
          </w:p>
        </w:tc>
      </w:tr>
    </w:tbl>
    <w:p>
      <w:pPr>
        <w:spacing w:after="80"/>
      </w:pPr>
    </w:p>
    <w:p>
      <w:pPr>
        <w:spacing w:after="160"/>
      </w:pPr>
      <w:r>
        <w:rPr>
          <w:rFonts w:ascii="Times New Roman" w:cs="Times New Roman" w:eastAsia="Times New Roman" w:hAnsi="Times New Roman"/>
          <w:sz w:val="24"/>
          <w:szCs w:val="24"/>
        </w:rPr>
        <w:t xml:space="preserve">In election quarters, decarceratory DAs sentence approximately 5 percentage points fewer defendants to prison (Incumbent Sought sample) and approximately 9 percentage points fewer when the race is also contested, relative to their own non-election quarter baseline and relative to what non-decarceratory DAs do in the same period.</w:t>
      </w:r>
    </w:p>
    <w:p>
      <w:pPr>
        <w:spacing w:after="160"/>
      </w:pPr>
      <w:r>
        <w:rPr>
          <w:rFonts w:ascii="Times New Roman" w:cs="Times New Roman" w:eastAsia="Times New Roman" w:hAnsi="Times New Roman"/>
          <w:sz w:val="24"/>
          <w:szCs w:val="24"/>
        </w:rPr>
        <w:t xml:space="preserve">The sign is negative — the opposite of what the critic's story predicts. Rather than becoming more punitive near elections, decarceratory DAs become less punitive. They lean into their platform when electoral pressure is highest.</w:t>
      </w:r>
    </w:p>
    <w:p>
      <w:pPr>
        <w:pStyle w:val="Heading2"/>
        <w:spacing w:after="160" w:before="300"/>
      </w:pPr>
      <w:r>
        <w:rPr>
          <w:rFonts w:ascii="Times New Roman" w:cs="Times New Roman" w:eastAsia="Times New Roman" w:hAnsi="Times New Roman"/>
          <w:b/>
          <w:bCs/>
          <w:sz w:val="28"/>
          <w:szCs w:val="28"/>
        </w:rPr>
        <w:t xml:space="preserve">B. Additional Outcomes: Probation</w:t>
      </w:r>
    </w:p>
    <w:p>
      <w:pPr>
        <w:spacing w:after="160"/>
      </w:pPr>
      <w:r>
        <w:rPr>
          <w:rFonts w:ascii="Times New Roman" w:cs="Times New Roman" w:eastAsia="Times New Roman" w:hAnsi="Times New Roman"/>
          <w:sz w:val="24"/>
          <w:szCs w:val="24"/>
        </w:rPr>
        <w:t xml:space="preserve">The probation result mirrors the prison result in the opposite direction — decarceratory DAs increase probation sentences near elections. This is consistent: defendants who would have received prison are instead receiving probation. Sentences are not disappearing; the composition is shifting away from incarceration.</w:t>
      </w:r>
    </w:p>
    <w:p>
      <w:pPr>
        <w:pStyle w:val="Heading2"/>
        <w:spacing w:after="160" w:before="300"/>
      </w:pPr>
      <w:r>
        <w:rPr>
          <w:rFonts w:ascii="Times New Roman" w:cs="Times New Roman" w:eastAsia="Times New Roman" w:hAnsi="Times New Roman"/>
          <w:b/>
          <w:bCs/>
          <w:sz w:val="28"/>
          <w:szCs w:val="28"/>
        </w:rPr>
        <w:t xml:space="preserve">C. Straight and Split Sentences (1170(h))</w:t>
      </w:r>
    </w:p>
    <w:p>
      <w:pPr>
        <w:spacing w:after="160"/>
      </w:pPr>
      <w:r>
        <w:rPr>
          <w:rFonts w:ascii="Times New Roman" w:cs="Times New Roman" w:eastAsia="Times New Roman" w:hAnsi="Times New Roman"/>
          <w:sz w:val="24"/>
          <w:szCs w:val="24"/>
        </w:rPr>
        <w:t xml:space="preserve">Effects are weak and inconsistent. These sentence types are less common and may reflect factors outside prosecutorial control (charge type, judge discretion on felony classification). The prison/probation pair tells the core finding cleanly.</w:t>
      </w:r>
    </w:p>
    <w:p>
      <w:pPr>
        <w:pStyle w:val="Heading2"/>
        <w:spacing w:after="160" w:before="300"/>
      </w:pPr>
      <w:r>
        <w:rPr>
          <w:rFonts w:ascii="Times New Roman" w:cs="Times New Roman" w:eastAsia="Times New Roman" w:hAnsi="Times New Roman"/>
          <w:b/>
          <w:bCs/>
          <w:sz w:val="28"/>
          <w:szCs w:val="28"/>
        </w:rPr>
        <w:t xml:space="preserve">D. Baseline Comparison (Table 0 — Descriptive)</w:t>
      </w:r>
    </w:p>
    <w:p>
      <w:pPr>
        <w:spacing w:after="160"/>
      </w:pPr>
      <w:r>
        <w:rPr>
          <w:rFonts w:ascii="Times New Roman" w:cs="Times New Roman" w:eastAsia="Times New Roman" w:hAnsi="Times New Roman"/>
          <w:sz w:val="24"/>
          <w:szCs w:val="24"/>
        </w:rPr>
        <w:t xml:space="preserve">In non-election quarters, decarceratory and non-decarceratory DAs have nearly identical raw prison rates (~30% each). This is notable: progressive DAs are not obviously more lenient at baseline in aggregate terms. The divergence is specifically electoral — it appears when election pressure is highest. This makes the finding more credible (not just a static group difference) and more interesting (something is happening specifically around elections).</w:t>
      </w:r>
    </w:p>
    <w:p>
      <w:pPr>
        <w:spacing w:after="160"/>
      </w:pPr>
      <w:r>
        <w:rPr>
          <w:rFonts w:ascii="Times New Roman" w:cs="Times New Roman" w:eastAsia="Times New Roman" w:hAnsi="Times New Roman"/>
          <w:sz w:val="24"/>
          <w:szCs w:val="24"/>
        </w:rPr>
        <w:t xml:space="preserve">Note: Table 0 presents unadjusted means. The regression analyses control for county fixed effects, absorbing any time-invariant differences in county composition, crime mix, or case characteristics.</w:t>
      </w:r>
    </w:p>
    <w:p>
      <w:pPr>
        <w:spacing w:after="80"/>
      </w:pPr>
    </w:p>
    <w:p>
      <w:pPr>
        <w:pStyle w:val="Heading1"/>
        <w:spacing w:after="200" w:before="400"/>
      </w:pPr>
      <w:r>
        <w:rPr>
          <w:rFonts w:ascii="Times New Roman" w:cs="Times New Roman" w:eastAsia="Times New Roman" w:hAnsi="Times New Roman"/>
          <w:b/>
          <w:bCs/>
          <w:sz w:val="32"/>
          <w:szCs w:val="32"/>
        </w:rPr>
        <w:t xml:space="preserve">V. Robustness Checks</w:t>
      </w:r>
    </w:p>
    <w:p>
      <w:pPr>
        <w:pStyle w:val="Heading2"/>
        <w:spacing w:after="160" w:before="300"/>
      </w:pPr>
      <w:r>
        <w:rPr>
          <w:rFonts w:ascii="Times New Roman" w:cs="Times New Roman" w:eastAsia="Times New Roman" w:hAnsi="Times New Roman"/>
          <w:b/>
          <w:bCs/>
          <w:sz w:val="28"/>
          <w:szCs w:val="28"/>
        </w:rPr>
        <w:t xml:space="preserve">1. COVID Sensitivity (LA 2020)</w:t>
      </w:r>
    </w:p>
    <w:p>
      <w:pPr>
        <w:spacing w:after="160"/>
      </w:pPr>
      <w:r>
        <w:rPr>
          <w:rFonts w:ascii="Times New Roman" w:cs="Times New Roman" w:eastAsia="Times New Roman" w:hAnsi="Times New Roman"/>
          <w:sz w:val="24"/>
          <w:szCs w:val="24"/>
        </w:rPr>
        <w:t xml:space="preserve">Los Angeles had a DA election in 2020, which coincided with COVID-related court disruptions. Dropping LA's 2020 Q3 and Q4 observations produces virtually identical results (−5.106 vs. −5.120). The finding is not driven by the pandemic court anomaly.</w:t>
      </w:r>
    </w:p>
    <w:p>
      <w:pPr>
        <w:pStyle w:val="Heading2"/>
        <w:spacing w:after="160" w:before="300"/>
      </w:pPr>
      <w:r>
        <w:rPr>
          <w:rFonts w:ascii="Times New Roman" w:cs="Times New Roman" w:eastAsia="Times New Roman" w:hAnsi="Times New Roman"/>
          <w:b/>
          <w:bCs/>
          <w:sz w:val="28"/>
          <w:szCs w:val="28"/>
        </w:rPr>
        <w:t xml:space="preserve">2. Placebo Test (Fake Election Years, t−2)</w:t>
      </w:r>
    </w:p>
    <w:p>
      <w:pPr>
        <w:spacing w:after="160"/>
      </w:pPr>
      <w:r>
        <w:rPr>
          <w:rFonts w:ascii="Times New Roman" w:cs="Times New Roman" w:eastAsia="Times New Roman" w:hAnsi="Times New Roman"/>
          <w:sz w:val="24"/>
          <w:szCs w:val="24"/>
        </w:rPr>
        <w:t xml:space="preserve">Assigns election year status to quarters two years before the actual election year. If the result reflected pre-existing trends rather than electoral behavior, a similar negative interaction would appear in fake election years.</w:t>
      </w:r>
    </w:p>
    <w:p>
      <w:pPr>
        <w:spacing w:after="160"/>
      </w:pPr>
      <w:r>
        <w:rPr>
          <w:rFonts w:ascii="Times New Roman" w:cs="Times New Roman" w:eastAsia="Times New Roman" w:hAnsi="Times New Roman"/>
          <w:sz w:val="24"/>
          <w:szCs w:val="24"/>
        </w:rPr>
        <w:t xml:space="preserve">Placebo result: +0.270 (insignificant, opposite sign). The null placebo result strengthens the causal interpretation considerably. The effect appears specifically in real election quarters, not in the quarters leading up to them.</w:t>
      </w:r>
    </w:p>
    <w:p>
      <w:pPr>
        <w:pStyle w:val="Heading2"/>
        <w:spacing w:after="160" w:before="300"/>
      </w:pPr>
      <w:r>
        <w:rPr>
          <w:rFonts w:ascii="Times New Roman" w:cs="Times New Roman" w:eastAsia="Times New Roman" w:hAnsi="Times New Roman"/>
          <w:b/>
          <w:bCs/>
          <w:sz w:val="28"/>
          <w:szCs w:val="28"/>
        </w:rPr>
        <w:t xml:space="preserve">3. County Time Trends</w:t>
      </w:r>
    </w:p>
    <w:p>
      <w:pPr>
        <w:spacing w:after="160"/>
      </w:pPr>
      <w:r>
        <w:rPr>
          <w:rFonts w:ascii="Times New Roman" w:cs="Times New Roman" w:eastAsia="Times New Roman" w:hAnsi="Times New Roman"/>
          <w:sz w:val="24"/>
          <w:szCs w:val="24"/>
        </w:rPr>
        <w:t xml:space="preserve">Adding county-specific linear time trends as a robustness check does not meaningfully change the primary result. This rules out the concern that decarceratory counties were already on a declining prison-sentence trajectory that happened to coincide with election timing. The county trends specification is included in the appendix; the baseline two-way FE is the primary result.</w:t>
      </w:r>
    </w:p>
    <w:p>
      <w:pPr>
        <w:spacing w:after="80"/>
      </w:pPr>
    </w:p>
    <w:p>
      <w:pPr>
        <w:pStyle w:val="Heading1"/>
        <w:spacing w:after="200" w:before="400"/>
      </w:pPr>
      <w:r>
        <w:rPr>
          <w:rFonts w:ascii="Times New Roman" w:cs="Times New Roman" w:eastAsia="Times New Roman" w:hAnsi="Times New Roman"/>
          <w:b/>
          <w:bCs/>
          <w:sz w:val="32"/>
          <w:szCs w:val="32"/>
        </w:rPr>
        <w:t xml:space="preserve">VI. Anticipated Objections and Responses</w:t>
      </w:r>
    </w:p>
    <w:p>
      <w:pPr>
        <w:pStyle w:val="Heading3"/>
        <w:spacing w:after="120" w:before="200"/>
      </w:pPr>
      <w:r>
        <w:rPr>
          <w:rFonts w:ascii="Times New Roman" w:cs="Times New Roman" w:eastAsia="Times New Roman" w:hAnsi="Times New Roman"/>
          <w:b/>
          <w:bCs/>
          <w:i/>
          <w:iCs/>
          <w:sz w:val="24"/>
          <w:szCs w:val="24"/>
        </w:rPr>
        <w:t xml:space="preserve">Objection 1: Judges sentence, not prosecutors. How do you know prosecutors are driving this?</w:t>
      </w:r>
    </w:p>
    <w:p>
      <w:pPr>
        <w:spacing w:after="160"/>
      </w:pPr>
      <w:r>
        <w:rPr>
          <w:rFonts w:ascii="Times New Roman" w:cs="Times New Roman" w:eastAsia="Times New Roman" w:hAnsi="Times New Roman"/>
          <w:sz w:val="24"/>
          <w:szCs w:val="24"/>
        </w:rPr>
        <w:t xml:space="preserve">Prosecutors have substantial influence over sentencing outcomes through three mechanisms that operate before a judge imposes sentence:</w:t>
      </w:r>
    </w:p>
    <w:p>
      <w:pPr>
        <w:pStyle w:val="ListParagraph"/>
        <w:numPr>
          <w:ilvl w:val="0"/>
          <w:numId w:val="1"/>
        </w:numPr>
        <w:spacing w:after="100"/>
      </w:pPr>
      <w:r>
        <w:rPr>
          <w:rFonts w:ascii="Times New Roman" w:cs="Times New Roman" w:eastAsia="Times New Roman" w:hAnsi="Times New Roman"/>
          <w:sz w:val="24"/>
          <w:szCs w:val="24"/>
        </w:rPr>
        <w:t xml:space="preserve">Charging decisions: Prosecutors choose what charges to bring, and charge severity is the strongest predictor of sentence length. A prosecutor who charges a lesser offense or drops an enhancement directly determines the sentencing range.</w:t>
      </w:r>
    </w:p>
    <w:p>
      <w:pPr>
        <w:pStyle w:val="ListParagraph"/>
        <w:numPr>
          <w:ilvl w:val="0"/>
          <w:numId w:val="1"/>
        </w:numPr>
        <w:spacing w:after="100"/>
      </w:pPr>
      <w:r>
        <w:rPr>
          <w:rFonts w:ascii="Times New Roman" w:cs="Times New Roman" w:eastAsia="Times New Roman" w:hAnsi="Times New Roman"/>
          <w:sz w:val="24"/>
          <w:szCs w:val="24"/>
        </w:rPr>
        <w:t xml:space="preserve">Plea bargaining: The vast majority of convictions result from guilty pleas negotiated by prosecutors. The sentence is effectively set in the plea agreement; the judge's role is often ministerial.</w:t>
      </w:r>
    </w:p>
    <w:p>
      <w:pPr>
        <w:pStyle w:val="ListParagraph"/>
        <w:numPr>
          <w:ilvl w:val="0"/>
          <w:numId w:val="1"/>
        </w:numPr>
        <w:spacing w:after="100"/>
      </w:pPr>
      <w:r>
        <w:rPr>
          <w:rFonts w:ascii="Times New Roman" w:cs="Times New Roman" w:eastAsia="Times New Roman" w:hAnsi="Times New Roman"/>
          <w:sz w:val="24"/>
          <w:szCs w:val="24"/>
        </w:rPr>
        <w:t xml:space="preserve">Sentencing recommendations: Even at formal sentencing hearings, prosecutors make recommendations that judges follow at high rates.</w:t>
      </w:r>
    </w:p>
    <w:p>
      <w:pPr>
        <w:spacing w:after="160"/>
      </w:pPr>
      <w:r>
        <w:rPr>
          <w:rFonts w:ascii="Times New Roman" w:cs="Times New Roman" w:eastAsia="Times New Roman" w:hAnsi="Times New Roman"/>
          <w:sz w:val="24"/>
          <w:szCs w:val="24"/>
        </w:rPr>
        <w:t xml:space="preserve">The most compelling evidence: the Incumbent + Contested result is roughly twice as large (−9.3 pp) as the Incumbent Sought result (−5.1 pp). The effect scales with the DA's personal electoral stakes. If judges were driving this, there is no reason why judicial sentencing behavior would vary with whether the prosecutor faces a contested election. This pattern is strong evidence that prosecutorial decisions are the mechanism.</w:t>
      </w:r>
    </w:p>
    <w:p>
      <w:pPr>
        <w:pStyle w:val="Heading3"/>
        <w:spacing w:after="120" w:before="200"/>
      </w:pPr>
      <w:r>
        <w:rPr>
          <w:rFonts w:ascii="Times New Roman" w:cs="Times New Roman" w:eastAsia="Times New Roman" w:hAnsi="Times New Roman"/>
          <w:b/>
          <w:bCs/>
          <w:i/>
          <w:iCs/>
          <w:sz w:val="24"/>
          <w:szCs w:val="24"/>
        </w:rPr>
        <w:t xml:space="preserve">Objection 2: LA is a huge county with very different crime. The comparison is apples to oranges.</w:t>
      </w:r>
    </w:p>
    <w:p>
      <w:pPr>
        <w:spacing w:after="160"/>
      </w:pPr>
      <w:r>
        <w:rPr>
          <w:rFonts w:ascii="Times New Roman" w:cs="Times New Roman" w:eastAsia="Times New Roman" w:hAnsi="Times New Roman"/>
          <w:sz w:val="24"/>
          <w:szCs w:val="24"/>
        </w:rPr>
        <w:t xml:space="preserve">The research design handles this entirely. County fixed effects mean you are never comparing LA to Tulare County — you are comparing LA in election quarters to LA in non-election quarters. Whatever is systematically different about LA is absorbed by the county fixed effect. The objection would only be valid if LA's crime specifically intensified during election quarters relative to non-election quarters — an implausible claim. The COVID sensitivity check addresses the one concrete LA-specific anomaly in 2020 and shows no meaningful change in results.</w:t>
      </w:r>
    </w:p>
    <w:p>
      <w:pPr>
        <w:pStyle w:val="Heading3"/>
        <w:spacing w:after="120" w:before="200"/>
      </w:pPr>
      <w:r>
        <w:rPr>
          <w:rFonts w:ascii="Times New Roman" w:cs="Times New Roman" w:eastAsia="Times New Roman" w:hAnsi="Times New Roman"/>
          <w:b/>
          <w:bCs/>
          <w:i/>
          <w:iCs/>
          <w:sz w:val="24"/>
          <w:szCs w:val="24"/>
        </w:rPr>
        <w:t xml:space="preserve">Objection 3: The N is too small for reliable inference.</w:t>
      </w:r>
    </w:p>
    <w:p>
      <w:pPr>
        <w:spacing w:after="160"/>
      </w:pPr>
      <w:r>
        <w:rPr>
          <w:rFonts w:ascii="Times New Roman" w:cs="Times New Roman" w:eastAsia="Times New Roman" w:hAnsi="Times New Roman"/>
          <w:sz w:val="24"/>
          <w:szCs w:val="24"/>
        </w:rPr>
        <w:t xml:space="preserve">Three responses:</w:t>
      </w:r>
    </w:p>
    <w:p>
      <w:pPr>
        <w:pStyle w:val="ListParagraph"/>
        <w:numPr>
          <w:ilvl w:val="0"/>
          <w:numId w:val="1"/>
        </w:numPr>
        <w:spacing w:after="100"/>
      </w:pPr>
      <w:r>
        <w:rPr>
          <w:rFonts w:ascii="Times New Roman" w:cs="Times New Roman" w:eastAsia="Times New Roman" w:hAnsi="Times New Roman"/>
          <w:sz w:val="24"/>
          <w:szCs w:val="24"/>
        </w:rPr>
        <w:t xml:space="preserve">The sample is not a random draw from some larger population — it is the universe of California county-quarters with contested DA elections during the study period. Small N reflects the actual structure of California politics, not a sampling limitation.</w:t>
      </w:r>
    </w:p>
    <w:p>
      <w:pPr>
        <w:pStyle w:val="ListParagraph"/>
        <w:numPr>
          <w:ilvl w:val="0"/>
          <w:numId w:val="1"/>
        </w:numPr>
        <w:spacing w:after="100"/>
      </w:pPr>
      <w:r>
        <w:rPr>
          <w:rFonts w:ascii="Times New Roman" w:cs="Times New Roman" w:eastAsia="Times New Roman" w:hAnsi="Times New Roman"/>
          <w:sz w:val="24"/>
          <w:szCs w:val="24"/>
        </w:rPr>
        <w:t xml:space="preserve">Within-county identification is efficient. The county fixed effect comparison reduces noise from between-county variation. Even with modest N, the within-county signal is clean.</w:t>
      </w:r>
    </w:p>
    <w:p>
      <w:pPr>
        <w:pStyle w:val="ListParagraph"/>
        <w:numPr>
          <w:ilvl w:val="0"/>
          <w:numId w:val="1"/>
        </w:numPr>
        <w:spacing w:after="100"/>
      </w:pPr>
      <w:r>
        <w:rPr>
          <w:rFonts w:ascii="Times New Roman" w:cs="Times New Roman" w:eastAsia="Times New Roman" w:hAnsi="Times New Roman"/>
          <w:sz w:val="24"/>
          <w:szCs w:val="24"/>
        </w:rPr>
        <w:t xml:space="preserve">The results are statistically significant at conventional thresholds and robust across subsamples and specifications. A null result could be attributed to low power; a significant result with the predicted sign cannot.</w:t>
      </w:r>
    </w:p>
    <w:p>
      <w:pPr>
        <w:pStyle w:val="Heading3"/>
        <w:spacing w:after="120" w:before="200"/>
      </w:pPr>
      <w:r>
        <w:rPr>
          <w:rFonts w:ascii="Times New Roman" w:cs="Times New Roman" w:eastAsia="Times New Roman" w:hAnsi="Times New Roman"/>
          <w:b/>
          <w:bCs/>
          <w:i/>
          <w:iCs/>
          <w:sz w:val="24"/>
          <w:szCs w:val="24"/>
        </w:rPr>
        <w:t xml:space="preserve">Objection 4: Maybe crime just dropped during election years in progressive counties.</w:t>
      </w:r>
    </w:p>
    <w:p>
      <w:pPr>
        <w:spacing w:after="160"/>
      </w:pPr>
      <w:r>
        <w:rPr>
          <w:rFonts w:ascii="Times New Roman" w:cs="Times New Roman" w:eastAsia="Times New Roman" w:hAnsi="Times New Roman"/>
          <w:sz w:val="24"/>
          <w:szCs w:val="24"/>
        </w:rPr>
        <w:t xml:space="preserve">The placebo test directly addresses this. If crime trends were driving the result, a similar pattern would appear in the quarters two years before actual elections. The placebo interaction is +0.270 and insignificant — essentially zero, and opposite in sign to the real result. The effect appears specifically when elections occur, not two years earlier when the same underlying trends would have been in motion.</w:t>
      </w:r>
    </w:p>
    <w:p>
      <w:pPr>
        <w:pStyle w:val="Heading3"/>
        <w:spacing w:after="120" w:before="200"/>
      </w:pPr>
      <w:r>
        <w:rPr>
          <w:rFonts w:ascii="Times New Roman" w:cs="Times New Roman" w:eastAsia="Times New Roman" w:hAnsi="Times New Roman"/>
          <w:b/>
          <w:bCs/>
          <w:i/>
          <w:iCs/>
          <w:sz w:val="24"/>
          <w:szCs w:val="24"/>
        </w:rPr>
        <w:t xml:space="preserve">Objection 5: Your data only goes to 2022. Isn't this old?</w:t>
      </w:r>
    </w:p>
    <w:p>
      <w:pPr>
        <w:spacing w:after="160"/>
      </w:pPr>
      <w:r>
        <w:rPr>
          <w:rFonts w:ascii="Times New Roman" w:cs="Times New Roman" w:eastAsia="Times New Roman" w:hAnsi="Times New Roman"/>
          <w:sz w:val="24"/>
          <w:szCs w:val="24"/>
        </w:rPr>
        <w:t xml:space="preserve">The study period (2013–2022) covers the entire rise of the progressive prosecutor movement in California, from its origins through its first decade. This is the theoretically relevant window — you need to observe DAs who ran on decarceratory platforms and then faced reelection, which requires at least one full electoral cycle. Data through 2022 captures multiple election cycles for the key counties. Extending the panel to 2024 would add one additional election cycle and is a natural extension for future work.</w:t>
      </w:r>
    </w:p>
    <w:p>
      <w:pPr>
        <w:pStyle w:val="Heading3"/>
        <w:spacing w:after="120" w:before="200"/>
      </w:pPr>
      <w:r>
        <w:rPr>
          <w:rFonts w:ascii="Times New Roman" w:cs="Times New Roman" w:eastAsia="Times New Roman" w:hAnsi="Times New Roman"/>
          <w:b/>
          <w:bCs/>
          <w:i/>
          <w:iCs/>
          <w:sz w:val="24"/>
          <w:szCs w:val="24"/>
        </w:rPr>
        <w:t xml:space="preserve">Objection 6: Your paper is California-specific. Does it generalize?</w:t>
      </w:r>
    </w:p>
    <w:p>
      <w:pPr>
        <w:spacing w:after="160"/>
      </w:pPr>
      <w:r>
        <w:rPr>
          <w:rFonts w:ascii="Times New Roman" w:cs="Times New Roman" w:eastAsia="Times New Roman" w:hAnsi="Times New Roman"/>
          <w:sz w:val="24"/>
          <w:szCs w:val="24"/>
        </w:rPr>
        <w:t xml:space="preserve">Yes, and intentionally so. California is the right laboratory because it has the largest concentration of progressive prosecutor jurisdictions in the country, a unified sentencing data infrastructure (CDCR), and sufficient variation in DA type and election timing to support panel identification. The paper is not claiming generalizability to Texas or Florida — it provides the first systematic empirical evidence on a question the law review literature has addressed only theoretically. California is where the movement is largest and best-documented. Generalizability is acknowledged as a scope limitation, not a hidden flaw.</w:t>
      </w:r>
    </w:p>
    <w:p>
      <w:pPr>
        <w:pStyle w:val="Heading3"/>
        <w:spacing w:after="120" w:before="200"/>
      </w:pPr>
      <w:r>
        <w:rPr>
          <w:rFonts w:ascii="Times New Roman" w:cs="Times New Roman" w:eastAsia="Times New Roman" w:hAnsi="Times New Roman"/>
          <w:b/>
          <w:bCs/>
          <w:i/>
          <w:iCs/>
          <w:sz w:val="24"/>
          <w:szCs w:val="24"/>
        </w:rPr>
        <w:t xml:space="preserve">Objection 7: Progressive DA counties might be different in ways you cannot measure.</w:t>
      </w:r>
    </w:p>
    <w:p>
      <w:pPr>
        <w:spacing w:after="160"/>
      </w:pPr>
      <w:r>
        <w:rPr>
          <w:rFonts w:ascii="Times New Roman" w:cs="Times New Roman" w:eastAsia="Times New Roman" w:hAnsi="Times New Roman"/>
          <w:sz w:val="24"/>
          <w:szCs w:val="24"/>
        </w:rPr>
        <w:t xml:space="preserve">This is the standard omitted variable / selection concern. Three design features address it:</w:t>
      </w:r>
    </w:p>
    <w:p>
      <w:pPr>
        <w:pStyle w:val="ListParagraph"/>
        <w:numPr>
          <w:ilvl w:val="0"/>
          <w:numId w:val="1"/>
        </w:numPr>
        <w:spacing w:after="100"/>
      </w:pPr>
      <w:r>
        <w:rPr>
          <w:rFonts w:ascii="Times New Roman" w:cs="Times New Roman" w:eastAsia="Times New Roman" w:hAnsi="Times New Roman"/>
          <w:sz w:val="24"/>
          <w:szCs w:val="24"/>
        </w:rPr>
        <w:t xml:space="preserve">County fixed effects absorb all time-invariant unobserved county characteristics. If progressive counties are systematically different in any stable way, that difference is controlled for.</w:t>
      </w:r>
    </w:p>
    <w:p>
      <w:pPr>
        <w:pStyle w:val="ListParagraph"/>
        <w:numPr>
          <w:ilvl w:val="0"/>
          <w:numId w:val="1"/>
        </w:numPr>
        <w:spacing w:after="100"/>
      </w:pPr>
      <w:r>
        <w:rPr>
          <w:rFonts w:ascii="Times New Roman" w:cs="Times New Roman" w:eastAsia="Times New Roman" w:hAnsi="Times New Roman"/>
          <w:sz w:val="24"/>
          <w:szCs w:val="24"/>
        </w:rPr>
        <w:t xml:space="preserve">The within-county design means that even if progressive counties selected progressive DAs for unobserved reasons, the change in sentencing around elections is identified within the same county under the same unobserved conditions.</w:t>
      </w:r>
    </w:p>
    <w:p>
      <w:pPr>
        <w:pStyle w:val="ListParagraph"/>
        <w:numPr>
          <w:ilvl w:val="0"/>
          <w:numId w:val="1"/>
        </w:numPr>
        <w:spacing w:after="100"/>
      </w:pPr>
      <w:r>
        <w:rPr>
          <w:rFonts w:ascii="Times New Roman" w:cs="Times New Roman" w:eastAsia="Times New Roman" w:hAnsi="Times New Roman"/>
          <w:sz w:val="24"/>
          <w:szCs w:val="24"/>
        </w:rPr>
        <w:t xml:space="preserve">The placebo test shows no pre-election trend, which would appear if counties were on different trajectories that happened to correlate with election timing.</w:t>
      </w:r>
    </w:p>
    <w:p>
      <w:pPr>
        <w:spacing w:after="160"/>
      </w:pPr>
      <w:r>
        <w:rPr>
          <w:rFonts w:ascii="Times New Roman" w:cs="Times New Roman" w:eastAsia="Times New Roman" w:hAnsi="Times New Roman"/>
          <w:sz w:val="24"/>
          <w:szCs w:val="24"/>
        </w:rPr>
        <w:t xml:space="preserve">No observational study fully eliminates selection concerns, and this limitation is acknowledged. But the design substantially mitigates the most obvious versions of the objection.</w:t>
      </w:r>
    </w:p>
    <w:p>
      <w:pPr>
        <w:spacing w:after="80"/>
      </w:pPr>
    </w:p>
    <w:p>
      <w:pPr>
        <w:pStyle w:val="Heading1"/>
        <w:spacing w:after="200" w:before="400"/>
      </w:pPr>
      <w:r>
        <w:rPr>
          <w:rFonts w:ascii="Times New Roman" w:cs="Times New Roman" w:eastAsia="Times New Roman" w:hAnsi="Times New Roman"/>
          <w:b/>
          <w:bCs/>
          <w:sz w:val="32"/>
          <w:szCs w:val="32"/>
        </w:rPr>
        <w:t xml:space="preserve">VII. What the Finding Means</w:t>
      </w:r>
    </w:p>
    <w:p>
      <w:pPr>
        <w:spacing w:after="160"/>
      </w:pPr>
      <w:r>
        <w:rPr>
          <w:rFonts w:ascii="Times New Roman" w:cs="Times New Roman" w:eastAsia="Times New Roman" w:hAnsi="Times New Roman"/>
          <w:sz w:val="24"/>
          <w:szCs w:val="24"/>
        </w:rPr>
        <w:t xml:space="preserve">The standard account of electoral accountability in criminal justice — articulated most forcefully in the literature on prosecutors and elections — holds that elections push prosecutors toward punitiveness because voters punish leniency. This finding challenges that account for an important subpopulation: prosecutors who were elected on a decarceratory platform.</w:t>
      </w:r>
    </w:p>
    <w:p>
      <w:pPr>
        <w:spacing w:after="160"/>
      </w:pPr>
      <w:r>
        <w:rPr>
          <w:rFonts w:ascii="Times New Roman" w:cs="Times New Roman" w:eastAsia="Times New Roman" w:hAnsi="Times New Roman"/>
          <w:sz w:val="24"/>
          <w:szCs w:val="24"/>
        </w:rPr>
        <w:t xml:space="preserve">For these DAs, electoral pressure appears to operate in the opposite direction. They become less punitive near elections, not more. Two interpretations are consistent with this:</w:t>
      </w:r>
    </w:p>
    <w:p>
      <w:pPr>
        <w:pStyle w:val="ListParagraph"/>
        <w:numPr>
          <w:ilvl w:val="0"/>
          <w:numId w:val="1"/>
        </w:numPr>
        <w:spacing w:after="100"/>
      </w:pPr>
      <w:r>
        <w:rPr>
          <w:rFonts w:ascii="Times New Roman" w:cs="Times New Roman" w:eastAsia="Times New Roman" w:hAnsi="Times New Roman"/>
          <w:sz w:val="24"/>
          <w:szCs w:val="24"/>
        </w:rPr>
        <w:t xml:space="preserve">Base mobilization over median voter: Decarceratory DAs may be responding to their own electoral coalition — the reform-minded voters who elected them — rather than to a hypothetical median voter who wants toughness. Near elections, they signal fidelity to their base.</w:t>
      </w:r>
    </w:p>
    <w:p>
      <w:pPr>
        <w:pStyle w:val="ListParagraph"/>
        <w:numPr>
          <w:ilvl w:val="0"/>
          <w:numId w:val="1"/>
        </w:numPr>
        <w:spacing w:after="100"/>
      </w:pPr>
      <w:r>
        <w:rPr>
          <w:rFonts w:ascii="Times New Roman" w:cs="Times New Roman" w:eastAsia="Times New Roman" w:hAnsi="Times New Roman"/>
          <w:sz w:val="24"/>
          <w:szCs w:val="24"/>
        </w:rPr>
        <w:t xml:space="preserve">Commitment credibility: Having campaigned explicitly on decarceration, these DAs face a different reputational constraint than typical incumbents. Becoming more punitive near an election would be visible hypocrisy to the coalition that elected them. They lean in to demonstrate they meant what they said.</w:t>
      </w:r>
    </w:p>
    <w:p>
      <w:pPr>
        <w:spacing w:after="160"/>
      </w:pPr>
      <w:r>
        <w:rPr>
          <w:rFonts w:ascii="Times New Roman" w:cs="Times New Roman" w:eastAsia="Times New Roman" w:hAnsi="Times New Roman"/>
          <w:sz w:val="24"/>
          <w:szCs w:val="24"/>
        </w:rPr>
        <w:t xml:space="preserve">Either interpretation has significant implications for how legal scholars think about the democratic legitimacy of the progressive prosecutor movement. These DAs are not paper reformers who capitulate under pressure. The data suggests they follow through on their commitments precisely when political incentives are sharpest.</w:t>
      </w:r>
    </w:p>
    <w:p>
      <w:pPr>
        <w:pBdr>
          <w:bottom w:val="single" w:color="AAAAAA" w:sz="6"/>
        </w:pBdr>
        <w:spacing w:after="200" w:before="200"/>
      </w:pPr>
    </w:p>
    <w:p>
      <w:pPr>
        <w:spacing w:before="200"/>
        <w:jc w:val="center"/>
      </w:pPr>
      <w:r>
        <w:rPr>
          <w:rFonts w:ascii="Times New Roman" w:cs="Times New Roman" w:eastAsia="Times New Roman" w:hAnsi="Times New Roman"/>
          <w:i/>
          <w:iCs/>
          <w:color w:val="888888"/>
          <w:sz w:val="18"/>
          <w:szCs w:val="18"/>
        </w:rPr>
        <w:t xml:space="preserve">All results from analysis.R and figures.R in the claude/dataset-review-l0rluy branch of the California-Bigelow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2026-08-30T17:02:45.347Z</dcterms:created>
  <dcterms:modified xsi:type="dcterms:W3CDTF">2026-08-30T17:02:45.347Z</dcterms:modified>
</cp:coreProperties>
</file>

<file path=docProps/custom.xml><?xml version="1.0" encoding="utf-8"?>
<Properties xmlns="http://schemas.openxmlformats.org/officeDocument/2006/custom-properties" xmlns:vt="http://schemas.openxmlformats.org/officeDocument/2006/docPropsVTypes"/>
</file>