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lineRule="auto"/>
        <w:jc w:val="center"/>
      </w:pPr>
      <w:r>
        <w:rPr>
          <w:rFonts w:ascii="Times New Roman" w:cs="Times New Roman" w:eastAsia="Times New Roman" w:hAnsi="Times New Roman"/>
          <w:b/>
          <w:bCs/>
          <w:sz w:val="28"/>
          <w:szCs w:val="28"/>
        </w:rPr>
        <w:t xml:space="preserve">Muldrow and the Causation Floor: How McDonnell Douglas Limits the Promise of Muldrow v. City of St. Louis</w:t>
      </w:r>
    </w:p>
    <w:p>
      <w:pPr>
        <w:spacing w:after="480" w:line="480" w:lineRule="auto"/>
        <w:jc w:val="center"/>
      </w:pPr>
      <w:r>
        <w:rPr>
          <w:rFonts w:ascii="Times New Roman" w:cs="Times New Roman" w:eastAsia="Times New Roman" w:hAnsi="Times New Roman"/>
          <w:i/>
          <w:iCs/>
          <w:sz w:val="24"/>
          <w:szCs w:val="24"/>
        </w:rPr>
        <w:t xml:space="preserve">Paper Overview Draft — Version 2</w:t>
      </w:r>
    </w:p>
    <w:p>
      <w:pPr>
        <w:pStyle w:val="Heading2"/>
        <w:spacing w:after="0" w:before="240" w:line="480" w:lineRule="auto"/>
      </w:pPr>
      <w:r>
        <w:rPr>
          <w:rFonts w:ascii="Times New Roman" w:cs="Times New Roman" w:eastAsia="Times New Roman" w:hAnsi="Times New Roman"/>
          <w:b/>
          <w:bCs/>
          <w:sz w:val="24"/>
          <w:szCs w:val="24"/>
        </w:rPr>
        <w:t xml:space="preserve">I. Introduction</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When the Supreme Court decided </w:t>
      </w:r>
      <w:r>
        <w:rPr>
          <w:rFonts w:ascii="Times New Roman" w:cs="Times New Roman" w:eastAsia="Times New Roman" w:hAnsi="Times New Roman"/>
          <w:i/>
          <w:iCs/>
          <w:sz w:val="24"/>
          <w:szCs w:val="24"/>
        </w:rPr>
        <w:t xml:space="preserve">Muldrow v. City of St. Louis</w:t>
      </w:r>
      <w:r>
        <w:rPr>
          <w:rFonts w:ascii="Times New Roman" w:cs="Times New Roman" w:eastAsia="Times New Roman" w:hAnsi="Times New Roman"/>
          <w:sz w:val="24"/>
          <w:szCs w:val="24"/>
        </w:rPr>
        <w:t xml:space="preserve"> in April 2024, employment law scholars predicted chaos. The Court had unanimously held that Title VII plaintiffs need only show "some harm" from a discriminatory adverse action, eliminating the "significant" or "materially adverse" threshold that circuit courts had long imposed. Commentators disagreed about what the new standard meant, what counted as sufficient harm, and whether decades of circuit court doctrine would need to be rebuilt from scratch. The most comprehensive scholarly treatment to date predicts "decades of chaotic case law" as courts struggle to define the metes and bounds of discrimination harm without adequate textual guidance.</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chaos has not materialized — at least not where scholars expected it.</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This Article presents the first quantitative study of how lower courts have applied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in the year following the decision, drawing on an original dataset of 386 federal court decisions: 128 decided before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and 258 decided after. The data reveal that courts have converged on the harm question with surprising speed. The share of cases in which courts found the plaintiff's alleged harm insufficient fell from 73.8% pre-</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to 32.4% post-</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 a 41 percentage point shift that holds across circuits, employer types, and motion stages. Courts are not struggling to apply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's harm standard. They are applying it, and applying it consistently.</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doctrinal crisis, however, is real. It is simply located somewhere else: in the causation element, not the harm element.</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As the harm threshold has receded as a dismissal vehicle, courts have elevated causation — the requirement that the adverse action occurred "because of" a protected characteristic — from a secondary to a primary basis for dismissing Title VII non-economic adverse action claims. Pre-</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17.2% of cases were dismissed primarily on causation grounds. Post-</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that figure is 36.0% — more than double. The overall dismissal rate did fall significantly (from 70.3% to 55.8%, odds ratio = 0.57, p = .041), confirming that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produced real gains for plaintiffs. But those gains were partially offset by what this Article calls element substitution: as courts lost the harm threshold as a dismissal vehicle, they elevated causation — a ground already present as a secondary basis in 49% of pre-</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harm-dismissed cases — to primary status.</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deeper problem is structural. The causation framework courts are using — </w:t>
      </w:r>
      <w:r>
        <w:rPr>
          <w:rFonts w:ascii="Times New Roman" w:cs="Times New Roman" w:eastAsia="Times New Roman" w:hAnsi="Times New Roman"/>
          <w:i/>
          <w:iCs/>
          <w:sz w:val="24"/>
          <w:szCs w:val="24"/>
        </w:rPr>
        <w:t xml:space="preserve">McDonnell Douglas</w:t>
      </w:r>
      <w:r>
        <w:rPr>
          <w:rFonts w:ascii="Times New Roman" w:cs="Times New Roman" w:eastAsia="Times New Roman" w:hAnsi="Times New Roman"/>
          <w:sz w:val="24"/>
          <w:szCs w:val="24"/>
        </w:rPr>
        <w:t xml:space="preserve">'s burden-shifting pretext analysis — was designed for the paradigm case of discriminatory termination or refusal to hire: situations where the adverse action is dramatic, comparators are identifiable, and the pretext inquiry has traction. Applied to transfers, shift changes, and schedule modifications, the pretext framework systematically favors defendants. Employers can almost always offer a plausible operational justification for everyday workplace decisions. When a court asks whether that justification is pretextual — whether it was the real reason rather than discrimination — the answer is often "probably not," because the operational reason often is genuine, even if discrimination was also present in the mix. The pretext inquiry is the wrong question for cases where discriminatory and legitimate motivations coexist.</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This Article argues that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opened the door by correctly lowering the harm threshold, but </w:t>
      </w:r>
      <w:r>
        <w:rPr>
          <w:rFonts w:ascii="Times New Roman" w:cs="Times New Roman" w:eastAsia="Times New Roman" w:hAnsi="Times New Roman"/>
          <w:i/>
          <w:iCs/>
          <w:sz w:val="24"/>
          <w:szCs w:val="24"/>
        </w:rPr>
        <w:t xml:space="preserve">McDonnell Douglas</w:t>
      </w:r>
      <w:r>
        <w:rPr>
          <w:rFonts w:ascii="Times New Roman" w:cs="Times New Roman" w:eastAsia="Times New Roman" w:hAnsi="Times New Roman"/>
          <w:sz w:val="24"/>
          <w:szCs w:val="24"/>
        </w:rPr>
        <w:t xml:space="preserve"> as applied to non-economic adverse action cases is closing it again — not through judicial bad faith but through structural mismatch between a causation framework designed for one kind of case and a doctrinal context for which it was not designed. The prescriptive implication is that courts should reconsider the causation framework applicable to Title VII non-economic adverse action claims: specifically, by allowing plaintiffs to invoke § 703(m)'s motivating factor standard without requiring direct evidence of discriminatory intent, and by being more receptive to pattern-based evidence that captures how discrimination operates across a series of individualized workplace decisions.</w:t>
      </w:r>
    </w:p>
    <w:p>
      <w:pPr>
        <w:spacing w:line="480" w:lineRule="auto"/>
      </w:pPr>
      <w:r>
        <w:rPr>
          <w:rFonts w:ascii="Times New Roman" w:cs="Times New Roman" w:eastAsia="Times New Roman" w:hAnsi="Times New Roman"/>
          <w:sz w:val="24"/>
          <w:szCs w:val="24"/>
        </w:rPr>
        <w:t xml:space="preserve"/>
      </w:r>
    </w:p>
    <w:p>
      <w:pPr>
        <w:pStyle w:val="Heading2"/>
        <w:spacing w:after="0" w:before="240" w:line="480" w:lineRule="auto"/>
      </w:pPr>
      <w:r>
        <w:rPr>
          <w:rFonts w:ascii="Times New Roman" w:cs="Times New Roman" w:eastAsia="Times New Roman" w:hAnsi="Times New Roman"/>
          <w:b/>
          <w:bCs/>
          <w:sz w:val="24"/>
          <w:szCs w:val="24"/>
        </w:rPr>
        <w:t xml:space="preserve">II. Background</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A. The Pre-Muldrow Harm Threshold</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Title VII prohibits employers from discriminating against employees "because of" a protected characteristic with respect to "terms, conditions, or privileges of employment." By the 2010s, most circuits had grafted a materiality requirement onto this language, requiring plaintiffs alleging non-economic adverse actions — transfers, shift changes, schedule modifications, lateral reassignments — to show that the action produced a "significant" or "materially adverse" change in the terms and conditions of work. The practical effect was systematic dismissal of claims involving the everyday texture of workplace discrimination: the transfers that foreclosed advancement, the schedule changes that disrupted caregiving, the reassignments that isolated workers from mentorship and networks.</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held this was wrong. Justice Kagan, writing for a unanimous Court, held that Title VII requires only "some harm" in the form of "a disadvantageous change in an employment term or condition." The decision was explicit: it "changes the legal standard" in any circuit that had required significant harm, and "many cases will come out differently."</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B. What Muldrow Left Open</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resolved the harm debate. It said nothing about causation. The "because of" requirement — which connects the adverse action to discriminatory intent — has always been the other major element of a Title VII claim, and the Court did not address it. In the lower courts, causation in circumstantial-evidence cases is governed by </w:t>
      </w:r>
      <w:r>
        <w:rPr>
          <w:rFonts w:ascii="Times New Roman" w:cs="Times New Roman" w:eastAsia="Times New Roman" w:hAnsi="Times New Roman"/>
          <w:i/>
          <w:iCs/>
          <w:sz w:val="24"/>
          <w:szCs w:val="24"/>
        </w:rPr>
        <w:t xml:space="preserve">McDonnell Douglas Corp. v. Green</w:t>
      </w:r>
      <w:r>
        <w:rPr>
          <w:rFonts w:ascii="Times New Roman" w:cs="Times New Roman" w:eastAsia="Times New Roman" w:hAnsi="Times New Roman"/>
          <w:sz w:val="24"/>
          <w:szCs w:val="24"/>
        </w:rPr>
        <w:t xml:space="preserve"> (1973): the plaintiff establishes a prima facie case, the employer offers a legitimate nondiscriminatory reason, and the plaintiff attempts to show that reason is pretextual.</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existing scholarly literature has focused almost entirely on the harm question — what counts as sufficient harm under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whether "terms, conditions, or privileges" provides adequate guidance, and whether the decision will unify harassment and non-harassment disparate treatment doctrine. This Article shifts the focus. The empirical evidence shows that the harm question has largely resolved itself. Causation is where plaintiffs are losing, and causation doctrine — specifically the pretext inquiry under </w:t>
      </w:r>
      <w:r>
        <w:rPr>
          <w:rFonts w:ascii="Times New Roman" w:cs="Times New Roman" w:eastAsia="Times New Roman" w:hAnsi="Times New Roman"/>
          <w:i/>
          <w:iCs/>
          <w:sz w:val="24"/>
          <w:szCs w:val="24"/>
        </w:rPr>
        <w:t xml:space="preserve">McDonnell Douglas</w:t>
      </w:r>
      <w:r>
        <w:rPr>
          <w:rFonts w:ascii="Times New Roman" w:cs="Times New Roman" w:eastAsia="Times New Roman" w:hAnsi="Times New Roman"/>
          <w:sz w:val="24"/>
          <w:szCs w:val="24"/>
        </w:rPr>
        <w:t xml:space="preserve"> — is where reform is needed.</w:t>
      </w:r>
    </w:p>
    <w:p>
      <w:pPr>
        <w:spacing w:line="480" w:lineRule="auto"/>
      </w:pPr>
      <w:r>
        <w:rPr>
          <w:rFonts w:ascii="Times New Roman" w:cs="Times New Roman" w:eastAsia="Times New Roman" w:hAnsi="Times New Roman"/>
          <w:sz w:val="24"/>
          <w:szCs w:val="24"/>
        </w:rPr>
        <w:t xml:space="preserve"/>
      </w:r>
    </w:p>
    <w:p>
      <w:pPr>
        <w:pStyle w:val="Heading2"/>
        <w:spacing w:after="0" w:before="240" w:line="480" w:lineRule="auto"/>
      </w:pPr>
      <w:r>
        <w:rPr>
          <w:rFonts w:ascii="Times New Roman" w:cs="Times New Roman" w:eastAsia="Times New Roman" w:hAnsi="Times New Roman"/>
          <w:b/>
          <w:bCs/>
          <w:sz w:val="24"/>
          <w:szCs w:val="24"/>
        </w:rPr>
        <w:t xml:space="preserve">III. Data and Method</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dataset consists of 386 federal district and circuit court decisions on dispositive motions in Title VII non-economic adverse action cases. Cases were identified through a systematic Westlaw search for decisions citing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(post-period) and decisions applying the adverse employment action standard to non-economic harms in the two years before the decision (pre-period). Cases were hand-coded for: circuit, employer type (government/private), motion type (Rule 12(b)(6)/summary judgment), adverse action type, overall case outcome, court's finding on the harm standard, primary and secondary basis for dismissal, and judicial characteristics including appointing president's party.</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pre-period comprises 128 cases decided before April 17, 2024; the post-period comprises 258 cases decided on or after that date. The primary identification strategy is a pre/post comparison using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's decision date as the cutoff. All regression analyses control for circuit fixed effects, employer type, motion type, and appointing president's party. The primary analytical models are logistic regressions; supplementary analyses use chi-square tests and cross-tabulations.</w:t>
      </w:r>
    </w:p>
    <w:p>
      <w:pPr>
        <w:spacing w:line="480" w:lineRule="auto"/>
      </w:pPr>
      <w:r>
        <w:rPr>
          <w:rFonts w:ascii="Times New Roman" w:cs="Times New Roman" w:eastAsia="Times New Roman" w:hAnsi="Times New Roman"/>
          <w:sz w:val="24"/>
          <w:szCs w:val="24"/>
        </w:rPr>
        <w:t xml:space="preserve"/>
      </w:r>
    </w:p>
    <w:p>
      <w:pPr>
        <w:pStyle w:val="Heading2"/>
        <w:spacing w:after="0" w:before="240" w:line="480" w:lineRule="auto"/>
      </w:pPr>
      <w:r>
        <w:rPr>
          <w:rFonts w:ascii="Times New Roman" w:cs="Times New Roman" w:eastAsia="Times New Roman" w:hAnsi="Times New Roman"/>
          <w:b/>
          <w:bCs/>
          <w:sz w:val="24"/>
          <w:szCs w:val="24"/>
        </w:rPr>
        <w:t xml:space="preserve">IV. Findings</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A. The Harm Question Has Resolved Itself</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produced a clear and rapid shift in how courts evaluate the harm element. Courts found harm insufficient in 73.8% of pre-</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cases; that figure dropped to 32.4% post-</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 a 41 percentage point reduction. Courts found harm sufficient in 10.8% of pre-period cases and 40.2% of post-period cases. These shifts are large, statistically robust, and consistent across subgroup analyses. The predicted doctrinal chaos on the harm question has not materialized: courts have converged on a more permissive harm standard with speed and apparent consistency.</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B. Causation Is the New Primary Dismissal Ground</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counterweight to the harm finding is the causation finding. Pre-</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17.2% of cases were dismissed primarily on causation or discriminatory intent grounds. Post-</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that figure is 36.0% — more than double. A logistic regression examining the probability of a causation-based dismissal versus a harm-based dismissal (among dismissed cases) finds a post-period odds ratio of 4.6 (95% CI [2.5–8.5], p &lt; .001): post-</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dismissed cases are 4.6 times more likely to end on causation grounds relative to the pre-period baseline.</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C. Element Substitution: Secondary to Primary</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critical question is whether this causation surge represents something new or the promotion of a pre-existing ground. The secondary dismissal basis data answers directly. Among the 89 pre-</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cases dismissed primarily on harm grounds, 44 — 49% — already carried causation as a secondary basis. The pre- and post-period causation percentages are strikingly similar: 35.9% of all pre-period cases involved a causation finding (primary or secondary), while 36.0% of post-period cases were dismissed on causation as the primary ground alone. Courts did not invent a new weapon. They promoted an existing one.</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D. The Overall Gain Is Real</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overall dismissal rate fell from 70.3% pre-</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to 55.8% post-</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(chi-square = 6.94, p = .008), and this holds in a multivariate logistic regression controlling for circuit, employer type, motion type, and judicial ideology (OR = 0.57, 95% CI [0.33–0.98], p = .041). The docket management hypothesis — that courts simply relabeled dismissals without changing outcomes — is affirmatively rejected.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worked. The element substitution effect is real but does not erase the gain.</w:t>
      </w:r>
    </w:p>
    <w:p>
      <w:pPr>
        <w:spacing w:line="480" w:lineRule="auto"/>
      </w:pPr>
      <w:r>
        <w:rPr>
          <w:rFonts w:ascii="Times New Roman" w:cs="Times New Roman" w:eastAsia="Times New Roman" w:hAnsi="Times New Roman"/>
          <w:sz w:val="24"/>
          <w:szCs w:val="24"/>
        </w:rPr>
        <w:t xml:space="preserve"/>
      </w:r>
    </w:p>
    <w:p>
      <w:pPr>
        <w:pStyle w:val="Heading2"/>
        <w:spacing w:after="0" w:before="240" w:line="480" w:lineRule="auto"/>
      </w:pPr>
      <w:r>
        <w:rPr>
          <w:rFonts w:ascii="Times New Roman" w:cs="Times New Roman" w:eastAsia="Times New Roman" w:hAnsi="Times New Roman"/>
          <w:b/>
          <w:bCs/>
          <w:sz w:val="24"/>
          <w:szCs w:val="24"/>
        </w:rPr>
        <w:t xml:space="preserve">V. The McDonnell Douglas Problem</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A. A Framework Designed for Different Cases</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McDonnell Douglas</w:t>
      </w:r>
      <w:r>
        <w:rPr>
          <w:rFonts w:ascii="Times New Roman" w:cs="Times New Roman" w:eastAsia="Times New Roman" w:hAnsi="Times New Roman"/>
          <w:sz w:val="24"/>
          <w:szCs w:val="24"/>
        </w:rPr>
        <w:t xml:space="preserve"> was decided in 1973, in a factual context involving refusal to rehire — a paradigm case of dramatic, binary adverse action. The framework it created — prima facie case, legitimate nondiscriminatory reason, pretext — works reasonably well when the adverse action is termination or failure to promote. The action is salient, comparators are identifiable, and the pretext inquiry has purchase: either the employer's stated reason for firing someone holds up or it does not.</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Non-economic adverse actions are structurally different. Transfers, shift assignments, schedule changes, and task reallocations happen constantly in every workplace for dozens of reasons. Operational justifications are always available. A supervisor who transfers a subordinate partly because of race or sex will have no difficulty articulating a plausible operational reason, and that reason will often be genuine — even if the subordinate's protected characteristic also played a role. </w:t>
      </w:r>
      <w:r>
        <w:rPr>
          <w:rFonts w:ascii="Times New Roman" w:cs="Times New Roman" w:eastAsia="Times New Roman" w:hAnsi="Times New Roman"/>
          <w:i/>
          <w:iCs/>
          <w:sz w:val="24"/>
          <w:szCs w:val="24"/>
        </w:rPr>
        <w:t xml:space="preserve">McDonnell Douglas</w:t>
      </w:r>
      <w:r>
        <w:rPr>
          <w:rFonts w:ascii="Times New Roman" w:cs="Times New Roman" w:eastAsia="Times New Roman" w:hAnsi="Times New Roman"/>
          <w:sz w:val="24"/>
          <w:szCs w:val="24"/>
        </w:rPr>
        <w:t xml:space="preserve">'s pretext step asks: was the employer's stated reason a lie? In non-economic adverse action cases, the answer is frequently "not exactly," because the stated reason is often partially true. The framework is not calibrated for cases where discriminatory and legitimate motivations coexist.</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B. Three Features That Make Pretext Fail Here</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Three structural features of non-economic adverse action cases make </w:t>
      </w:r>
      <w:r>
        <w:rPr>
          <w:rFonts w:ascii="Times New Roman" w:cs="Times New Roman" w:eastAsia="Times New Roman" w:hAnsi="Times New Roman"/>
          <w:i/>
          <w:iCs/>
          <w:sz w:val="24"/>
          <w:szCs w:val="24"/>
        </w:rPr>
        <w:t xml:space="preserve">McDonnell Douglas</w:t>
      </w:r>
      <w:r>
        <w:rPr>
          <w:rFonts w:ascii="Times New Roman" w:cs="Times New Roman" w:eastAsia="Times New Roman" w:hAnsi="Times New Roman"/>
          <w:sz w:val="24"/>
          <w:szCs w:val="24"/>
        </w:rPr>
        <w:t xml:space="preserve">'s pretext inquiry systematically unfavorable to plaintiffs in ways that do not apply to termination cases.</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First, operational justifications are essentially always available. An employer deciding to transfer an employee can point to staffing needs, skill matching, seniority rotation, or any number of neutral factors. These justifications are not fabrications — they are real considerations present even when discrimination was also in the mix. A plaintiff cannot show they are pretextual because they are not.</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Second, comparator evidence is harder to develop. Termination cases often yield identifiable comparators — employees of a different race or sex who were not fired for similar conduct. Transfer and scheduling decisions are more individualized, more frequent, and harder to match to comparators because every employee's circumstances differ. Courts' comparator requirements are already demanding; they are even harder to satisfy in this context.</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Third, courts are reluctant to second-guess business judgment in what they perceive as low-stakes decisions. The reluctance to "sit as a super-personnel department" has more bite in the context of a shift reassignment than a termination. Courts that would scrutinize an employer's reason for firing someone more readily accept an employer's reason for changing a schedule.</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C. The Structural Mismatch</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post-</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data makes this structural mismatch visible. Courts are dismissing on causation grounds at twice the pre-</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rate, using a pretext framework that asks whether the employer's operational reason was fabricated. That reason almost never is fabricated — it is typically genuine, if not the whole story. Courts find that the plaintiff has not shown pretext and dismiss. The result is that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's reduced harm threshold is partially offset by a causation framework poorly suited to the factual context of the very cases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was designed to reach. The whole point of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was that Title VII reaches discrimination in the everyday texture of work. Applying a causation framework calibrated for termination cases to transfer and schedule-change cases replicates, through the causation element, the exclusionary function the harm threshold used to serve.</w:t>
      </w:r>
    </w:p>
    <w:p>
      <w:pPr>
        <w:spacing w:line="480" w:lineRule="auto"/>
      </w:pPr>
      <w:r>
        <w:rPr>
          <w:rFonts w:ascii="Times New Roman" w:cs="Times New Roman" w:eastAsia="Times New Roman" w:hAnsi="Times New Roman"/>
          <w:sz w:val="24"/>
          <w:szCs w:val="24"/>
        </w:rPr>
        <w:t xml:space="preserve"/>
      </w:r>
    </w:p>
    <w:p>
      <w:pPr>
        <w:pStyle w:val="Heading2"/>
        <w:spacing w:after="0" w:before="240" w:line="480" w:lineRule="auto"/>
      </w:pPr>
      <w:r>
        <w:rPr>
          <w:rFonts w:ascii="Times New Roman" w:cs="Times New Roman" w:eastAsia="Times New Roman" w:hAnsi="Times New Roman"/>
          <w:b/>
          <w:bCs/>
          <w:sz w:val="24"/>
          <w:szCs w:val="24"/>
        </w:rPr>
        <w:t xml:space="preserve">VI. Alternative Frameworks for Causation</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A. The Motivating Factor Standard Without a Direct Evidence Requirement</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most direct reform is to make § 703(m)'s motivating factor standard available in non-economic adverse action cases without requiring direct evidence of discriminatory intent. Under § 703(m), an unlawful employment practice is established when a protected characteristic "was a motivating factor" in the employment decision, even if other factors also motivated it. This is the right question for mixed-motive non-economic adverse action cases: not "was the employer's reason a lie?" but "did the plaintiff's protected characteristic play any role?" The direct evidence requirement courts have grafted onto § 703(m) is not in the statute. Removing it in the non-economic adverse action context would give plaintiffs a more accurate and more appropriate causal inquiry.</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B. Pattern Evidence at the Individual Level</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Courts should also be more receptive to pattern-based evidence in individual cases. If an employer systematically makes transfer, scheduling, or assignment decisions in ways that disadvantage employees of a particular protected class, that pattern is probative of discriminatory intent in any individual plaintiff's case — even if the employer had a plausible operational reason for each individual decision. Pattern evidence is currently the province of class actions and EEOC enforcement. Extending its availability to individual plaintiffs would better capture how discrimination operates in the everyday texture of workplace decision-making, precisely the context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was designed to reach.</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C. The Bostock But-For Counterfactual as a Direct Inquiry</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Bostock v. Clayton County</w:t>
      </w:r>
      <w:r>
        <w:rPr>
          <w:rFonts w:ascii="Times New Roman" w:cs="Times New Roman" w:eastAsia="Times New Roman" w:hAnsi="Times New Roman"/>
          <w:sz w:val="24"/>
          <w:szCs w:val="24"/>
        </w:rPr>
        <w:t xml:space="preserve"> interpreted "because of" to mean but-for causation: would the employer have made this decision if everything were the same except the plaintiff's protected characteristic? Applied as a direct inquiry — rather than channeled through the pretext framework — this question can be answered through comparator evidence, statistical patterns, and circumstantial evidence of differential treatment, without requiring proof that the employer's stated reason was false. Courts should be directed to ask the but-for question directly in non-economic adverse action cases, rather than routing the inquiry through a pretext analysis that asks a different and less accurate question.</w:t>
      </w:r>
    </w:p>
    <w:p>
      <w:pPr>
        <w:spacing w:line="480" w:lineRule="auto"/>
      </w:pPr>
      <w:r>
        <w:rPr>
          <w:rFonts w:ascii="Times New Roman" w:cs="Times New Roman" w:eastAsia="Times New Roman" w:hAnsi="Times New Roman"/>
          <w:sz w:val="24"/>
          <w:szCs w:val="24"/>
        </w:rPr>
        <w:t xml:space="preserve"/>
      </w:r>
    </w:p>
    <w:p>
      <w:pPr>
        <w:pStyle w:val="Heading3"/>
        <w:spacing w:after="0" w:before="200" w:line="480" w:lineRule="auto"/>
      </w:pPr>
      <w:r>
        <w:rPr>
          <w:rFonts w:ascii="Times New Roman" w:cs="Times New Roman" w:eastAsia="Times New Roman" w:hAnsi="Times New Roman"/>
          <w:b/>
          <w:bCs/>
          <w:i/>
          <w:iCs/>
          <w:sz w:val="24"/>
          <w:szCs w:val="24"/>
        </w:rPr>
        <w:t xml:space="preserve">D. What Reform Looks Like</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Taken together, these alternatives point toward a reformed causation inquiry for Title VII non-economic adverse action cases: plaintiffs should be able to proceed under a motivating factor standard without direct evidence, should be permitted to use aggregate employment patterns as evidence of individual causation, and courts should evaluate the but-for question directly using any relevant evidence. None of these reforms requires abandoning </w:t>
      </w:r>
      <w:r>
        <w:rPr>
          <w:rFonts w:ascii="Times New Roman" w:cs="Times New Roman" w:eastAsia="Times New Roman" w:hAnsi="Times New Roman"/>
          <w:i/>
          <w:iCs/>
          <w:sz w:val="24"/>
          <w:szCs w:val="24"/>
        </w:rPr>
        <w:t xml:space="preserve">McDonnell Douglas</w:t>
      </w:r>
      <w:r>
        <w:rPr>
          <w:rFonts w:ascii="Times New Roman" w:cs="Times New Roman" w:eastAsia="Times New Roman" w:hAnsi="Times New Roman"/>
          <w:sz w:val="24"/>
          <w:szCs w:val="24"/>
        </w:rPr>
        <w:t xml:space="preserve"> entirely — they require recognizing that </w:t>
      </w:r>
      <w:r>
        <w:rPr>
          <w:rFonts w:ascii="Times New Roman" w:cs="Times New Roman" w:eastAsia="Times New Roman" w:hAnsi="Times New Roman"/>
          <w:i/>
          <w:iCs/>
          <w:sz w:val="24"/>
          <w:szCs w:val="24"/>
        </w:rPr>
        <w:t xml:space="preserve">McDonnell Douglas</w:t>
      </w:r>
      <w:r>
        <w:rPr>
          <w:rFonts w:ascii="Times New Roman" w:cs="Times New Roman" w:eastAsia="Times New Roman" w:hAnsi="Times New Roman"/>
          <w:sz w:val="24"/>
          <w:szCs w:val="24"/>
        </w:rPr>
        <w:t xml:space="preserve"> was designed for a factual context different from the one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was designed to reach, and calibrating the causation inquiry accordingly.</w:t>
      </w:r>
    </w:p>
    <w:p>
      <w:pPr>
        <w:spacing w:line="480" w:lineRule="auto"/>
      </w:pPr>
      <w:r>
        <w:rPr>
          <w:rFonts w:ascii="Times New Roman" w:cs="Times New Roman" w:eastAsia="Times New Roman" w:hAnsi="Times New Roman"/>
          <w:sz w:val="24"/>
          <w:szCs w:val="24"/>
        </w:rPr>
        <w:t xml:space="preserve"/>
      </w:r>
    </w:p>
    <w:p>
      <w:pPr>
        <w:pStyle w:val="Heading2"/>
        <w:spacing w:after="0" w:before="240" w:line="480" w:lineRule="auto"/>
      </w:pPr>
      <w:r>
        <w:rPr>
          <w:rFonts w:ascii="Times New Roman" w:cs="Times New Roman" w:eastAsia="Times New Roman" w:hAnsi="Times New Roman"/>
          <w:b/>
          <w:bCs/>
          <w:sz w:val="24"/>
          <w:szCs w:val="24"/>
        </w:rPr>
        <w:t xml:space="preserve">VII. The Broader Lesson</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This Article's findings illuminate a general pattern in how Supreme Court decisions interact with multi-element statutory claims. When the Court makes one element easier for plaintiffs, the practical effect depends heavily on what happens to other elements.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lowered the harm threshold but left the causation framework untouched. The result was element substitution: defendants pivoted to causation, courts applied an existing but previously secondary ground to the primary question, and the plaintiff-favorable gain was partially absorbed. This is not nullification and not docket management — it is a predictable structural response to a partial doctrinal reform.</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lesson for the Court is that favorable decisions addressing one element of a multi-element claim should anticipate the element substitution dynamic. A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that had also addressed the causation framework — directing courts toward a motivating factor standard or clarifying that pattern evidence is appropriate in non-economic adverse action cases — would have foreclosed the primary mechanism of offset. In the absence of that guidance, element substitution filled the gap.</w:t>
      </w:r>
    </w:p>
    <w:p>
      <w:pPr>
        <w:spacing w:line="480" w:lineRule="auto"/>
      </w:pPr>
      <w:r>
        <w:rPr>
          <w:rFonts w:ascii="Times New Roman" w:cs="Times New Roman" w:eastAsia="Times New Roman" w:hAnsi="Times New Roman"/>
          <w:sz w:val="24"/>
          <w:szCs w:val="24"/>
        </w:rPr>
        <w:t xml:space="preserve"/>
      </w:r>
    </w:p>
    <w:p>
      <w:pPr>
        <w:pStyle w:val="Heading2"/>
        <w:spacing w:after="0" w:before="240" w:line="480" w:lineRule="auto"/>
      </w:pPr>
      <w:r>
        <w:rPr>
          <w:rFonts w:ascii="Times New Roman" w:cs="Times New Roman" w:eastAsia="Times New Roman" w:hAnsi="Times New Roman"/>
          <w:b/>
          <w:bCs/>
          <w:sz w:val="24"/>
          <w:szCs w:val="24"/>
        </w:rPr>
        <w:t xml:space="preserve">VIII. Conclusion</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Muldrow v. City of St. Louis</w:t>
      </w:r>
      <w:r>
        <w:rPr>
          <w:rFonts w:ascii="Times New Roman" w:cs="Times New Roman" w:eastAsia="Times New Roman" w:hAnsi="Times New Roman"/>
          <w:sz w:val="24"/>
          <w:szCs w:val="24"/>
        </w:rPr>
        <w:t xml:space="preserve"> was the right decision, and the empirical evidence confirms it changed outcomes. The overall dismissal rate in Title VII non-economic adverse action cases fell from 70.3% to 55.8%, courts now find harm sufficient at nearly four times the pre-</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rate, and the docket management hypothesis is affirmatively rejected by the data.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moved the needle.</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But the needle did not move as far as it should have. Element substitution — the elevation of causation from a secondary to a primary dismissal ground — absorbed a significant portion of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's potential gain. The mechanism of that offset is structural: </w:t>
      </w:r>
      <w:r>
        <w:rPr>
          <w:rFonts w:ascii="Times New Roman" w:cs="Times New Roman" w:eastAsia="Times New Roman" w:hAnsi="Times New Roman"/>
          <w:i/>
          <w:iCs/>
          <w:sz w:val="24"/>
          <w:szCs w:val="24"/>
        </w:rPr>
        <w:t xml:space="preserve">McDonnell Douglas</w:t>
      </w:r>
      <w:r>
        <w:rPr>
          <w:rFonts w:ascii="Times New Roman" w:cs="Times New Roman" w:eastAsia="Times New Roman" w:hAnsi="Times New Roman"/>
          <w:sz w:val="24"/>
          <w:szCs w:val="24"/>
        </w:rPr>
        <w:t xml:space="preserve">'s pretext inquiry, designed for paradigm termination and hiring cases, is poorly calibrated for the non-economic adverse action context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was designed to reach. Courts are not applying the wrong law — they are applying a framework that asks the wrong question for the cases now before them.</w:t>
      </w:r>
    </w:p>
    <w:p>
      <w:pPr>
        <w:spacing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The harm debate is over.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settled it. The causation debate is just beginning, and the framework courts use to resolve it will determine whether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's promise is kept or quietly absorbed. This Article has identified the problem and proposed a path forward. Whether courts, Congress, or the Supreme Court itself ultimately addresses the causation framework will shape the practical meaning of </w:t>
      </w:r>
      <w:r>
        <w:rPr>
          <w:rFonts w:ascii="Times New Roman" w:cs="Times New Roman" w:eastAsia="Times New Roman" w:hAnsi="Times New Roman"/>
          <w:i/>
          <w:iCs/>
          <w:sz w:val="24"/>
          <w:szCs w:val="24"/>
        </w:rPr>
        <w:t xml:space="preserve">Muldrow</w:t>
      </w:r>
      <w:r>
        <w:rPr>
          <w:rFonts w:ascii="Times New Roman" w:cs="Times New Roman" w:eastAsia="Times New Roman" w:hAnsi="Times New Roman"/>
          <w:sz w:val="24"/>
          <w:szCs w:val="24"/>
        </w:rPr>
        <w:t xml:space="preserve"> for the plaintiffs it was meant to protect.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2026-08-26T04:48:50.708Z</dcterms:created>
  <dcterms:modified xsi:type="dcterms:W3CDTF">2026-08-26T04:48:50.724Z</dcterms:modified>
</cp:coreProperties>
</file>

<file path=docProps/custom.xml><?xml version="1.0" encoding="utf-8"?>
<Properties xmlns="http://schemas.openxmlformats.org/officeDocument/2006/custom-properties" xmlns:vt="http://schemas.openxmlformats.org/officeDocument/2006/docPropsVTypes"/>
</file>