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C-MOOR</w:t>
      </w:r>
      <w:r>
        <w:t xml:space="preserve"> </w:t>
      </w:r>
      <w:r>
        <w:t xml:space="preserve">CURE:</w:t>
      </w:r>
      <w:r>
        <w:t xml:space="preserve"> </w:t>
      </w:r>
      <w:r>
        <w:t xml:space="preserve">scRNA-seq</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C-MOOR CURE: scRNA-seq</dc:title>
  <dc:creator/>
  <dc:description>Description about Course/Book.</dc:description>
  <cp:keywords/>
  <dcterms:created xsi:type="dcterms:W3CDTF">2022-04-27T17:35:20Z</dcterms:created>
  <dcterms:modified xsi:type="dcterms:W3CDTF">2022-04-27T17:35:20Z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