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1.png" ContentType="image/png"/>
  <Override PartName="/word/media/rId152.png" ContentType="image/png"/>
  <Override PartName="/word/media/rId149.png" ContentType="image/png"/>
  <Override PartName="/word/media/rId138.png" ContentType="image/png"/>
  <Override PartName="/word/media/rId142.png" ContentType="image/png"/>
  <Override PartName="/word/media/rId248.png" ContentType="image/png"/>
  <Override PartName="/word/media/rId354.png" ContentType="image/png"/>
  <Override PartName="/word/media/rId382.png" ContentType="image/png"/>
  <Override PartName="/word/media/rId300.png" ContentType="image/png"/>
  <Override PartName="/word/media/rId316.png" ContentType="image/png"/>
  <Override PartName="/word/media/rId341.png" ContentType="image/png"/>
  <Override PartName="/word/media/rId331.png" ContentType="image/png"/>
  <Override PartName="/word/media/rId335.png" ContentType="image/png"/>
  <Override PartName="/word/media/rId417.png" ContentType="image/png"/>
  <Override PartName="/word/media/rId424.png" ContentType="image/png"/>
  <Override PartName="/word/media/rId408.png" ContentType="image/png"/>
  <Override PartName="/word/media/rId312.png" ContentType="image/png"/>
  <Override PartName="/word/media/rId445.png" ContentType="image/png"/>
  <Override PartName="/word/media/rId436.png" ContentType="image/png"/>
  <Override PartName="/word/media/rId442.png" ContentType="image/png"/>
  <Override PartName="/word/media/rId439.png" ContentType="image/png"/>
  <Override PartName="/word/media/rId319.png" ContentType="image/png"/>
  <Override PartName="/word/media/rId327.png" ContentType="image/png"/>
  <Override PartName="/word/media/rId308.png" ContentType="image/png"/>
  <Override PartName="/word/media/rId323.png" ContentType="image/png"/>
  <Override PartName="/word/media/rId379.png" ContentType="image/png"/>
  <Override PartName="/word/media/rId190.png" ContentType="image/png"/>
  <Override PartName="/word/media/rId39.jpg" ContentType="image/jpeg"/>
  <Override PartName="/word/media/rId20.png" ContentType="image/png"/>
  <Override PartName="/word/media/rId458.png" ContentType="image/png"/>
  <Override PartName="/word/media/rId461.png" ContentType="image/png"/>
  <Override PartName="/word/media/rId465.png" ContentType="image/png"/>
  <Override PartName="/word/media/rId469.png" ContentType="image/png"/>
  <Override PartName="/word/media/rId450.png" ContentType="image/png"/>
  <Override PartName="/word/media/rId473.png" ContentType="image/png"/>
  <Override PartName="/word/media/rId454.png" ContentType="image/png"/>
  <Override PartName="/word/media/rId495.png" ContentType="image/png"/>
  <Override PartName="/word/media/rId483.png" ContentType="image/png"/>
  <Override PartName="/word/media/rId480.png" ContentType="image/png"/>
  <Override PartName="/word/media/rId490.png" ContentType="image/png"/>
  <Override PartName="/word/media/rId486.png" ContentType="image/png"/>
  <Override PartName="/word/media/rId102.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miniCURE:</w:t>
      </w:r>
      <w:r>
        <w:t xml:space="preserve"> </w:t>
      </w:r>
      <w:r>
        <w:t xml:space="preserve">Human</w:t>
      </w:r>
      <w:r>
        <w:t xml:space="preserve"> </w:t>
      </w:r>
      <w:r>
        <w:t xml:space="preserve">Gut</w:t>
      </w:r>
      <w:r>
        <w:t xml:space="preserve"> </w:t>
      </w:r>
      <w:r>
        <w:t xml:space="preserve">16S</w:t>
      </w:r>
      <w:r>
        <w:t xml:space="preserve"> </w:t>
      </w:r>
      <w:r>
        <w:t xml:space="preserve">rRNA</w:t>
      </w:r>
    </w:p>
    <w:p>
      <w:pPr>
        <w:pStyle w:val="Date"/>
      </w:pPr>
      <w:r>
        <w:t xml:space="preserve">June</w:t>
      </w:r>
      <w:r>
        <w:t xml:space="preserve"> </w:t>
      </w:r>
      <w:r>
        <w:t xml:space="preserve">05,</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about-this-course"/>
    <w:p>
      <w:pPr>
        <w:pStyle w:val="Heading1"/>
      </w:pPr>
      <w:r>
        <w:t xml:space="preserve">About this Course</w:t>
      </w:r>
    </w:p>
    <w:p>
      <w:pPr>
        <w:pStyle w:val="FirstParagraph"/>
      </w:pPr>
      <w:r>
        <w:t xml:space="preserve">This miniCURE has students design an independent research project around a question relating to the human gut microbiome. As they build their project, students will describe microbes using different taxonomic ranks, find and read scientific literature, and think about how community composition, biodiversity, and specific microbes can differ between samples. Finally, students will practice the scientific process to test their own question about the gut microbiome from their chosen dataset.</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dEZtb0TgLbzhbr3HxQElwg8hENur2HMIzseg19OGd0g_g363ea5c3bfa_0_43.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Foundational understanding of</w:t>
      </w:r>
      <w:r>
        <w:t xml:space="preserve"> </w:t>
      </w:r>
      <w:hyperlink r:id="rId23">
        <w:r>
          <w:rPr>
            <w:rStyle w:val="Hyperlink"/>
          </w:rPr>
          <w:t xml:space="preserve">prokaryotes and their relationships with hosts</w:t>
        </w:r>
      </w:hyperlink>
    </w:p>
    <w:p>
      <w:pPr>
        <w:pStyle w:val="BodyText"/>
      </w:pPr>
      <w:r>
        <w:rPr>
          <w:iCs/>
          <w:i/>
        </w:rPr>
        <w:t xml:space="preserve">Programming skills</w:t>
      </w:r>
      <w:r>
        <w:br/>
      </w:r>
      <w:r>
        <w:rPr>
          <w:bCs/>
          <w:b/>
        </w:rPr>
        <w:t xml:space="preserve">Novice</w:t>
      </w:r>
      <w:r>
        <w:t xml:space="preserve">: No programming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Find and read scientific literature</w:t>
      </w:r>
      <w:r>
        <w:t xml:space="preserve"> </w:t>
      </w:r>
      <w:r>
        <w:t xml:space="preserve">to interact with the greater scientific community and build an epistemological identity</w:t>
      </w:r>
    </w:p>
    <w:p>
      <w:pPr>
        <w:numPr>
          <w:ilvl w:val="0"/>
          <w:numId w:val="1001"/>
        </w:numPr>
        <w:pStyle w:val="Compact"/>
      </w:pPr>
      <w:r>
        <w:rPr>
          <w:bCs/>
          <w:b/>
        </w:rPr>
        <w:t xml:space="preserve">Analyze data (i.e. create and interpret plots)</w:t>
      </w:r>
      <w:r>
        <w:t xml:space="preserve"> </w:t>
      </w:r>
      <w:r>
        <w:t xml:space="preserve">to generate novel conclusions and new lines of inquiry based on previous findings.</w:t>
      </w:r>
    </w:p>
    <w:p>
      <w:pPr>
        <w:numPr>
          <w:ilvl w:val="0"/>
          <w:numId w:val="1001"/>
        </w:numPr>
        <w:pStyle w:val="Compact"/>
      </w:pPr>
      <w:r>
        <w:rPr>
          <w:bCs/>
          <w:b/>
        </w:rPr>
        <w:t xml:space="preserve">Cultivate an</w:t>
      </w:r>
      <w:r>
        <w:rPr>
          <w:bCs/>
          <w:b/>
        </w:rPr>
        <w:t xml:space="preserve"> </w:t>
      </w:r>
      <w:r>
        <w:rPr>
          <w:bCs/>
          <w:b/>
        </w:rPr>
        <w:t xml:space="preserve">“</w:t>
      </w:r>
      <w:r>
        <w:rPr>
          <w:bCs/>
          <w:b/>
        </w:rPr>
        <w:t xml:space="preserve">-omics</w:t>
      </w:r>
      <w:r>
        <w:rPr>
          <w:bCs/>
          <w:b/>
        </w:rPr>
        <w:t xml:space="preserve">”</w:t>
      </w:r>
      <w:r>
        <w:rPr>
          <w:bCs/>
          <w:b/>
        </w:rPr>
        <w:t xml:space="preserve"> </w:t>
      </w:r>
      <w:r>
        <w:rPr>
          <w:bCs/>
          <w:b/>
        </w:rPr>
        <w:t xml:space="preserve">perspective</w:t>
      </w:r>
      <w:r>
        <w:t xml:space="preserve">, to identify the advantages of genomic science for large datasets and connect findings to biological insights</w:t>
      </w:r>
    </w:p>
    <w:p>
      <w:pPr>
        <w:numPr>
          <w:ilvl w:val="0"/>
          <w:numId w:val="1001"/>
        </w:numPr>
        <w:pStyle w:val="Compact"/>
      </w:pPr>
      <w:r>
        <w:rPr>
          <w:bCs/>
          <w:b/>
        </w:rPr>
        <w:t xml:space="preserve">Practice the scientific process</w:t>
      </w:r>
      <w:r>
        <w:t xml:space="preserve">, identifying avenues for research, designing experiments, analyzing data, and integrating results into the broader scientific discourse.</w:t>
      </w:r>
    </w:p>
    <w:bookmarkEnd w:id="25"/>
    <w:bookmarkStart w:id="31" w:name="core-competencies"/>
    <w:p>
      <w:pPr>
        <w:pStyle w:val="Heading3"/>
      </w:pPr>
      <w:r>
        <w:t xml:space="preserve">Core Competencies</w:t>
      </w:r>
    </w:p>
    <w:p>
      <w:pPr>
        <w:pStyle w:val="FirstParagraph"/>
      </w:pPr>
      <w:r>
        <w:t xml:space="preserve">This activity addresses several core concepts and competencies from the following sources:</w:t>
      </w:r>
    </w:p>
    <w:p>
      <w:pPr>
        <w:numPr>
          <w:ilvl w:val="0"/>
          <w:numId w:val="1002"/>
        </w:numPr>
        <w:pStyle w:val="Compact"/>
      </w:pPr>
      <w:hyperlink r:id="rId26">
        <w:r>
          <w:rPr>
            <w:rStyle w:val="Hyperlink"/>
          </w:rPr>
          <w:t xml:space="preserve">Vision and Change in Undergraduate Biology Education</w:t>
        </w:r>
      </w:hyperlink>
      <w:r>
        <w:t xml:space="preserve"> </w:t>
      </w:r>
      <w:r>
        <w:t xml:space="preserve">AAAS report</w:t>
      </w:r>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pStyle w:val="FirstParagraph"/>
      </w:pPr>
      <w:r>
        <w:t xml:space="preserve">See</w:t>
      </w:r>
      <w:r>
        <w:t xml:space="preserve"> </w:t>
      </w:r>
      <w:hyperlink w:anchor="competencies-table">
        <w:r>
          <w:rPr>
            <w:rStyle w:val="Hyperlink"/>
          </w:rPr>
          <w:t xml:space="preserve">Appendix</w:t>
        </w:r>
      </w:hyperlink>
      <w:r>
        <w:t xml:space="preserve"> </w:t>
      </w:r>
      <w:r>
        <w:t xml:space="preserve">for details.</w:t>
      </w:r>
    </w:p>
    <w:bookmarkEnd w:id="31"/>
    <w:bookmarkEnd w:id="32"/>
    <w:bookmarkStart w:id="101" w:name="introduction"/>
    <w:p>
      <w:pPr>
        <w:pStyle w:val="Heading1"/>
      </w:pPr>
      <w:r>
        <w:rPr>
          <w:rStyle w:val="SectionNumber"/>
        </w:rPr>
        <w:t xml:space="preserve">1</w:t>
      </w:r>
      <w:r>
        <w:tab/>
      </w:r>
      <w:r>
        <w:t xml:space="preserve">Introduction</w:t>
      </w:r>
    </w:p>
    <w:bookmarkStart w:id="38" w:name="c-moor-minicure-overview"/>
    <w:p>
      <w:pPr>
        <w:pStyle w:val="Heading2"/>
      </w:pPr>
      <w:r>
        <w:rPr>
          <w:rStyle w:val="SectionNumber"/>
        </w:rPr>
        <w:t xml:space="preserve">1.1</w:t>
      </w:r>
      <w:r>
        <w:tab/>
      </w:r>
      <w:r>
        <w:t xml:space="preserve">C-MOOR miniCURE Overview</w:t>
      </w:r>
    </w:p>
    <w:bookmarkStart w:id="34" w:name="what-is-c-moor"/>
    <w:p>
      <w:pPr>
        <w:pStyle w:val="Heading3"/>
      </w:pPr>
      <w:r>
        <w:rPr>
          <w:rStyle w:val="SectionNumber"/>
        </w:rPr>
        <w:t xml:space="preserve">1.1.1</w:t>
      </w:r>
      <w:r>
        <w:tab/>
      </w:r>
      <w:r>
        <w:t xml:space="preserve">What is C-MOOR?</w:t>
      </w:r>
    </w:p>
    <w:p>
      <w:pPr>
        <w:pStyle w:val="FirstParagraph"/>
      </w:pPr>
      <w:r>
        <w:t xml:space="preserve">C-MOOR is a project to invite students to join the data science revolution and be part of the next generation of data scientists. This project provides online materials to help students and instructors incorporate authentic research experiences in lower division courses.</w:t>
      </w:r>
    </w:p>
    <w:p>
      <w:pPr>
        <w:pStyle w:val="BodyText"/>
      </w:pPr>
      <w:r>
        <w:t xml:space="preserve">Over the years, C-MOOR has expanded its curricula to include RNA-seq, scRNA-seq, 16S amplicon sequencing, and WGS modules. Here’s some statistics about C-MOOR students:</w:t>
      </w:r>
    </w:p>
    <w:p>
      <w:pPr>
        <w:numPr>
          <w:ilvl w:val="0"/>
          <w:numId w:val="1003"/>
        </w:numPr>
        <w:pStyle w:val="Compact"/>
      </w:pPr>
      <w:r>
        <w:rPr>
          <w:bCs/>
          <w:b/>
        </w:rPr>
        <w:t xml:space="preserve">Students taught:</w:t>
      </w:r>
      <w:r>
        <w:t xml:space="preserve"> </w:t>
      </w:r>
      <w:r>
        <w:t xml:space="preserve">950+.</w:t>
      </w:r>
    </w:p>
    <w:p>
      <w:pPr>
        <w:numPr>
          <w:ilvl w:val="0"/>
          <w:numId w:val="1003"/>
        </w:numPr>
        <w:pStyle w:val="Compact"/>
      </w:pPr>
      <w:r>
        <w:rPr>
          <w:bCs/>
          <w:b/>
        </w:rPr>
        <w:t xml:space="preserve">90% of our students are first years:</w:t>
      </w:r>
      <w:r>
        <w:t xml:space="preserve"> </w:t>
      </w:r>
      <w:r>
        <w:t xml:space="preserve">We break the myth that only advanced-level students can perform and excel in real research.</w:t>
      </w:r>
    </w:p>
    <w:p>
      <w:pPr>
        <w:numPr>
          <w:ilvl w:val="0"/>
          <w:numId w:val="1003"/>
        </w:numPr>
        <w:pStyle w:val="Compact"/>
      </w:pPr>
      <w:r>
        <w:rPr>
          <w:bCs/>
          <w:b/>
        </w:rPr>
        <w:t xml:space="preserve">Student research posters:</w:t>
      </w:r>
      <w:r>
        <w:t xml:space="preserve"> </w:t>
      </w:r>
      <w:r>
        <w:t xml:space="preserve">100+. We choose a poster as our final deliverable to facilitate participation in research symposiums. Posters also allow us to evaluate the efficacy of our curricula over the years and make it easy for instructors to quickly and objectively grade student work. You can see a handful of posters</w:t>
      </w:r>
      <w:r>
        <w:t xml:space="preserve"> </w:t>
      </w:r>
      <w:hyperlink r:id="rId33">
        <w:r>
          <w:rPr>
            <w:rStyle w:val="Hyperlink"/>
          </w:rPr>
          <w:t xml:space="preserve">here</w:t>
        </w:r>
      </w:hyperlink>
      <w:r>
        <w:t xml:space="preserve">!</w:t>
      </w:r>
    </w:p>
    <w:p>
      <w:pPr>
        <w:numPr>
          <w:ilvl w:val="0"/>
          <w:numId w:val="1003"/>
        </w:numPr>
        <w:pStyle w:val="Compact"/>
      </w:pPr>
      <w:r>
        <w:rPr>
          <w:bCs/>
          <w:b/>
        </w:rPr>
        <w:t xml:space="preserve">50% + Students choose to present posters at optional symposiums:</w:t>
      </w:r>
      <w:r>
        <w:t xml:space="preserve"> </w:t>
      </w:r>
      <w:r>
        <w:t xml:space="preserve">C-MOOR posters have served as the impetus for establishing a new research symposium at Clovis Community College. Our students have attended and won awards at their institution’s research days and at conferences such as GRADS-4C and the ASM Maryland Branch Meeting.</w:t>
      </w:r>
    </w:p>
    <w:bookmarkEnd w:id="34"/>
    <w:bookmarkStart w:id="36" w:name="why-data-science"/>
    <w:p>
      <w:pPr>
        <w:pStyle w:val="Heading3"/>
      </w:pPr>
      <w:r>
        <w:rPr>
          <w:rStyle w:val="SectionNumber"/>
        </w:rPr>
        <w:t xml:space="preserve">1.1.2</w:t>
      </w:r>
      <w:r>
        <w:tab/>
      </w:r>
      <w:r>
        <w:t xml:space="preserve">Why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r>
        <w:t xml:space="preserve">“</w:t>
      </w:r>
      <w:hyperlink r:id="rId35">
        <w:r>
          <w:rPr>
            <w:rStyle w:val="Hyperlink"/>
          </w:rPr>
          <w:t xml:space="preserve">the sexiest job of the 21st century</w:t>
        </w:r>
      </w:hyperlink>
      <w:r>
        <w:t xml:space="preserve">”</w:t>
      </w:r>
      <w:r>
        <w:t xml:space="preserve"> </w:t>
      </w:r>
      <w:r>
        <w:t xml:space="preserve">Data Scientists are individuals with a curiosity to look through data, identify patterns and develop testable hypotheses. In the Biological Sciences, data scientists dig through data to answer questions about health, disease, evolution, ecology, drug development, and much more. A currently relevant example is compiling and looking at the similarities and differences between the different SARS-CoV-2 strains and identify differences between strains that may lead to differences in rates of infection.</w:t>
      </w:r>
    </w:p>
    <w:bookmarkEnd w:id="36"/>
    <w:bookmarkStart w:id="37" w:name="learning-goals-1"/>
    <w:p>
      <w:pPr>
        <w:pStyle w:val="Heading3"/>
      </w:pPr>
      <w:r>
        <w:rPr>
          <w:rStyle w:val="SectionNumber"/>
        </w:rPr>
        <w:t xml:space="preserve">1.1.3</w:t>
      </w:r>
      <w:r>
        <w:tab/>
      </w:r>
      <w:r>
        <w:t xml:space="preserve">Learning Goals</w:t>
      </w:r>
    </w:p>
    <w:p>
      <w:pPr>
        <w:numPr>
          <w:ilvl w:val="0"/>
          <w:numId w:val="1004"/>
        </w:numPr>
        <w:pStyle w:val="Compact"/>
      </w:pPr>
      <w:r>
        <w:t xml:space="preserve">Engage with real and current scientific data</w:t>
      </w:r>
    </w:p>
    <w:p>
      <w:pPr>
        <w:numPr>
          <w:ilvl w:val="0"/>
          <w:numId w:val="1004"/>
        </w:numPr>
        <w:pStyle w:val="Compact"/>
      </w:pPr>
      <w:r>
        <w:t xml:space="preserve">Explore available research resources online</w:t>
      </w:r>
    </w:p>
    <w:p>
      <w:pPr>
        <w:numPr>
          <w:ilvl w:val="0"/>
          <w:numId w:val="1004"/>
        </w:numPr>
        <w:pStyle w:val="Compact"/>
      </w:pPr>
      <w:r>
        <w:t xml:space="preserve">Recognize the interdisciplinary nature of biological sciences</w:t>
      </w:r>
    </w:p>
    <w:p>
      <w:pPr>
        <w:numPr>
          <w:ilvl w:val="0"/>
          <w:numId w:val="1004"/>
        </w:numPr>
        <w:pStyle w:val="Compact"/>
      </w:pPr>
      <w:r>
        <w:t xml:space="preserve">Synthesize findings from scientific literature</w:t>
      </w:r>
    </w:p>
    <w:p>
      <w:pPr>
        <w:numPr>
          <w:ilvl w:val="0"/>
          <w:numId w:val="1004"/>
        </w:numPr>
        <w:pStyle w:val="Compact"/>
      </w:pPr>
      <w:r>
        <w:t xml:space="preserve">Summarize findings and discuss results with your peers</w:t>
      </w:r>
    </w:p>
    <w:p>
      <w:pPr>
        <w:numPr>
          <w:ilvl w:val="0"/>
          <w:numId w:val="1004"/>
        </w:numPr>
        <w:pStyle w:val="Compact"/>
      </w:pPr>
      <w:r>
        <w:t xml:space="preserve">Collaborate with peers on a data exploration activity</w:t>
      </w:r>
    </w:p>
    <w:bookmarkEnd w:id="37"/>
    <w:bookmarkEnd w:id="38"/>
    <w:bookmarkStart w:id="45" w:name="the-scientific-process"/>
    <w:p>
      <w:pPr>
        <w:pStyle w:val="Heading2"/>
      </w:pPr>
      <w:r>
        <w:rPr>
          <w:rStyle w:val="SectionNumber"/>
        </w:rPr>
        <w:t xml:space="preserve">1.2</w:t>
      </w:r>
      <w:r>
        <w:tab/>
      </w:r>
      <w:r>
        <w:t xml:space="preserve">The Scientific Process</w:t>
      </w:r>
    </w:p>
    <w:p>
      <w:pPr>
        <w:pStyle w:val="FirstParagraph"/>
      </w:pPr>
      <w:r>
        <w:rPr>
          <w:iCs/>
          <w:i/>
        </w:rPr>
        <w:t xml:space="preserve">Estimated time: 30 min</w:t>
      </w:r>
    </w:p>
    <w:p>
      <w:pPr>
        <w:pStyle w:val="BodyText"/>
      </w:pPr>
      <w:r>
        <w:t xml:space="preserve">Watch this 10 min video and answer the questions below.</w:t>
      </w:r>
    </w:p>
    <w:p>
      <w:pPr>
        <w:pStyle w:val="BodyText"/>
      </w:pPr>
      <w:r>
        <w:drawing>
          <wp:inline>
            <wp:extent cx="5334000" cy="4000500"/>
            <wp:effectExtent b="0" l="0" r="0" t="0"/>
            <wp:docPr descr="" title="" id="40" name="Picture"/>
            <a:graphic>
              <a:graphicData uri="http://schemas.openxmlformats.org/drawingml/2006/picture">
                <pic:pic>
                  <pic:nvPicPr>
                    <pic:cNvPr descr="https://img.youtube.com/vi/5kcAc20Bus8/0.jpg" id="41"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w:t>
      </w:r>
      <w:hyperlink r:id="rId42">
        <w:r>
          <w:rPr>
            <w:rStyle w:val="Hyperlink"/>
          </w:rPr>
          <w:t xml:space="preserve">video</w:t>
        </w:r>
      </w:hyperlink>
      <w:r>
        <w:t xml:space="preserve">][</w:t>
      </w:r>
      <w:hyperlink r:id="rId43">
        <w:r>
          <w:rPr>
            <w:rStyle w:val="Hyperlink"/>
          </w:rPr>
          <w:t xml:space="preserve">slides</w:t>
        </w:r>
      </w:hyperlink>
      <w:r>
        <w:t xml:space="preserve">]</w:t>
      </w:r>
    </w:p>
    <w:p>
      <w:pPr>
        <w:pStyle w:val="BodyText"/>
      </w:pPr>
      <w:r>
        <w:t xml:space="preserve">Describe the key aspects of each of the following elements of the scientific process:</w:t>
      </w:r>
    </w:p>
    <w:p>
      <w:pPr>
        <w:numPr>
          <w:ilvl w:val="0"/>
          <w:numId w:val="1005"/>
        </w:numPr>
        <w:pStyle w:val="Compact"/>
      </w:pPr>
      <w:r>
        <w:t xml:space="preserve">Exploration and Discovery</w:t>
      </w:r>
    </w:p>
    <w:p>
      <w:pPr>
        <w:numPr>
          <w:ilvl w:val="0"/>
          <w:numId w:val="1005"/>
        </w:numPr>
        <w:pStyle w:val="Compact"/>
      </w:pPr>
      <w:r>
        <w:t xml:space="preserve">Testing Ideas</w:t>
      </w:r>
    </w:p>
    <w:p>
      <w:pPr>
        <w:numPr>
          <w:ilvl w:val="0"/>
          <w:numId w:val="1005"/>
        </w:numPr>
        <w:pStyle w:val="Compact"/>
      </w:pPr>
      <w:r>
        <w:t xml:space="preserve">Community Analysis and Feedback</w:t>
      </w:r>
    </w:p>
    <w:p>
      <w:pPr>
        <w:numPr>
          <w:ilvl w:val="0"/>
          <w:numId w:val="1005"/>
        </w:numPr>
        <w:pStyle w:val="Compact"/>
      </w:pPr>
      <w:r>
        <w:t xml:space="preserve">Benefits and Outcomes</w:t>
      </w:r>
    </w:p>
    <w:p>
      <w:pPr>
        <w:pStyle w:val="FirstParagraph"/>
      </w:pPr>
      <w:r>
        <w:t xml:space="preserve">Learn more at</w:t>
      </w:r>
      <w:r>
        <w:t xml:space="preserve"> </w:t>
      </w:r>
      <w:hyperlink r:id="rId44">
        <w:r>
          <w:rPr>
            <w:rStyle w:val="Hyperlink"/>
          </w:rPr>
          <w:t xml:space="preserve">Understanding Science 101</w:t>
        </w:r>
      </w:hyperlink>
    </w:p>
    <w:bookmarkEnd w:id="45"/>
    <w:bookmarkStart w:id="77" w:name="sciserver-onboarding"/>
    <w:p>
      <w:pPr>
        <w:pStyle w:val="Heading2"/>
      </w:pPr>
      <w:r>
        <w:rPr>
          <w:rStyle w:val="SectionNumber"/>
        </w:rPr>
        <w:t xml:space="preserve">1.3</w:t>
      </w:r>
      <w:r>
        <w:tab/>
      </w:r>
      <w:r>
        <w:t xml:space="preserve">SciServer Onboarding</w:t>
      </w:r>
    </w:p>
    <w:bookmarkStart w:id="61" w:name="join-sciserver"/>
    <w:p>
      <w:pPr>
        <w:pStyle w:val="Heading3"/>
      </w:pPr>
      <w:r>
        <w:rPr>
          <w:rStyle w:val="SectionNumber"/>
        </w:rPr>
        <w:t xml:space="preserve">1.3.1</w:t>
      </w:r>
      <w:r>
        <w:tab/>
      </w:r>
      <w:r>
        <w:t xml:space="preserve">Join SciServer</w:t>
      </w:r>
    </w:p>
    <w:bookmarkStart w:id="46" w:name="purpose"/>
    <w:p>
      <w:pPr>
        <w:pStyle w:val="Heading4"/>
      </w:pPr>
      <w:r>
        <w:rPr>
          <w:rStyle w:val="SectionNumber"/>
        </w:rPr>
        <w:t xml:space="preserve">1.3.1.1</w:t>
      </w:r>
      <w:r>
        <w:tab/>
      </w:r>
      <w:r>
        <w:t xml:space="preserve">Purpose</w:t>
      </w:r>
    </w:p>
    <w:p>
      <w:pPr>
        <w:pStyle w:val="FirstParagraph"/>
      </w:pPr>
      <w:r>
        <w:t xml:space="preserve">Students will create a SciServer account and be added to a SciServer by their instructor, which gives them access to the images and data needed to access learning modules and complete their research project.</w:t>
      </w:r>
      <w:r>
        <w:t xml:space="preserve"> </w:t>
      </w:r>
      <w:r>
        <w:rPr>
          <w:bCs/>
          <w:b/>
        </w:rPr>
        <w:t xml:space="preserve">The steps in this section only need to be completed once.</w:t>
      </w:r>
    </w:p>
    <w:bookmarkEnd w:id="46"/>
    <w:bookmarkStart w:id="49" w:name="learning-objectives"/>
    <w:p>
      <w:pPr>
        <w:pStyle w:val="Heading4"/>
      </w:pPr>
      <w:r>
        <w:rPr>
          <w:rStyle w:val="SectionNumber"/>
        </w:rPr>
        <w:t xml:space="preserve">1.3.1.2</w:t>
      </w:r>
      <w:r>
        <w:tab/>
      </w:r>
      <w:r>
        <w:t xml:space="preserve">Learning Objectives</w:t>
      </w:r>
    </w:p>
    <w:p>
      <w:pPr>
        <w:numPr>
          <w:ilvl w:val="0"/>
          <w:numId w:val="1006"/>
        </w:numPr>
        <w:pStyle w:val="Compact"/>
      </w:pPr>
      <w:r>
        <w:t xml:space="preserve">Create an account on SciServer</w:t>
      </w:r>
    </w:p>
    <w:p>
      <w:pPr>
        <w:numPr>
          <w:ilvl w:val="0"/>
          <w:numId w:val="1006"/>
        </w:numPr>
        <w:pStyle w:val="Compact"/>
      </w:pPr>
      <w:r>
        <w:t xml:space="preserve">Confirm your email address</w:t>
      </w:r>
    </w:p>
    <w:p>
      <w:pPr>
        <w:numPr>
          <w:ilvl w:val="0"/>
          <w:numId w:val="1006"/>
        </w:numPr>
        <w:pStyle w:val="Compact"/>
      </w:pPr>
      <w:r>
        <w:t xml:space="preserve">Share your username with your instructor</w:t>
      </w:r>
    </w:p>
    <w:p>
      <w:pPr>
        <w:numPr>
          <w:ilvl w:val="0"/>
          <w:numId w:val="1006"/>
        </w:numPr>
        <w:pStyle w:val="Compact"/>
      </w:pPr>
      <w:r>
        <w:t xml:space="preserve">Confirm your access to class materials on SciServer</w:t>
      </w:r>
    </w:p>
    <w:p>
      <w:pPr>
        <w:pStyle w:val="FirstParagraph"/>
      </w:pPr>
      <w:r>
        <w:t xml:space="preserve">This video (</w:t>
      </w:r>
      <w:hyperlink r:id="rId47">
        <w:r>
          <w:rPr>
            <w:rStyle w:val="Hyperlink"/>
          </w:rPr>
          <w:t xml:space="preserve">video</w:t>
        </w:r>
      </w:hyperlink>
      <w:r>
        <w:t xml:space="preserve">)(</w:t>
      </w:r>
      <w:hyperlink r:id="rId48">
        <w:r>
          <w:rPr>
            <w:rStyle w:val="Hyperlink"/>
          </w:rPr>
          <w:t xml:space="preserve">slides</w:t>
        </w:r>
      </w:hyperlink>
      <w:r>
        <w:t xml:space="preserve">) shows you how to create a SciServer account. You can follow along with the video, or follow the steps below.</w:t>
      </w:r>
    </w:p>
    <w:bookmarkEnd w:id="49"/>
    <w:bookmarkStart w:id="50" w:name="introduction-1"/>
    <w:p>
      <w:pPr>
        <w:pStyle w:val="Heading4"/>
      </w:pPr>
      <w:r>
        <w:rPr>
          <w:rStyle w:val="SectionNumber"/>
        </w:rPr>
        <w:t xml:space="preserve">1.3.1.3</w:t>
      </w:r>
      <w:r>
        <w:tab/>
      </w:r>
      <w:r>
        <w:t xml:space="preserve">Introduction</w:t>
      </w:r>
    </w:p>
    <w:p>
      <w:pPr>
        <w:pStyle w:val="FirstParagraph"/>
      </w:pPr>
      <w:r>
        <w:t xml:space="preserve">SciServer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for RNA-seq analysis, as well as the data that we’ll be analyzing. Once you sign up for SciServer and are added to the group for this course, you will be able to access these tools and begin your data analysis journey!</w:t>
      </w:r>
    </w:p>
    <w:p>
      <w:pPr>
        <w:pStyle w:val="BodyText"/>
      </w:pPr>
    </w:p>
    <w:bookmarkEnd w:id="50"/>
    <w:bookmarkStart w:id="52" w:name="part-1-create-an-account-on-sciserver"/>
    <w:p>
      <w:pPr>
        <w:pStyle w:val="Heading4"/>
      </w:pPr>
      <w:r>
        <w:rPr>
          <w:rStyle w:val="SectionNumber"/>
        </w:rPr>
        <w:t xml:space="preserve">1.3.1.4</w:t>
      </w:r>
      <w:r>
        <w:tab/>
      </w:r>
      <w:r>
        <w:t xml:space="preserve">Part 1 – Create an account on SciServer</w:t>
      </w:r>
    </w:p>
    <w:p>
      <w:pPr>
        <w:numPr>
          <w:ilvl w:val="0"/>
          <w:numId w:val="1007"/>
        </w:numPr>
        <w:pStyle w:val="Compact"/>
      </w:pPr>
      <w:r>
        <w:t xml:space="preserve">Open</w:t>
      </w:r>
      <w:r>
        <w:t xml:space="preserve"> </w:t>
      </w:r>
      <w:hyperlink r:id="rId51">
        <w:r>
          <w:rPr>
            <w:rStyle w:val="Hyperlink"/>
          </w:rPr>
          <w:t xml:space="preserve">sciserver.org</w:t>
        </w:r>
      </w:hyperlink>
      <w:r>
        <w:t xml:space="preserve"> </w:t>
      </w:r>
      <w:r>
        <w:t xml:space="preserve">in a web browser</w:t>
      </w:r>
    </w:p>
    <w:p>
      <w:pPr>
        <w:numPr>
          <w:ilvl w:val="1"/>
          <w:numId w:val="1008"/>
        </w:numPr>
        <w:pStyle w:val="Compact"/>
      </w:pPr>
      <w:r>
        <w:t xml:space="preserve">It is a good idea to bookmark this page so that you can easily access it throughout the course.</w:t>
      </w:r>
    </w:p>
    <w:p>
      <w:pPr>
        <w:numPr>
          <w:ilvl w:val="0"/>
          <w:numId w:val="1007"/>
        </w:numPr>
        <w:pStyle w:val="Compact"/>
      </w:pPr>
      <w:r>
        <w:t xml:space="preserve">Click</w:t>
      </w:r>
      <w:r>
        <w:t xml:space="preserve"> </w:t>
      </w:r>
      <w:r>
        <w:t xml:space="preserve">“</w:t>
      </w:r>
      <w:r>
        <w:t xml:space="preserve">Login to SciServer</w:t>
      </w:r>
      <w:r>
        <w:t xml:space="preserve">”</w:t>
      </w:r>
    </w:p>
    <w:p>
      <w:pPr>
        <w:numPr>
          <w:ilvl w:val="0"/>
          <w:numId w:val="1007"/>
        </w:numPr>
        <w:pStyle w:val="Compact"/>
      </w:pPr>
      <w:r>
        <w:t xml:space="preserve">Click</w:t>
      </w:r>
      <w:r>
        <w:t xml:space="preserve"> </w:t>
      </w:r>
      <w:r>
        <w:t xml:space="preserve">“</w:t>
      </w:r>
      <w:r>
        <w:t xml:space="preserve">Create a new account</w:t>
      </w:r>
      <w:r>
        <w:t xml:space="preserve">”</w:t>
      </w:r>
    </w:p>
    <w:p>
      <w:pPr>
        <w:numPr>
          <w:ilvl w:val="0"/>
          <w:numId w:val="1007"/>
        </w:numPr>
        <w:pStyle w:val="Compact"/>
      </w:pPr>
      <w:r>
        <w:t xml:space="preserve">Enter a User name, Email, etc. and click</w:t>
      </w:r>
      <w:r>
        <w:t xml:space="preserve"> </w:t>
      </w:r>
      <w:r>
        <w:t xml:space="preserve">“</w:t>
      </w:r>
      <w:r>
        <w:t xml:space="preserve">Create account</w:t>
      </w:r>
      <w:r>
        <w:t xml:space="preserve">”</w:t>
      </w:r>
    </w:p>
    <w:p>
      <w:pPr>
        <w:numPr>
          <w:ilvl w:val="1"/>
          <w:numId w:val="1009"/>
        </w:numPr>
        <w:pStyle w:val="Compact"/>
      </w:pPr>
      <w:r>
        <w:t xml:space="preserve">Note that you cannot change your username once you have made your account</w:t>
      </w:r>
    </w:p>
    <w:bookmarkEnd w:id="52"/>
    <w:bookmarkStart w:id="53" w:name="part-2-confirm-your-email-address"/>
    <w:p>
      <w:pPr>
        <w:pStyle w:val="Heading4"/>
      </w:pPr>
      <w:r>
        <w:rPr>
          <w:rStyle w:val="SectionNumber"/>
        </w:rPr>
        <w:t xml:space="preserve">1.3.1.5</w:t>
      </w:r>
      <w:r>
        <w:tab/>
      </w:r>
      <w:r>
        <w:t xml:space="preserve">Part 2 – Confirm your email address</w:t>
      </w:r>
    </w:p>
    <w:p>
      <w:pPr>
        <w:numPr>
          <w:ilvl w:val="0"/>
          <w:numId w:val="1010"/>
        </w:numPr>
        <w:pStyle w:val="Compact"/>
      </w:pPr>
      <w:r>
        <w:rPr>
          <w:bCs/>
          <w:b/>
        </w:rPr>
        <w:t xml:space="preserve">Important!</w:t>
      </w:r>
      <w:r>
        <w:t xml:space="preserve">: Click the verification link in your email inbox.</w:t>
      </w:r>
    </w:p>
    <w:p>
      <w:pPr>
        <w:numPr>
          <w:ilvl w:val="1"/>
          <w:numId w:val="1011"/>
        </w:numPr>
        <w:pStyle w:val="Compact"/>
      </w:pPr>
      <w:r>
        <w:t xml:space="preserve">If you do not verify your account you will get locked out and will need to contact your instructor to unlock your account.</w:t>
      </w:r>
    </w:p>
    <w:p>
      <w:pPr>
        <w:numPr>
          <w:ilvl w:val="1"/>
          <w:numId w:val="1011"/>
        </w:numPr>
        <w:pStyle w:val="Compact"/>
      </w:pPr>
      <w:r>
        <w:t xml:space="preserve">If you do not see an email, try checking your spam folder.</w:t>
      </w:r>
    </w:p>
    <w:p>
      <w:pPr>
        <w:numPr>
          <w:ilvl w:val="0"/>
          <w:numId w:val="1010"/>
        </w:numPr>
        <w:pStyle w:val="Compact"/>
      </w:pPr>
      <w:r>
        <w:t xml:space="preserve">After clicking the verification link, confirm that your username appears in the upper right hand corner.</w:t>
      </w:r>
    </w:p>
    <w:bookmarkEnd w:id="53"/>
    <w:bookmarkStart w:id="54" w:name="X82523b5844014ad1632b826f46c76ed45d12fd3"/>
    <w:p>
      <w:pPr>
        <w:pStyle w:val="Heading4"/>
      </w:pPr>
      <w:r>
        <w:rPr>
          <w:rStyle w:val="SectionNumber"/>
        </w:rPr>
        <w:t xml:space="preserve">1.3.1.6</w:t>
      </w:r>
      <w:r>
        <w:tab/>
      </w:r>
      <w:r>
        <w:t xml:space="preserve">Part 3 – Share your username with your instructor</w:t>
      </w:r>
    </w:p>
    <w:p>
      <w:pPr>
        <w:pStyle w:val="FirstParagraph"/>
      </w:pPr>
      <w:r>
        <w:t xml:space="preserve">Refer to your instructor on how to share your username with them. Your instructor will add you to a group that will give you access to all the necessary resources.</w:t>
      </w:r>
    </w:p>
    <w:p>
      <w:pPr>
        <w:numPr>
          <w:ilvl w:val="0"/>
          <w:numId w:val="1012"/>
        </w:numPr>
        <w:pStyle w:val="Compact"/>
      </w:pPr>
      <w:r>
        <w:t xml:space="preserve">Share your username with you instructor and await invitation to the SciServer group</w:t>
      </w:r>
    </w:p>
    <w:bookmarkEnd w:id="54"/>
    <w:bookmarkStart w:id="57" w:name="X7c6ee95bc1a39054b9caf62ecd5f695dabe5e87"/>
    <w:p>
      <w:pPr>
        <w:pStyle w:val="Heading4"/>
      </w:pPr>
      <w:r>
        <w:rPr>
          <w:rStyle w:val="SectionNumber"/>
        </w:rPr>
        <w:t xml:space="preserve">1.3.1.7</w:t>
      </w:r>
      <w:r>
        <w:tab/>
      </w:r>
      <w:r>
        <w:t xml:space="preserve">Part 4 – Accept the invitation to join a SciServer group</w:t>
      </w:r>
    </w:p>
    <w:p>
      <w:pPr>
        <w:pStyle w:val="FirstParagraph"/>
      </w:pPr>
      <w:r>
        <w:t xml:space="preserve">This video (</w:t>
      </w:r>
      <w:hyperlink r:id="rId55">
        <w:r>
          <w:rPr>
            <w:rStyle w:val="Hyperlink"/>
          </w:rPr>
          <w:t xml:space="preserve">video</w:t>
        </w:r>
      </w:hyperlink>
      <w:r>
        <w:t xml:space="preserve">)(</w:t>
      </w:r>
      <w:hyperlink r:id="rId56">
        <w:r>
          <w:rPr>
            <w:rStyle w:val="Hyperlink"/>
          </w:rPr>
          <w:t xml:space="preserve">slides</w:t>
        </w:r>
      </w:hyperlink>
      <w:r>
        <w:t xml:space="preserve">) shows you how to join a SciServer group. You can follow along with the video, or follow the steps below.</w:t>
      </w:r>
    </w:p>
    <w:p>
      <w:pPr>
        <w:numPr>
          <w:ilvl w:val="0"/>
          <w:numId w:val="1013"/>
        </w:numPr>
        <w:pStyle w:val="Compact"/>
      </w:pPr>
      <w:r>
        <w:t xml:space="preserve">Open</w:t>
      </w:r>
      <w:r>
        <w:t xml:space="preserve"> </w:t>
      </w:r>
      <w:hyperlink r:id="rId51">
        <w:r>
          <w:rPr>
            <w:rStyle w:val="Hyperlink"/>
          </w:rPr>
          <w:t xml:space="preserve">sciserver.org</w:t>
        </w:r>
      </w:hyperlink>
      <w:r>
        <w:t xml:space="preserve"> </w:t>
      </w:r>
      <w:r>
        <w:t xml:space="preserve">in a web browser and log in to your account.</w:t>
      </w:r>
    </w:p>
    <w:p>
      <w:pPr>
        <w:numPr>
          <w:ilvl w:val="0"/>
          <w:numId w:val="1013"/>
        </w:numPr>
        <w:pStyle w:val="Compact"/>
      </w:pPr>
      <w:r>
        <w:t xml:space="preserve">Click</w:t>
      </w:r>
      <w:r>
        <w:t xml:space="preserve"> </w:t>
      </w:r>
      <w:r>
        <w:t xml:space="preserve">“</w:t>
      </w:r>
      <w:r>
        <w:t xml:space="preserve">Groups</w:t>
      </w:r>
      <w:r>
        <w:t xml:space="preserve">”</w:t>
      </w:r>
    </w:p>
    <w:p>
      <w:pPr>
        <w:numPr>
          <w:ilvl w:val="0"/>
          <w:numId w:val="1013"/>
        </w:numPr>
        <w:pStyle w:val="Compact"/>
      </w:pPr>
      <w:r>
        <w:t xml:space="preserve">On the left, you should see a list of all the groups you have joined or been invited to. Click on the name of the group for this course, then click</w:t>
      </w:r>
      <w:r>
        <w:t xml:space="preserve"> </w:t>
      </w:r>
      <w:r>
        <w:t xml:space="preserve">“</w:t>
      </w:r>
      <w:r>
        <w:t xml:space="preserve">Accept invitation</w:t>
      </w:r>
      <w:r>
        <w:t xml:space="preserve">”</w:t>
      </w:r>
      <w:r>
        <w:t xml:space="preserve">.</w:t>
      </w:r>
    </w:p>
    <w:p>
      <w:pPr>
        <w:numPr>
          <w:ilvl w:val="1"/>
          <w:numId w:val="1014"/>
        </w:numPr>
        <w:pStyle w:val="Compact"/>
      </w:pPr>
      <w:r>
        <w:t xml:space="preserve">Your instructor must have your username to invite you to the group. If you do not see an invitation, contact your instructor with your SciServer username.</w:t>
      </w:r>
    </w:p>
    <w:p>
      <w:pPr>
        <w:numPr>
          <w:ilvl w:val="0"/>
          <w:numId w:val="1013"/>
        </w:numPr>
        <w:pStyle w:val="Compact"/>
      </w:pPr>
      <w:r>
        <w:t xml:space="preserve">Confirm that you can access course data</w:t>
      </w:r>
    </w:p>
    <w:p>
      <w:pPr>
        <w:numPr>
          <w:ilvl w:val="1"/>
          <w:numId w:val="1015"/>
        </w:numPr>
        <w:pStyle w:val="Compact"/>
      </w:pPr>
      <w:r>
        <w:t xml:space="preserve">On the top menu bar, click</w:t>
      </w:r>
      <w:r>
        <w:t xml:space="preserve"> </w:t>
      </w:r>
      <w:r>
        <w:t xml:space="preserve">“</w:t>
      </w:r>
      <w:r>
        <w:t xml:space="preserve">Files</w:t>
      </w:r>
      <w:r>
        <w:t xml:space="preserve">”</w:t>
      </w:r>
    </w:p>
    <w:p>
      <w:pPr>
        <w:numPr>
          <w:ilvl w:val="1"/>
          <w:numId w:val="1015"/>
        </w:numPr>
        <w:pStyle w:val="Compact"/>
      </w:pPr>
      <w:r>
        <w:t xml:space="preserve">On the left-hand menu, click</w:t>
      </w:r>
      <w:r>
        <w:t xml:space="preserve"> </w:t>
      </w:r>
      <w:r>
        <w:t xml:space="preserve">“</w:t>
      </w:r>
      <w:r>
        <w:t xml:space="preserve">Data Volumes</w:t>
      </w:r>
      <w:r>
        <w:t xml:space="preserve">”</w:t>
      </w:r>
    </w:p>
    <w:p>
      <w:pPr>
        <w:numPr>
          <w:ilvl w:val="1"/>
          <w:numId w:val="1015"/>
        </w:numPr>
        <w:pStyle w:val="Compact"/>
      </w:pPr>
      <w:r>
        <w:t xml:space="preserve">Confirm that you see</w:t>
      </w:r>
      <w:r>
        <w:t xml:space="preserve"> </w:t>
      </w:r>
      <w:r>
        <w:t xml:space="preserve">“</w:t>
      </w:r>
      <w:r>
        <w:t xml:space="preserve">C-MOOR-Data</w:t>
      </w:r>
      <w:r>
        <w:t xml:space="preserve">”</w:t>
      </w:r>
    </w:p>
    <w:p>
      <w:pPr>
        <w:numPr>
          <w:ilvl w:val="0"/>
          <w:numId w:val="1013"/>
        </w:numPr>
        <w:pStyle w:val="Compact"/>
      </w:pPr>
      <w:r>
        <w:t xml:space="preserve">Confirm that you can access course computing resources</w:t>
      </w:r>
    </w:p>
    <w:p>
      <w:pPr>
        <w:numPr>
          <w:ilvl w:val="1"/>
          <w:numId w:val="1016"/>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016"/>
        </w:numPr>
        <w:pStyle w:val="Compact"/>
      </w:pPr>
      <w:r>
        <w:t xml:space="preserve">Scroll down to the second set of boxes and click</w:t>
      </w:r>
      <w:r>
        <w:t xml:space="preserve"> </w:t>
      </w:r>
      <w:r>
        <w:t xml:space="preserve">“</w:t>
      </w:r>
      <w:r>
        <w:t xml:space="preserve">Compute</w:t>
      </w:r>
      <w:r>
        <w:t xml:space="preserve">”</w:t>
      </w:r>
    </w:p>
    <w:p>
      <w:pPr>
        <w:numPr>
          <w:ilvl w:val="1"/>
          <w:numId w:val="1016"/>
        </w:numPr>
        <w:pStyle w:val="Compact"/>
      </w:pPr>
      <w:r>
        <w:t xml:space="preserve">Click</w:t>
      </w:r>
      <w:r>
        <w:t xml:space="preserve"> </w:t>
      </w:r>
      <w:r>
        <w:t xml:space="preserve">“</w:t>
      </w:r>
      <w:r>
        <w:t xml:space="preserve">Create container</w:t>
      </w:r>
      <w:r>
        <w:t xml:space="preserve">”</w:t>
      </w:r>
    </w:p>
    <w:p>
      <w:pPr>
        <w:numPr>
          <w:ilvl w:val="1"/>
          <w:numId w:val="1016"/>
        </w:numPr>
        <w:pStyle w:val="Compact"/>
      </w:pPr>
      <w:r>
        <w:t xml:space="preserve">In the</w:t>
      </w:r>
      <w:r>
        <w:t xml:space="preserve"> </w:t>
      </w:r>
      <w:r>
        <w:t xml:space="preserve">“</w:t>
      </w:r>
      <w:r>
        <w:t xml:space="preserve">Compute Image</w:t>
      </w:r>
      <w:r>
        <w:t xml:space="preserve">”</w:t>
      </w:r>
      <w:r>
        <w:t xml:space="preserve"> </w:t>
      </w:r>
      <w:r>
        <w:t xml:space="preserve">drop-down menu, confirm that you can see</w:t>
      </w:r>
      <w:r>
        <w:t xml:space="preserve"> </w:t>
      </w:r>
      <w:r>
        <w:t xml:space="preserve">“</w:t>
      </w:r>
      <w:r>
        <w:t xml:space="preserve">C-MOOR LearnR</w:t>
      </w:r>
      <w:r>
        <w:t xml:space="preserve">”</w:t>
      </w:r>
      <w:r>
        <w:t xml:space="preserve"> </w:t>
      </w:r>
      <w:r>
        <w:t xml:space="preserve">and</w:t>
      </w:r>
      <w:r>
        <w:t xml:space="preserve"> </w:t>
      </w:r>
      <w:r>
        <w:t xml:space="preserve">“</w:t>
      </w:r>
      <w:r>
        <w:t xml:space="preserve">C-MOOR R-Studio</w:t>
      </w:r>
      <w:r>
        <w:t xml:space="preserve">”</w:t>
      </w:r>
    </w:p>
    <w:p>
      <w:pPr>
        <w:numPr>
          <w:ilvl w:val="1"/>
          <w:numId w:val="1016"/>
        </w:numPr>
        <w:pStyle w:val="Compact"/>
      </w:pPr>
      <w:r>
        <w:t xml:space="preserve">Under</w:t>
      </w:r>
      <w:r>
        <w:t xml:space="preserve"> </w:t>
      </w:r>
      <w:r>
        <w:t xml:space="preserve">“</w:t>
      </w:r>
      <w:r>
        <w:t xml:space="preserve">Data Volumes</w:t>
      </w:r>
      <w:r>
        <w:t xml:space="preserve">”</w:t>
      </w:r>
      <w:r>
        <w:t xml:space="preserve">, confirm that you can see</w:t>
      </w:r>
      <w:r>
        <w:t xml:space="preserve"> </w:t>
      </w:r>
      <w:r>
        <w:t xml:space="preserve">“</w:t>
      </w:r>
      <w:r>
        <w:t xml:space="preserve">C-MOOR Data</w:t>
      </w:r>
      <w:r>
        <w:t xml:space="preserve">”</w:t>
      </w:r>
    </w:p>
    <w:p>
      <w:pPr>
        <w:numPr>
          <w:ilvl w:val="1"/>
          <w:numId w:val="1016"/>
        </w:numPr>
        <w:pStyle w:val="Compact"/>
      </w:pPr>
      <w:r>
        <w:t xml:space="preserve">You can close the Create Container dialog box (by clicking the</w:t>
      </w:r>
      <w:r>
        <w:t xml:space="preserve"> </w:t>
      </w:r>
      <w:r>
        <w:t xml:space="preserve">“</w:t>
      </w:r>
      <w:r>
        <w:t xml:space="preserve">X</w:t>
      </w:r>
      <w:r>
        <w:t xml:space="preserve">”</w:t>
      </w:r>
      <w:r>
        <w:t xml:space="preserve"> </w:t>
      </w:r>
      <w:r>
        <w:t xml:space="preserve">in the top right) once you’ve confirmed that you can see the C-MOOR content</w:t>
      </w:r>
    </w:p>
    <w:bookmarkEnd w:id="57"/>
    <w:bookmarkStart w:id="58" w:name="troubleshooting"/>
    <w:p>
      <w:pPr>
        <w:pStyle w:val="Heading4"/>
      </w:pPr>
      <w:r>
        <w:rPr>
          <w:rStyle w:val="SectionNumber"/>
        </w:rPr>
        <w:t xml:space="preserve">1.3.1.8</w:t>
      </w:r>
      <w:r>
        <w:tab/>
      </w:r>
      <w:r>
        <w:t xml:space="preserve">Troubleshooting</w:t>
      </w:r>
    </w:p>
    <w:p>
      <w:pPr>
        <w:numPr>
          <w:ilvl w:val="0"/>
          <w:numId w:val="1017"/>
        </w:numPr>
        <w:pStyle w:val="Compact"/>
      </w:pPr>
      <w:r>
        <w:t xml:space="preserve">Some students have had issues signing up or logging into SciServer but were successful at a later date/time. We suggest giving students time to sign up well in advance of their first module on SciServer in case of technical difficulties.</w:t>
      </w:r>
    </w:p>
    <w:bookmarkEnd w:id="58"/>
    <w:bookmarkStart w:id="60" w:name="footnotes"/>
    <w:p>
      <w:pPr>
        <w:pStyle w:val="Heading4"/>
      </w:pPr>
      <w:r>
        <w:rPr>
          <w:rStyle w:val="SectionNumber"/>
        </w:rPr>
        <w:t xml:space="preserve">1.3.1.9</w:t>
      </w:r>
      <w:r>
        <w:tab/>
      </w:r>
      <w:r>
        <w:t xml:space="preserve">Footnotes</w:t>
      </w:r>
    </w:p>
    <w:bookmarkStart w:id="59" w:name="contributions-and-affiliations"/>
    <w:p>
      <w:pPr>
        <w:pStyle w:val="Heading5"/>
      </w:pPr>
      <w:r>
        <w:rPr>
          <w:rStyle w:val="SectionNumber"/>
        </w:rPr>
        <w:t xml:space="preserve">1.3.1.9.1</w:t>
      </w:r>
      <w:r>
        <w:tab/>
      </w:r>
      <w:r>
        <w:t xml:space="preserve">Contributions and Affiliations</w:t>
      </w:r>
    </w:p>
    <w:p>
      <w:pPr>
        <w:numPr>
          <w:ilvl w:val="0"/>
          <w:numId w:val="1018"/>
        </w:numPr>
        <w:pStyle w:val="Compact"/>
      </w:pPr>
      <w:r>
        <w:t xml:space="preserve">Katherine Cox, Johns Hopkins University</w:t>
      </w:r>
    </w:p>
    <w:p>
      <w:pPr>
        <w:numPr>
          <w:ilvl w:val="0"/>
          <w:numId w:val="1018"/>
        </w:numPr>
        <w:pStyle w:val="Compact"/>
      </w:pPr>
      <w:r>
        <w:t xml:space="preserve">Frederick Tan, Carnegie Institution</w:t>
      </w:r>
    </w:p>
    <w:p>
      <w:pPr>
        <w:numPr>
          <w:ilvl w:val="0"/>
          <w:numId w:val="1018"/>
        </w:numPr>
        <w:pStyle w:val="Compact"/>
      </w:pPr>
      <w:r>
        <w:t xml:space="preserve">Sayumi York, Notre Dame of Maryland University</w:t>
      </w:r>
    </w:p>
    <w:p>
      <w:pPr>
        <w:pStyle w:val="FirstParagraph"/>
      </w:pPr>
      <w:r>
        <w:t xml:space="preserve">Last Revised: June 5, 2026</w:t>
      </w:r>
    </w:p>
    <w:bookmarkEnd w:id="59"/>
    <w:bookmarkEnd w:id="60"/>
    <w:bookmarkEnd w:id="61"/>
    <w:bookmarkStart w:id="76" w:name="running-modules-on-sciserver"/>
    <w:p>
      <w:pPr>
        <w:pStyle w:val="Heading3"/>
      </w:pPr>
      <w:r>
        <w:rPr>
          <w:rStyle w:val="SectionNumber"/>
        </w:rPr>
        <w:t xml:space="preserve">1.3.2</w:t>
      </w:r>
      <w:r>
        <w:tab/>
      </w:r>
      <w:r>
        <w:t xml:space="preserve">Running modules on SciServer</w:t>
      </w:r>
    </w:p>
    <w:bookmarkStart w:id="62" w:name="purpose-1"/>
    <w:p>
      <w:pPr>
        <w:pStyle w:val="Heading4"/>
      </w:pPr>
      <w:r>
        <w:rPr>
          <w:rStyle w:val="SectionNumber"/>
        </w:rPr>
        <w:t xml:space="preserve">1.3.2.1</w:t>
      </w:r>
      <w:r>
        <w:tab/>
      </w:r>
      <w:r>
        <w:t xml:space="preserve">Purpose</w:t>
      </w:r>
    </w:p>
    <w:p>
      <w:pPr>
        <w:pStyle w:val="FirstParagraph"/>
      </w:pPr>
      <w:r>
        <w:t xml:space="preserve">The purpose of this assignment is to learn how to access the modules for your course on SciServer and properly close out your session when finished.</w:t>
      </w:r>
    </w:p>
    <w:bookmarkEnd w:id="62"/>
    <w:bookmarkStart w:id="63" w:name="learning-objectives-1"/>
    <w:p>
      <w:pPr>
        <w:pStyle w:val="Heading4"/>
      </w:pPr>
      <w:r>
        <w:rPr>
          <w:rStyle w:val="SectionNumber"/>
        </w:rPr>
        <w:t xml:space="preserve">1.3.2.2</w:t>
      </w:r>
      <w:r>
        <w:tab/>
      </w:r>
      <w:r>
        <w:t xml:space="preserve">Learning Objectives</w:t>
      </w:r>
    </w:p>
    <w:p>
      <w:pPr>
        <w:numPr>
          <w:ilvl w:val="0"/>
          <w:numId w:val="1019"/>
        </w:numPr>
        <w:pStyle w:val="Compact"/>
      </w:pPr>
      <w:r>
        <w:t xml:space="preserve">Start up a C-MOOR LearnR compute container</w:t>
      </w:r>
    </w:p>
    <w:p>
      <w:pPr>
        <w:numPr>
          <w:ilvl w:val="0"/>
          <w:numId w:val="1019"/>
        </w:numPr>
        <w:pStyle w:val="Compact"/>
      </w:pPr>
      <w:r>
        <w:t xml:space="preserve">Access a C-MOOR module</w:t>
      </w:r>
    </w:p>
    <w:p>
      <w:pPr>
        <w:numPr>
          <w:ilvl w:val="0"/>
          <w:numId w:val="1019"/>
        </w:numPr>
        <w:pStyle w:val="Compact"/>
      </w:pPr>
      <w:r>
        <w:t xml:space="preserve">Delete your C-MOOR LearnR compute container when finished</w:t>
      </w:r>
    </w:p>
    <w:bookmarkEnd w:id="63"/>
    <w:bookmarkStart w:id="64" w:name="introduction-2"/>
    <w:p>
      <w:pPr>
        <w:pStyle w:val="Heading4"/>
      </w:pPr>
      <w:r>
        <w:rPr>
          <w:rStyle w:val="SectionNumber"/>
        </w:rPr>
        <w:t xml:space="preserve">1.3.2.3</w:t>
      </w:r>
      <w:r>
        <w:tab/>
      </w:r>
      <w:r>
        <w:t xml:space="preserve">Introduction</w:t>
      </w:r>
    </w:p>
    <w:p>
      <w:pPr>
        <w:pStyle w:val="FirstParagraph"/>
      </w:pPr>
      <w:r>
        <w:t xml:space="preserve">Before beginning this assignment, you should have already created a SciServer account and submitted your SciServer username to your instructor. In this assignment you will learn how to set up a</w:t>
      </w:r>
      <w:r>
        <w:t xml:space="preserve"> </w:t>
      </w:r>
      <w:r>
        <w:t xml:space="preserve">“</w:t>
      </w:r>
      <w:r>
        <w:t xml:space="preserve">compute container</w:t>
      </w:r>
      <w:r>
        <w:t xml:space="preserve">”</w:t>
      </w:r>
      <w:r>
        <w:t xml:space="preserve"> </w:t>
      </w:r>
      <w:r>
        <w:t xml:space="preserve">on SciServer. Compute containers are how you use programs on SciServer. There are two C-MOOR compute containers on SciServer:</w:t>
      </w:r>
      <w:r>
        <w:t xml:space="preserve"> </w:t>
      </w:r>
      <w:r>
        <w:t xml:space="preserve">“</w:t>
      </w:r>
      <w:r>
        <w:t xml:space="preserve">C-MOOR LearnR</w:t>
      </w:r>
      <w:r>
        <w:t xml:space="preserve">”</w:t>
      </w:r>
      <w:r>
        <w:t xml:space="preserve"> </w:t>
      </w:r>
      <w:r>
        <w:t xml:space="preserve">has tutorials that will teach you how to run data analyses, and</w:t>
      </w:r>
      <w:r>
        <w:t xml:space="preserve"> </w:t>
      </w:r>
      <w:r>
        <w:t xml:space="preserve">“</w:t>
      </w:r>
      <w:r>
        <w:t xml:space="preserve">C-MOOR R-Studio</w:t>
      </w:r>
      <w:r>
        <w:t xml:space="preserve">”</w:t>
      </w:r>
      <w:r>
        <w:t xml:space="preserve"> </w:t>
      </w:r>
      <w:r>
        <w:t xml:space="preserve">is where you can work on your own data analysis projects. This assignment shows you how to set up the C-MOOR LearnR compute container and start up your first tutorial.</w:t>
      </w:r>
    </w:p>
    <w:bookmarkEnd w:id="64"/>
    <w:bookmarkStart w:id="69" w:name="X73108a710564994b4207391838868f09d4b406a"/>
    <w:p>
      <w:pPr>
        <w:pStyle w:val="Heading4"/>
      </w:pPr>
      <w:r>
        <w:rPr>
          <w:rStyle w:val="SectionNumber"/>
        </w:rPr>
        <w:t xml:space="preserve">1.3.2.4</w:t>
      </w:r>
      <w:r>
        <w:tab/>
      </w:r>
      <w:r>
        <w:t xml:space="preserve">Part 1 – Start up a</w:t>
      </w:r>
      <w:r>
        <w:t xml:space="preserve"> </w:t>
      </w:r>
      <w:r>
        <w:t xml:space="preserve">“</w:t>
      </w:r>
      <w:r>
        <w:t xml:space="preserve">C-MOOR LearnR</w:t>
      </w:r>
      <w:r>
        <w:t xml:space="preserve">”</w:t>
      </w:r>
      <w:r>
        <w:t xml:space="preserve"> </w:t>
      </w:r>
      <w:r>
        <w:t xml:space="preserve">compute container</w:t>
      </w:r>
    </w:p>
    <w:p>
      <w:pPr>
        <w:pStyle w:val="FirstParagraph"/>
      </w:pPr>
      <w:r>
        <w:t xml:space="preserve">This video (</w:t>
      </w:r>
      <w:hyperlink r:id="rId65">
        <w:r>
          <w:rPr>
            <w:rStyle w:val="Hyperlink"/>
          </w:rPr>
          <w:t xml:space="preserve">video</w:t>
        </w:r>
      </w:hyperlink>
      <w:r>
        <w:t xml:space="preserve">)(</w:t>
      </w:r>
      <w:hyperlink r:id="rId66">
        <w:r>
          <w:rPr>
            <w:rStyle w:val="Hyperlink"/>
          </w:rPr>
          <w:t xml:space="preserve">slides</w:t>
        </w:r>
      </w:hyperlink>
      <w:r>
        <w:t xml:space="preserve">) shows you how to create and start up a C-MOOR LearnR compute container. You can follow along with the video, or follow the steps below.</w:t>
      </w:r>
    </w:p>
    <w:p>
      <w:pPr>
        <w:numPr>
          <w:ilvl w:val="0"/>
          <w:numId w:val="1020"/>
        </w:numPr>
        <w:pStyle w:val="Compact"/>
      </w:pPr>
      <w:r>
        <w:t xml:space="preserve">Open</w:t>
      </w:r>
      <w:r>
        <w:t xml:space="preserve"> </w:t>
      </w:r>
      <w:hyperlink r:id="rId51">
        <w:r>
          <w:rPr>
            <w:rStyle w:val="Hyperlink"/>
          </w:rPr>
          <w:t xml:space="preserve">sciserver.org</w:t>
        </w:r>
      </w:hyperlink>
      <w:r>
        <w:t xml:space="preserve"> </w:t>
      </w:r>
      <w:r>
        <w:t xml:space="preserve">in a web browser and log in to your account.</w:t>
      </w:r>
    </w:p>
    <w:p>
      <w:pPr>
        <w:numPr>
          <w:ilvl w:val="1"/>
          <w:numId w:val="1021"/>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0"/>
          <w:numId w:val="1020"/>
        </w:numPr>
        <w:pStyle w:val="Compact"/>
      </w:pPr>
      <w:r>
        <w:t xml:space="preserve">Scroll down to the second set of boxes and click</w:t>
      </w:r>
      <w:r>
        <w:t xml:space="preserve"> </w:t>
      </w:r>
      <w:r>
        <w:t xml:space="preserve">“</w:t>
      </w:r>
      <w:r>
        <w:t xml:space="preserve">Compute</w:t>
      </w:r>
      <w:r>
        <w:t xml:space="preserve">”</w:t>
      </w:r>
    </w:p>
    <w:p>
      <w:pPr>
        <w:numPr>
          <w:ilvl w:val="0"/>
          <w:numId w:val="1020"/>
        </w:numPr>
        <w:pStyle w:val="Compact"/>
      </w:pPr>
      <w:r>
        <w:t xml:space="preserve">Click</w:t>
      </w:r>
      <w:r>
        <w:t xml:space="preserve"> </w:t>
      </w:r>
      <w:r>
        <w:t xml:space="preserve">“</w:t>
      </w:r>
      <w:r>
        <w:t xml:space="preserve">Create container</w:t>
      </w:r>
      <w:r>
        <w:t xml:space="preserve">”</w:t>
      </w:r>
    </w:p>
    <w:p>
      <w:pPr>
        <w:numPr>
          <w:ilvl w:val="1"/>
          <w:numId w:val="1022"/>
        </w:numPr>
        <w:pStyle w:val="Compact"/>
      </w:pPr>
      <w:r>
        <w:t xml:space="preserve">Give your container a name. This can be anything you like, but it’s useful if it says something about the purpose of the container so you can tell your containers apart. You could name this container</w:t>
      </w:r>
      <w:r>
        <w:t xml:space="preserve"> </w:t>
      </w:r>
      <w:r>
        <w:t xml:space="preserve">“</w:t>
      </w:r>
      <w:r>
        <w:t xml:space="preserve">Tutorials</w:t>
      </w:r>
      <w:r>
        <w:t xml:space="preserve">”</w:t>
      </w:r>
      <w:r>
        <w:t xml:space="preserve">, since you’ll be using it to access tutorials.</w:t>
      </w:r>
    </w:p>
    <w:p>
      <w:pPr>
        <w:numPr>
          <w:ilvl w:val="1"/>
          <w:numId w:val="1022"/>
        </w:numPr>
        <w:pStyle w:val="Compact"/>
      </w:pPr>
      <w:r>
        <w:t xml:space="preserve">In the</w:t>
      </w:r>
      <w:r>
        <w:t xml:space="preserve"> </w:t>
      </w:r>
      <w:r>
        <w:t xml:space="preserve">“</w:t>
      </w:r>
      <w:r>
        <w:rPr>
          <w:bCs/>
          <w:b/>
        </w:rPr>
        <w:t xml:space="preserve">Compute Image</w:t>
      </w:r>
      <w:r>
        <w:t xml:space="preserve">”</w:t>
      </w:r>
      <w:r>
        <w:t xml:space="preserve"> </w:t>
      </w:r>
      <w:r>
        <w:t xml:space="preserve">drop-down menu, select the</w:t>
      </w:r>
      <w:r>
        <w:t xml:space="preserve"> </w:t>
      </w:r>
      <w:r>
        <w:rPr>
          <w:bCs/>
          <w:b/>
        </w:rPr>
        <w:t xml:space="preserve">C-MOOR LearnR that your instructor chooses</w:t>
      </w:r>
    </w:p>
    <w:p>
      <w:pPr>
        <w:numPr>
          <w:ilvl w:val="1"/>
          <w:numId w:val="1022"/>
        </w:numPr>
        <w:pStyle w:val="Compact"/>
      </w:pPr>
      <w:r>
        <w:t xml:space="preserve">Under</w:t>
      </w:r>
      <w:r>
        <w:t xml:space="preserve"> </w:t>
      </w:r>
      <w:r>
        <w:t xml:space="preserve">“</w:t>
      </w:r>
      <w:r>
        <w:rPr>
          <w:bCs/>
          <w:b/>
        </w:rPr>
        <w:t xml:space="preserve">Data Volumes</w:t>
      </w:r>
      <w:r>
        <w:t xml:space="preserve">”</w:t>
      </w:r>
      <w:r>
        <w:t xml:space="preserve">, check the box next to</w:t>
      </w:r>
      <w:r>
        <w:t xml:space="preserve"> </w:t>
      </w:r>
      <w:r>
        <w:t xml:space="preserve">“</w:t>
      </w:r>
      <w:r>
        <w:rPr>
          <w:bCs/>
          <w:b/>
        </w:rPr>
        <w:t xml:space="preserve">C-MOOR Data</w:t>
      </w:r>
      <w:r>
        <w:t xml:space="preserve">”</w:t>
      </w:r>
    </w:p>
    <w:p>
      <w:pPr>
        <w:numPr>
          <w:ilvl w:val="1"/>
          <w:numId w:val="1022"/>
        </w:numPr>
        <w:pStyle w:val="Compact"/>
      </w:pPr>
      <w:r>
        <w:t xml:space="preserve">Click</w:t>
      </w:r>
      <w:r>
        <w:t xml:space="preserve"> </w:t>
      </w:r>
      <w:r>
        <w:t xml:space="preserve">“</w:t>
      </w:r>
      <w:r>
        <w:t xml:space="preserve">Create</w:t>
      </w:r>
      <w:r>
        <w:t xml:space="preserve">”</w:t>
      </w:r>
      <w:r>
        <w:t xml:space="preserve">. This may take a moment.</w:t>
      </w:r>
    </w:p>
    <w:p>
      <w:pPr>
        <w:numPr>
          <w:ilvl w:val="0"/>
          <w:numId w:val="1020"/>
        </w:numPr>
        <w:pStyle w:val="Compact"/>
      </w:pPr>
      <w:r>
        <w:t xml:space="preserve">You should now see a new entry in your list of containers</w:t>
      </w:r>
    </w:p>
    <w:p>
      <w:pPr>
        <w:numPr>
          <w:ilvl w:val="1"/>
          <w:numId w:val="1023"/>
        </w:numPr>
        <w:pStyle w:val="Compact"/>
      </w:pPr>
      <w:r>
        <w:t xml:space="preserve">“</w:t>
      </w:r>
      <w:r>
        <w:t xml:space="preserve">Created At</w:t>
      </w:r>
      <w:r>
        <w:t xml:space="preserve">”</w:t>
      </w:r>
      <w:r>
        <w:t xml:space="preserve"> </w:t>
      </w:r>
      <w:r>
        <w:t xml:space="preserve">should be a few moments ago.</w:t>
      </w:r>
    </w:p>
    <w:p>
      <w:pPr>
        <w:numPr>
          <w:ilvl w:val="1"/>
          <w:numId w:val="1023"/>
        </w:numPr>
        <w:pStyle w:val="Compact"/>
      </w:pPr>
      <w:r>
        <w:t xml:space="preserve">“</w:t>
      </w:r>
      <w:r>
        <w:t xml:space="preserve">Name</w:t>
      </w:r>
      <w:r>
        <w:t xml:space="preserve">”</w:t>
      </w:r>
      <w:r>
        <w:t xml:space="preserve"> </w:t>
      </w:r>
      <w:r>
        <w:t xml:space="preserve">should be the name you chose</w:t>
      </w:r>
    </w:p>
    <w:p>
      <w:pPr>
        <w:numPr>
          <w:ilvl w:val="1"/>
          <w:numId w:val="1023"/>
        </w:numPr>
        <w:pStyle w:val="Compact"/>
      </w:pPr>
      <w:r>
        <w:t xml:space="preserve">“</w:t>
      </w:r>
      <w:r>
        <w:t xml:space="preserve">Image</w:t>
      </w:r>
      <w:r>
        <w:t xml:space="preserve">”</w:t>
      </w:r>
      <w:r>
        <w:t xml:space="preserve"> </w:t>
      </w:r>
      <w:r>
        <w:t xml:space="preserve">should be</w:t>
      </w:r>
      <w:r>
        <w:t xml:space="preserve"> </w:t>
      </w:r>
      <w:r>
        <w:t xml:space="preserve">“</w:t>
      </w:r>
      <w:r>
        <w:t xml:space="preserve">C-MOOR LearnR</w:t>
      </w:r>
      <w:r>
        <w:t xml:space="preserve">”</w:t>
      </w:r>
    </w:p>
    <w:p>
      <w:pPr>
        <w:numPr>
          <w:ilvl w:val="0"/>
          <w:numId w:val="1020"/>
        </w:numPr>
        <w:pStyle w:val="Compact"/>
      </w:pPr>
      <w:r>
        <w:t xml:space="preserve">Start your C-MOOR LearnR container by clicking on its name (whatever name you chose when you created it). This will open in a new tab.</w:t>
      </w:r>
    </w:p>
    <w:p>
      <w:pPr>
        <w:numPr>
          <w:ilvl w:val="1"/>
          <w:numId w:val="1024"/>
        </w:numPr>
        <w:pStyle w:val="Compact"/>
      </w:pPr>
      <w:r>
        <w:t xml:space="preserve">You should see a list of tutorials, organized by topic.</w:t>
      </w:r>
    </w:p>
    <w:p>
      <w:pPr>
        <w:pStyle w:val="FirstParagraph"/>
      </w:pPr>
    </w:p>
    <w:p>
      <w:pPr>
        <w:numPr>
          <w:ilvl w:val="0"/>
          <w:numId w:val="1025"/>
        </w:numPr>
        <w:pStyle w:val="Compact"/>
      </w:pPr>
      <w:r>
        <w:t xml:space="preserve">If instead you see an error message, you most likely forgot to check the box next to</w:t>
      </w:r>
      <w:r>
        <w:t xml:space="preserve"> </w:t>
      </w:r>
      <w:r>
        <w:t xml:space="preserve">“</w:t>
      </w:r>
      <w:r>
        <w:t xml:space="preserve">C-MOOR Data</w:t>
      </w:r>
      <w:r>
        <w:t xml:space="preserve">”</w:t>
      </w:r>
      <w:r>
        <w:t xml:space="preserve"> </w:t>
      </w:r>
      <w:r>
        <w:t xml:space="preserve">when you created the container.</w:t>
      </w:r>
    </w:p>
    <w:p>
      <w:pPr>
        <w:pStyle w:val="FirstParagraph"/>
      </w:pPr>
    </w:p>
    <w:p>
      <w:pPr>
        <w:numPr>
          <w:ilvl w:val="0"/>
          <w:numId w:val="1026"/>
        </w:numPr>
        <w:pStyle w:val="Compact"/>
      </w:pPr>
      <w:r>
        <w:t xml:space="preserve">If you see something else, you may have picked the wrong</w:t>
      </w:r>
      <w:r>
        <w:t xml:space="preserve"> </w:t>
      </w:r>
      <w:r>
        <w:t xml:space="preserve">“</w:t>
      </w:r>
      <w:r>
        <w:t xml:space="preserve">Compute Image</w:t>
      </w:r>
      <w:r>
        <w:t xml:space="preserve">”</w:t>
      </w:r>
      <w:r>
        <w:t xml:space="preserve"> </w:t>
      </w:r>
      <w:r>
        <w:t xml:space="preserve">from the drop-down menu.</w:t>
      </w:r>
    </w:p>
    <w:p>
      <w:pPr>
        <w:pStyle w:val="FirstParagraph"/>
      </w:pPr>
      <w:r>
        <w:rPr>
          <w:bCs/>
          <w:b/>
        </w:rPr>
        <w:t xml:space="preserve">If anything goes wrong, you can always delete your container by clicking the red</w:t>
      </w:r>
      <w:r>
        <w:rPr>
          <w:bCs/>
          <w:b/>
        </w:rPr>
        <w:t xml:space="preserve"> </w:t>
      </w:r>
      <w:r>
        <w:rPr>
          <w:bCs/>
          <w:b/>
        </w:rPr>
        <w:t xml:space="preserve">“</w:t>
      </w:r>
      <w:r>
        <w:rPr>
          <w:bCs/>
          <w:b/>
        </w:rPr>
        <w:t xml:space="preserve">X</w:t>
      </w:r>
      <w:r>
        <w:rPr>
          <w:bCs/>
          <w:b/>
        </w:rPr>
        <w:t xml:space="preserve">”</w:t>
      </w:r>
      <w:r>
        <w:rPr>
          <w:bCs/>
          <w:b/>
        </w:rPr>
        <w:t xml:space="preserve"> </w:t>
      </w:r>
      <w:r>
        <w:rPr>
          <w:bCs/>
          <w:b/>
        </w:rPr>
        <w:t xml:space="preserve">in the last column, and create a new container.</w:t>
      </w:r>
    </w:p>
    <w:bookmarkStart w:id="68" w:name="resources"/>
    <w:p>
      <w:pPr>
        <w:pStyle w:val="Heading5"/>
      </w:pPr>
      <w:r>
        <w:rPr>
          <w:rStyle w:val="SectionNumber"/>
        </w:rPr>
        <w:t xml:space="preserve">1.3.2.4.1</w:t>
      </w:r>
      <w:r>
        <w:tab/>
      </w:r>
      <w:r>
        <w:t xml:space="preserve">Resources</w:t>
      </w:r>
    </w:p>
    <w:p>
      <w:pPr>
        <w:numPr>
          <w:ilvl w:val="0"/>
          <w:numId w:val="1027"/>
        </w:numPr>
        <w:pStyle w:val="Compact"/>
      </w:pPr>
      <w:hyperlink r:id="rId51">
        <w:r>
          <w:rPr>
            <w:rStyle w:val="Hyperlink"/>
          </w:rPr>
          <w:t xml:space="preserve">sciserver.org</w:t>
        </w:r>
      </w:hyperlink>
    </w:p>
    <w:p>
      <w:pPr>
        <w:numPr>
          <w:ilvl w:val="0"/>
          <w:numId w:val="1027"/>
        </w:numPr>
        <w:pStyle w:val="Compact"/>
      </w:pPr>
      <w:hyperlink r:id="rId67">
        <w:r>
          <w:rPr>
            <w:rStyle w:val="Hyperlink"/>
          </w:rPr>
          <w:t xml:space="preserve">Get help with SciServer on the C-MOOR Discourse</w:t>
        </w:r>
      </w:hyperlink>
    </w:p>
    <w:bookmarkEnd w:id="68"/>
    <w:bookmarkEnd w:id="69"/>
    <w:bookmarkStart w:id="71" w:name="part-2-opening-c-moor-modules"/>
    <w:p>
      <w:pPr>
        <w:pStyle w:val="Heading4"/>
      </w:pPr>
      <w:r>
        <w:rPr>
          <w:rStyle w:val="SectionNumber"/>
        </w:rPr>
        <w:t xml:space="preserve">1.3.2.5</w:t>
      </w:r>
      <w:r>
        <w:tab/>
      </w:r>
      <w:r>
        <w:t xml:space="preserve">Part 2 – Opening C-MOOR modules</w:t>
      </w:r>
    </w:p>
    <w:p>
      <w:pPr>
        <w:numPr>
          <w:ilvl w:val="0"/>
          <w:numId w:val="1028"/>
        </w:numPr>
        <w:pStyle w:val="Compact"/>
      </w:pPr>
      <w:r>
        <w:t xml:space="preserve">If you’re not there already, go to the SciServer compute page and start up the C-MOOR LearnR container.</w:t>
      </w:r>
    </w:p>
    <w:p>
      <w:pPr>
        <w:numPr>
          <w:ilvl w:val="1"/>
          <w:numId w:val="1029"/>
        </w:numPr>
        <w:pStyle w:val="Compact"/>
      </w:pPr>
      <w:r>
        <w:t xml:space="preserve">Open</w:t>
      </w:r>
      <w:r>
        <w:t xml:space="preserve"> </w:t>
      </w:r>
      <w:hyperlink r:id="rId51">
        <w:r>
          <w:rPr>
            <w:rStyle w:val="Hyperlink"/>
          </w:rPr>
          <w:t xml:space="preserve">sciserver.org</w:t>
        </w:r>
      </w:hyperlink>
      <w:r>
        <w:t xml:space="preserve"> </w:t>
      </w:r>
      <w:r>
        <w:t xml:space="preserve">in a web browser and log in to your account.</w:t>
      </w:r>
    </w:p>
    <w:p>
      <w:pPr>
        <w:numPr>
          <w:ilvl w:val="1"/>
          <w:numId w:val="1029"/>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29"/>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029"/>
        </w:numPr>
        <w:pStyle w:val="Compact"/>
      </w:pPr>
      <w:r>
        <w:t xml:space="preserve">Start your C-MOOR LearnR container by clicking on its name.</w:t>
      </w:r>
    </w:p>
    <w:p>
      <w:pPr>
        <w:numPr>
          <w:ilvl w:val="0"/>
          <w:numId w:val="1028"/>
        </w:numPr>
        <w:pStyle w:val="Compact"/>
      </w:pPr>
      <w:r>
        <w:t xml:space="preserve">Click on the module chosen by your instructor. The tutorial will open in a new tab.</w:t>
      </w:r>
    </w:p>
    <w:p>
      <w:pPr>
        <w:numPr>
          <w:ilvl w:val="0"/>
          <w:numId w:val="1028"/>
        </w:numPr>
        <w:pStyle w:val="Compact"/>
      </w:pPr>
      <w:r>
        <w:t xml:space="preserve">Complete the tutorial.</w:t>
      </w:r>
    </w:p>
    <w:bookmarkStart w:id="70" w:name="resources-1"/>
    <w:p>
      <w:pPr>
        <w:pStyle w:val="Heading5"/>
      </w:pPr>
      <w:r>
        <w:rPr>
          <w:rStyle w:val="SectionNumber"/>
        </w:rPr>
        <w:t xml:space="preserve">1.3.2.5.1</w:t>
      </w:r>
      <w:r>
        <w:tab/>
      </w:r>
      <w:r>
        <w:t xml:space="preserve">Resources</w:t>
      </w:r>
    </w:p>
    <w:p>
      <w:pPr>
        <w:numPr>
          <w:ilvl w:val="0"/>
          <w:numId w:val="1030"/>
        </w:numPr>
        <w:pStyle w:val="Compact"/>
      </w:pPr>
      <w:hyperlink r:id="rId51">
        <w:r>
          <w:rPr>
            <w:rStyle w:val="Hyperlink"/>
          </w:rPr>
          <w:t xml:space="preserve">sciserver.org</w:t>
        </w:r>
      </w:hyperlink>
    </w:p>
    <w:p>
      <w:pPr>
        <w:numPr>
          <w:ilvl w:val="0"/>
          <w:numId w:val="1030"/>
        </w:numPr>
        <w:pStyle w:val="Compact"/>
      </w:pPr>
      <w:hyperlink r:id="rId67">
        <w:r>
          <w:rPr>
            <w:rStyle w:val="Hyperlink"/>
          </w:rPr>
          <w:t xml:space="preserve">Get help with SciServer on the C-MOOR Discourse</w:t>
        </w:r>
      </w:hyperlink>
    </w:p>
    <w:bookmarkEnd w:id="70"/>
    <w:bookmarkEnd w:id="71"/>
    <w:bookmarkStart w:id="73" w:name="X20e76d3e2b8661b8d39170c94a9d157f9325836"/>
    <w:p>
      <w:pPr>
        <w:pStyle w:val="Heading4"/>
      </w:pPr>
      <w:r>
        <w:rPr>
          <w:rStyle w:val="SectionNumber"/>
        </w:rPr>
        <w:t xml:space="preserve">1.3.2.6</w:t>
      </w:r>
      <w:r>
        <w:tab/>
      </w:r>
      <w:r>
        <w:t xml:space="preserve">Part 3 – Delete your C-MOOR LearnR compute container</w:t>
      </w:r>
    </w:p>
    <w:p>
      <w:pPr>
        <w:pStyle w:val="FirstParagraph"/>
      </w:pPr>
      <w:r>
        <w:t xml:space="preserve">Compute containers are meant to be temporary, and you can only have 3 containers total on SciServer. So it’s generally a good idea to clean up after yourself and delete your containers when you’re done using them. Also, if any updates are made to the C-MOOR LearnR container,</w:t>
      </w:r>
      <w:r>
        <w:t xml:space="preserve"> </w:t>
      </w:r>
      <w:r>
        <w:rPr>
          <w:bCs/>
          <w:b/>
        </w:rPr>
        <w:t xml:space="preserve">you will need to create a new container to get the latest updates.</w:t>
      </w:r>
    </w:p>
    <w:p>
      <w:pPr>
        <w:pStyle w:val="BodyText"/>
      </w:pPr>
      <w:r>
        <w:rPr>
          <w:bCs/>
          <w:b/>
        </w:rPr>
        <w:t xml:space="preserve">Deleting your container will delete your progress in a tutorial</w:t>
      </w:r>
      <w:r>
        <w:t xml:space="preserve">, so don’t delete the container until you have completed the tutorial and submitted any required items to your instructor.</w:t>
      </w:r>
    </w:p>
    <w:p>
      <w:pPr>
        <w:pStyle w:val="BodyText"/>
      </w:pPr>
      <w:r>
        <w:t xml:space="preserve">To delete a container:</w:t>
      </w:r>
    </w:p>
    <w:p>
      <w:pPr>
        <w:numPr>
          <w:ilvl w:val="0"/>
          <w:numId w:val="1031"/>
        </w:numPr>
        <w:pStyle w:val="Compact"/>
      </w:pPr>
      <w:r>
        <w:t xml:space="preserve">If you’re not there already, go to the SciServer compute page.</w:t>
      </w:r>
    </w:p>
    <w:p>
      <w:pPr>
        <w:numPr>
          <w:ilvl w:val="1"/>
          <w:numId w:val="1032"/>
        </w:numPr>
        <w:pStyle w:val="Compact"/>
      </w:pPr>
      <w:r>
        <w:t xml:space="preserve">Open</w:t>
      </w:r>
      <w:r>
        <w:t xml:space="preserve"> </w:t>
      </w:r>
      <w:hyperlink r:id="rId51">
        <w:r>
          <w:rPr>
            <w:rStyle w:val="Hyperlink"/>
          </w:rPr>
          <w:t xml:space="preserve">sciserver.org</w:t>
        </w:r>
      </w:hyperlink>
      <w:r>
        <w:t xml:space="preserve"> </w:t>
      </w:r>
      <w:r>
        <w:t xml:space="preserve">in a web browser and log in to your account.</w:t>
      </w:r>
    </w:p>
    <w:p>
      <w:pPr>
        <w:numPr>
          <w:ilvl w:val="1"/>
          <w:numId w:val="1032"/>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2"/>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0"/>
          <w:numId w:val="1031"/>
        </w:numPr>
        <w:pStyle w:val="Compact"/>
      </w:pPr>
      <w:r>
        <w:t xml:space="preserve">Find the container you want to delete.</w:t>
      </w:r>
    </w:p>
    <w:p>
      <w:pPr>
        <w:numPr>
          <w:ilvl w:val="0"/>
          <w:numId w:val="1031"/>
        </w:numPr>
        <w:pStyle w:val="Compact"/>
      </w:pPr>
      <w:r>
        <w:t xml:space="preserve">Click on the red</w:t>
      </w:r>
      <w:r>
        <w:t xml:space="preserve"> </w:t>
      </w:r>
      <w:r>
        <w:t xml:space="preserve">“</w:t>
      </w:r>
      <w:r>
        <w:t xml:space="preserve">X</w:t>
      </w:r>
      <w:r>
        <w:t xml:space="preserve">”</w:t>
      </w:r>
      <w:r>
        <w:t xml:space="preserve"> </w:t>
      </w:r>
      <w:r>
        <w:t xml:space="preserve">in the last column.</w:t>
      </w:r>
    </w:p>
    <w:p>
      <w:pPr>
        <w:pStyle w:val="FirstParagraph"/>
      </w:pPr>
    </w:p>
    <w:bookmarkStart w:id="72" w:name="resources-2"/>
    <w:p>
      <w:pPr>
        <w:pStyle w:val="Heading5"/>
      </w:pPr>
      <w:r>
        <w:rPr>
          <w:rStyle w:val="SectionNumber"/>
        </w:rPr>
        <w:t xml:space="preserve">1.3.2.6.1</w:t>
      </w:r>
      <w:r>
        <w:tab/>
      </w:r>
      <w:r>
        <w:t xml:space="preserve">Resources</w:t>
      </w:r>
    </w:p>
    <w:p>
      <w:pPr>
        <w:numPr>
          <w:ilvl w:val="0"/>
          <w:numId w:val="1033"/>
        </w:numPr>
        <w:pStyle w:val="Compact"/>
      </w:pPr>
      <w:hyperlink r:id="rId51">
        <w:r>
          <w:rPr>
            <w:rStyle w:val="Hyperlink"/>
          </w:rPr>
          <w:t xml:space="preserve">sciserver.org</w:t>
        </w:r>
      </w:hyperlink>
    </w:p>
    <w:p>
      <w:pPr>
        <w:numPr>
          <w:ilvl w:val="0"/>
          <w:numId w:val="1033"/>
        </w:numPr>
        <w:pStyle w:val="Compact"/>
      </w:pPr>
      <w:hyperlink r:id="rId67">
        <w:r>
          <w:rPr>
            <w:rStyle w:val="Hyperlink"/>
          </w:rPr>
          <w:t xml:space="preserve">Get help with SciServer on the C-MOOR Discourse</w:t>
        </w:r>
      </w:hyperlink>
    </w:p>
    <w:bookmarkEnd w:id="72"/>
    <w:bookmarkEnd w:id="73"/>
    <w:bookmarkStart w:id="75" w:name="footnotes-1"/>
    <w:p>
      <w:pPr>
        <w:pStyle w:val="Heading4"/>
      </w:pPr>
      <w:r>
        <w:rPr>
          <w:rStyle w:val="SectionNumber"/>
        </w:rPr>
        <w:t xml:space="preserve">1.3.2.7</w:t>
      </w:r>
      <w:r>
        <w:tab/>
      </w:r>
      <w:r>
        <w:t xml:space="preserve">Footnotes</w:t>
      </w:r>
    </w:p>
    <w:bookmarkStart w:id="74" w:name="contributions-and-affiliations-1"/>
    <w:p>
      <w:pPr>
        <w:pStyle w:val="Heading5"/>
      </w:pPr>
      <w:r>
        <w:rPr>
          <w:rStyle w:val="SectionNumber"/>
        </w:rPr>
        <w:t xml:space="preserve">1.3.2.7.1</w:t>
      </w:r>
      <w:r>
        <w:tab/>
      </w:r>
      <w:r>
        <w:t xml:space="preserve">Contributions and Affiliations</w:t>
      </w:r>
    </w:p>
    <w:p>
      <w:pPr>
        <w:numPr>
          <w:ilvl w:val="0"/>
          <w:numId w:val="1034"/>
        </w:numPr>
        <w:pStyle w:val="Compact"/>
      </w:pPr>
      <w:r>
        <w:t xml:space="preserve">Katherine Cox, Johns Hopkins University</w:t>
      </w:r>
    </w:p>
    <w:p>
      <w:pPr>
        <w:numPr>
          <w:ilvl w:val="0"/>
          <w:numId w:val="1034"/>
        </w:numPr>
        <w:pStyle w:val="Compact"/>
      </w:pPr>
      <w:r>
        <w:t xml:space="preserve">Frederick Tan, Carnegie Institution</w:t>
      </w:r>
    </w:p>
    <w:p>
      <w:pPr>
        <w:numPr>
          <w:ilvl w:val="0"/>
          <w:numId w:val="1034"/>
        </w:numPr>
        <w:pStyle w:val="Compact"/>
      </w:pPr>
      <w:r>
        <w:t xml:space="preserve">Sayumi York, Notre Dame of Maryland University</w:t>
      </w:r>
    </w:p>
    <w:p>
      <w:pPr>
        <w:pStyle w:val="FirstParagraph"/>
      </w:pPr>
      <w:r>
        <w:t xml:space="preserve">Last Revised: June 5, 2026</w:t>
      </w:r>
      <w:r>
        <w:t xml:space="preserve"> </w:t>
      </w:r>
    </w:p>
    <w:bookmarkEnd w:id="74"/>
    <w:bookmarkEnd w:id="75"/>
    <w:bookmarkEnd w:id="76"/>
    <w:bookmarkEnd w:id="77"/>
    <w:bookmarkStart w:id="100" w:name="anvil-onboarding"/>
    <w:p>
      <w:pPr>
        <w:pStyle w:val="Heading2"/>
      </w:pPr>
      <w:r>
        <w:rPr>
          <w:rStyle w:val="SectionNumber"/>
        </w:rPr>
        <w:t xml:space="preserve">1.4</w:t>
      </w:r>
      <w:r>
        <w:tab/>
      </w:r>
      <w:r>
        <w:t xml:space="preserve">AnVIL Onboarding</w:t>
      </w:r>
    </w:p>
    <w:bookmarkStart w:id="87" w:name="join-anvil"/>
    <w:p>
      <w:pPr>
        <w:pStyle w:val="Heading3"/>
      </w:pPr>
      <w:r>
        <w:rPr>
          <w:rStyle w:val="SectionNumber"/>
        </w:rPr>
        <w:t xml:space="preserve">1.4.1</w:t>
      </w:r>
      <w:r>
        <w:tab/>
      </w:r>
      <w:r>
        <w:t xml:space="preserve">Join AnVIL</w:t>
      </w:r>
    </w:p>
    <w:bookmarkStart w:id="78" w:name="purpose-2"/>
    <w:p>
      <w:pPr>
        <w:pStyle w:val="Heading4"/>
      </w:pPr>
      <w:r>
        <w:rPr>
          <w:rStyle w:val="SectionNumber"/>
        </w:rPr>
        <w:t xml:space="preserve">1.4.1.1</w:t>
      </w:r>
      <w:r>
        <w:tab/>
      </w:r>
      <w:r>
        <w:t xml:space="preserve">Purpose</w:t>
      </w:r>
    </w:p>
    <w:p>
      <w:pPr>
        <w:pStyle w:val="FirstParagraph"/>
      </w:pPr>
      <w:r>
        <w:t xml:space="preserve">You will need an account on AnVIL in order to use the platform. In this section we’ll go over the specifics of account creation.</w:t>
      </w:r>
    </w:p>
    <w:bookmarkEnd w:id="78"/>
    <w:bookmarkStart w:id="79" w:name="learning-objectives-2"/>
    <w:p>
      <w:pPr>
        <w:pStyle w:val="Heading4"/>
      </w:pPr>
      <w:r>
        <w:rPr>
          <w:rStyle w:val="SectionNumber"/>
        </w:rPr>
        <w:t xml:space="preserve">1.4.1.2</w:t>
      </w:r>
      <w:r>
        <w:tab/>
      </w:r>
      <w:r>
        <w:t xml:space="preserve">Learning Objectives</w:t>
      </w:r>
    </w:p>
    <w:p>
      <w:pPr>
        <w:numPr>
          <w:ilvl w:val="0"/>
          <w:numId w:val="1035"/>
        </w:numPr>
        <w:pStyle w:val="Compact"/>
      </w:pPr>
      <w:r>
        <w:t xml:space="preserve">Create an account on AnVIL</w:t>
      </w:r>
    </w:p>
    <w:p>
      <w:pPr>
        <w:numPr>
          <w:ilvl w:val="0"/>
          <w:numId w:val="1035"/>
        </w:numPr>
        <w:pStyle w:val="Compact"/>
      </w:pPr>
      <w:r>
        <w:t xml:space="preserve">Login to AnVIL</w:t>
      </w:r>
    </w:p>
    <w:p>
      <w:pPr>
        <w:numPr>
          <w:ilvl w:val="0"/>
          <w:numId w:val="1035"/>
        </w:numPr>
        <w:pStyle w:val="Compact"/>
      </w:pPr>
      <w:r>
        <w:t xml:space="preserve">Share the email you used to sign up for AnVIL with your instructor (if applicable)</w:t>
      </w:r>
    </w:p>
    <w:bookmarkEnd w:id="79"/>
    <w:bookmarkStart w:id="80" w:name="introduction-3"/>
    <w:p>
      <w:pPr>
        <w:pStyle w:val="Heading4"/>
      </w:pPr>
      <w:r>
        <w:rPr>
          <w:rStyle w:val="SectionNumber"/>
        </w:rPr>
        <w:t xml:space="preserve">1.4.1.3</w:t>
      </w:r>
      <w:r>
        <w:tab/>
      </w:r>
      <w:r>
        <w:t xml:space="preserve">Introduction</w:t>
      </w:r>
    </w:p>
    <w:p>
      <w:pPr>
        <w:pStyle w:val="FirstParagraph"/>
      </w:pPr>
      <w:r>
        <w:t xml:space="preserve">AnVIL (The Genomic Data Science</w:t>
      </w:r>
      <w:r>
        <w:t xml:space="preserve"> </w:t>
      </w:r>
      <w:r>
        <w:rPr>
          <w:bCs/>
          <w:b/>
        </w:rPr>
        <w:t xml:space="preserve">An</w:t>
      </w:r>
      <w:r>
        <w:t xml:space="preserve">alysis,</w:t>
      </w:r>
      <w:r>
        <w:t xml:space="preserve"> </w:t>
      </w:r>
      <w:r>
        <w:rPr>
          <w:bCs/>
          <w:b/>
        </w:rPr>
        <w:t xml:space="preserve">V</w:t>
      </w:r>
      <w:r>
        <w:t xml:space="preserve">isualization, and</w:t>
      </w:r>
      <w:r>
        <w:t xml:space="preserve"> </w:t>
      </w:r>
      <w:r>
        <w:rPr>
          <w:bCs/>
          <w:b/>
        </w:rPr>
        <w:t xml:space="preserve">I</w:t>
      </w:r>
      <w:r>
        <w:t xml:space="preserve">nformatics</w:t>
      </w:r>
      <w:r>
        <w:t xml:space="preserve"> </w:t>
      </w:r>
      <w:r>
        <w:rPr>
          <w:bCs/>
          <w:b/>
        </w:rPr>
        <w:t xml:space="preserve">L</w:t>
      </w:r>
      <w:r>
        <w:t xml:space="preserve">ab-space) is a platform created by the National Human Genome Research Institute (NHGRI) in collaboration with cloud computing platform providers like Google and Microsoft. Using AnVIL we can access computing resources on the cloud through your browser without need for any fancy physical equipment. Through AnVIL you will also have access to all the software and data necessary to complete your research project.</w:t>
      </w:r>
    </w:p>
    <w:p>
      <w:pPr>
        <w:pStyle w:val="BodyText"/>
      </w:pPr>
      <w:r>
        <w:t xml:space="preserve">In this section, we will set up our accounts on AnVIL and go through the entire lifecycle of an RStudio environment from creation to deletion. You will repeat this process throughout the semester; feel free to refer back to this section if you need a refresher on how to use AnVIL.</w:t>
      </w:r>
    </w:p>
    <w:p>
      <w:pPr>
        <w:pStyle w:val="BodyText"/>
      </w:pPr>
    </w:p>
    <w:bookmarkEnd w:id="80"/>
    <w:bookmarkStart w:id="86" w:name="part-1-create-an-account-on-anvil"/>
    <w:p>
      <w:pPr>
        <w:pStyle w:val="Heading4"/>
      </w:pPr>
      <w:r>
        <w:rPr>
          <w:rStyle w:val="SectionNumber"/>
        </w:rPr>
        <w:t xml:space="preserve">1.4.1.4</w:t>
      </w:r>
      <w:r>
        <w:tab/>
      </w:r>
      <w:r>
        <w:t xml:space="preserve">Part 1 – Create an account on AnVIL</w:t>
      </w:r>
    </w:p>
    <w:p>
      <w:pPr>
        <w:pStyle w:val="FirstParagraph"/>
      </w:pPr>
      <w:r>
        <w:t xml:space="preserve">Follow the written steps below or refer to the</w:t>
      </w:r>
      <w:r>
        <w:t xml:space="preserve"> </w:t>
      </w:r>
      <w:hyperlink r:id="rId81">
        <w:r>
          <w:rPr>
            <w:rStyle w:val="Hyperlink"/>
          </w:rPr>
          <w:t xml:space="preserve">slides</w:t>
        </w:r>
      </w:hyperlink>
      <w:r>
        <w:t xml:space="preserve"> </w:t>
      </w:r>
      <w:r>
        <w:t xml:space="preserve">or video guide.</w:t>
      </w:r>
    </w:p>
    <w:p>
      <w:pPr>
        <w:pStyle w:val="BodyText"/>
      </w:pPr>
    </w:p>
    <w:p>
      <w:pPr>
        <w:numPr>
          <w:ilvl w:val="0"/>
          <w:numId w:val="1036"/>
        </w:numPr>
        <w:pStyle w:val="Compact"/>
      </w:pPr>
      <w:r>
        <w:t xml:space="preserve">Open</w:t>
      </w:r>
      <w:r>
        <w:t xml:space="preserve"> </w:t>
      </w:r>
      <w:hyperlink r:id="rId82">
        <w:r>
          <w:rPr>
            <w:rStyle w:val="Hyperlink"/>
          </w:rPr>
          <w:t xml:space="preserve">anvil.terra.bio</w:t>
        </w:r>
      </w:hyperlink>
      <w:r>
        <w:t xml:space="preserve"> </w:t>
      </w:r>
      <w:r>
        <w:t xml:space="preserve">in</w:t>
      </w:r>
      <w:r>
        <w:t xml:space="preserve"> </w:t>
      </w:r>
      <w:r>
        <w:t xml:space="preserve"> </w:t>
      </w:r>
      <w:r>
        <w:rPr>
          <w:bCs/>
          <w:b/>
        </w:rPr>
        <w:t xml:space="preserve">Google Chrome</w:t>
      </w:r>
      <w:r>
        <w:t xml:space="preserve"> </w:t>
      </w:r>
      <w:r>
        <w:t xml:space="preserve">. Google Chrome is the only officially supported web browser for AnVIL. Because of this, while you can run AnVIL in other browsers you strongly suggest using Chrome.</w:t>
      </w:r>
    </w:p>
    <w:p>
      <w:pPr>
        <w:numPr>
          <w:ilvl w:val="1"/>
          <w:numId w:val="1037"/>
        </w:numPr>
        <w:pStyle w:val="Compact"/>
      </w:pPr>
      <w:r>
        <w:t xml:space="preserve">Tip: bookmark this page so that you can easily access it throughout the course.</w:t>
      </w:r>
    </w:p>
    <w:p>
      <w:pPr>
        <w:numPr>
          <w:ilvl w:val="0"/>
          <w:numId w:val="1036"/>
        </w:numPr>
        <w:pStyle w:val="Compact"/>
      </w:pPr>
      <w:r>
        <w:t xml:space="preserve">Click the hamburger icon (3 lines) in the top left corner of the screen</w:t>
      </w:r>
    </w:p>
    <w:p>
      <w:pPr>
        <w:numPr>
          <w:ilvl w:val="0"/>
          <w:numId w:val="1036"/>
        </w:numPr>
        <w:pStyle w:val="Compact"/>
      </w:pPr>
      <w:r>
        <w:t xml:space="preserve">Click</w:t>
      </w:r>
      <w:r>
        <w:t xml:space="preserve"> </w:t>
      </w:r>
      <w:r>
        <w:t xml:space="preserve">“</w:t>
      </w:r>
      <w:r>
        <w:t xml:space="preserve">Sign in</w:t>
      </w:r>
      <w:r>
        <w:t xml:space="preserve">”</w:t>
      </w:r>
    </w:p>
    <w:p>
      <w:pPr>
        <w:pStyle w:val="FirstParagraph"/>
      </w:pPr>
    </w:p>
    <w:p>
      <w:pPr>
        <w:numPr>
          <w:ilvl w:val="0"/>
          <w:numId w:val="1038"/>
        </w:numPr>
        <w:pStyle w:val="Compact"/>
      </w:pPr>
      <w:r>
        <w:t xml:space="preserve">Click</w:t>
      </w:r>
      <w:r>
        <w:t xml:space="preserve"> </w:t>
      </w:r>
      <w:r>
        <w:t xml:space="preserve">“</w:t>
      </w:r>
      <w:r>
        <w:t xml:space="preserve">Sign in with Google</w:t>
      </w:r>
      <w:r>
        <w:t xml:space="preserve">”</w:t>
      </w:r>
      <w:r>
        <w:t xml:space="preserve">.</w:t>
      </w:r>
    </w:p>
    <w:p>
      <w:pPr>
        <w:numPr>
          <w:ilvl w:val="0"/>
          <w:numId w:val="1038"/>
        </w:numPr>
        <w:pStyle w:val="Compact"/>
      </w:pPr>
      <w:r>
        <w:t xml:space="preserve">Sign in with a</w:t>
      </w:r>
      <w:r>
        <w:t xml:space="preserve"> </w:t>
      </w:r>
      <w:r>
        <w:rPr>
          <w:bCs/>
          <w:b/>
        </w:rPr>
        <w:t xml:space="preserve">Google associated email address</w:t>
      </w:r>
      <w:r>
        <w:t xml:space="preserve"> </w:t>
      </w:r>
      <w:r>
        <w:t xml:space="preserve">such as an institutional email that uses Gmail or a personal Gmail account. You must use a Google associated email address to gain access to Google Cloud computing resources.</w:t>
      </w:r>
    </w:p>
    <w:p>
      <w:pPr>
        <w:numPr>
          <w:ilvl w:val="0"/>
          <w:numId w:val="1038"/>
        </w:numPr>
        <w:pStyle w:val="Compact"/>
      </w:pPr>
      <w:r>
        <w:t xml:space="preserve">If you are a student, share the email you used to sign up for AnVIL with your instructor following their instructions.</w:t>
      </w:r>
    </w:p>
    <w:p>
      <w:pPr>
        <w:pStyle w:val="FirstParagraph"/>
      </w:pPr>
      <w:r>
        <w:rPr>
          <w:bCs/>
          <w:b/>
        </w:rPr>
        <w:t xml:space="preserve">Instructors should collect the student emails and use them in the next section,</w:t>
      </w:r>
      <w:r>
        <w:rPr>
          <w:bCs/>
          <w:b/>
        </w:rPr>
        <w:t xml:space="preserve"> </w:t>
      </w:r>
      <w:r>
        <w:rPr>
          <w:bCs/>
          <w:b/>
        </w:rPr>
        <w:t xml:space="preserve">“</w:t>
      </w:r>
      <w:r>
        <w:rPr>
          <w:bCs/>
          <w:b/>
        </w:rPr>
        <w:t xml:space="preserve">Setting up workspaces on AnVIL.</w:t>
      </w:r>
      <w:r>
        <w:rPr>
          <w:bCs/>
          <w:b/>
        </w:rPr>
        <w:t xml:space="preserve">”</w:t>
      </w:r>
      <w:r>
        <w:rPr>
          <w:bCs/>
          <w:b/>
        </w:rPr>
        <w:t xml:space="preserve"> </w:t>
      </w:r>
      <w:r>
        <w:rPr>
          <w:bCs/>
          <w:b/>
        </w:rPr>
        <w:t xml:space="preserve">Students do not need to set up a workspace, and should proceed to the section,</w:t>
      </w:r>
      <w:r>
        <w:rPr>
          <w:bCs/>
          <w:b/>
        </w:rPr>
        <w:t xml:space="preserve"> </w:t>
      </w:r>
      <w:r>
        <w:rPr>
          <w:bCs/>
          <w:b/>
        </w:rPr>
        <w:t xml:space="preserve">“</w:t>
      </w:r>
      <w:r>
        <w:rPr>
          <w:bCs/>
          <w:b/>
        </w:rPr>
        <w:t xml:space="preserve">Running a module on AnVIL</w:t>
      </w:r>
      <w:r>
        <w:rPr>
          <w:bCs/>
          <w:b/>
        </w:rPr>
        <w:t xml:space="preserve">”</w:t>
      </w:r>
      <w:r>
        <w:rPr>
          <w:bCs/>
          <w:b/>
        </w:rPr>
        <w:t xml:space="preserve">.</w:t>
      </w:r>
    </w:p>
    <w:bookmarkStart w:id="85" w:name="resources-3"/>
    <w:p>
      <w:pPr>
        <w:pStyle w:val="Heading5"/>
      </w:pPr>
      <w:r>
        <w:rPr>
          <w:rStyle w:val="SectionNumber"/>
        </w:rPr>
        <w:t xml:space="preserve">1.4.1.4.1</w:t>
      </w:r>
      <w:r>
        <w:tab/>
      </w:r>
      <w:r>
        <w:t xml:space="preserve">Resources</w:t>
      </w:r>
    </w:p>
    <w:p>
      <w:pPr>
        <w:numPr>
          <w:ilvl w:val="0"/>
          <w:numId w:val="1039"/>
        </w:numPr>
        <w:pStyle w:val="Compact"/>
      </w:pPr>
      <w:hyperlink r:id="rId82">
        <w:r>
          <w:rPr>
            <w:rStyle w:val="Hyperlink"/>
          </w:rPr>
          <w:t xml:space="preserve">AnVIL</w:t>
        </w:r>
      </w:hyperlink>
    </w:p>
    <w:p>
      <w:pPr>
        <w:numPr>
          <w:ilvl w:val="0"/>
          <w:numId w:val="1039"/>
        </w:numPr>
        <w:pStyle w:val="Compact"/>
      </w:pPr>
      <w:hyperlink r:id="rId83">
        <w:r>
          <w:rPr>
            <w:rStyle w:val="Hyperlink"/>
          </w:rPr>
          <w:t xml:space="preserve">How to add a bookmark in Chrome</w:t>
        </w:r>
      </w:hyperlink>
    </w:p>
    <w:p>
      <w:pPr>
        <w:numPr>
          <w:ilvl w:val="0"/>
          <w:numId w:val="1039"/>
        </w:numPr>
        <w:pStyle w:val="Compact"/>
      </w:pPr>
      <w:hyperlink r:id="rId84">
        <w:r>
          <w:rPr>
            <w:rStyle w:val="Hyperlink"/>
          </w:rPr>
          <w:t xml:space="preserve">AnVIL support home</w:t>
        </w:r>
      </w:hyperlink>
    </w:p>
    <w:bookmarkEnd w:id="85"/>
    <w:bookmarkEnd w:id="86"/>
    <w:bookmarkEnd w:id="87"/>
    <w:bookmarkStart w:id="99" w:name="running-a-module-on-anvil"/>
    <w:p>
      <w:pPr>
        <w:pStyle w:val="Heading3"/>
      </w:pPr>
      <w:r>
        <w:rPr>
          <w:rStyle w:val="SectionNumber"/>
        </w:rPr>
        <w:t xml:space="preserve">1.4.2</w:t>
      </w:r>
      <w:r>
        <w:tab/>
      </w:r>
      <w:r>
        <w:t xml:space="preserve">Running a module on AnVIL</w:t>
      </w:r>
    </w:p>
    <w:p>
      <w:pPr>
        <w:pStyle w:val="FirstParagraph"/>
      </w:pPr>
    </w:p>
    <w:bookmarkStart w:id="88" w:name="purpose-3"/>
    <w:p>
      <w:pPr>
        <w:pStyle w:val="Heading4"/>
      </w:pPr>
      <w:r>
        <w:rPr>
          <w:rStyle w:val="SectionNumber"/>
        </w:rPr>
        <w:t xml:space="preserve">1.4.2.1</w:t>
      </w:r>
      <w:r>
        <w:tab/>
      </w:r>
      <w:r>
        <w:t xml:space="preserve">Purpose</w:t>
      </w:r>
    </w:p>
    <w:p>
      <w:pPr>
        <w:pStyle w:val="FirstParagraph"/>
      </w:pPr>
      <w:r>
        <w:t xml:space="preserve">In this section we will go over how to run C-MOOR modules on AnVIL. We will go over how to create an RStudio environment in that workspace to run the module and properly end a session on AnVIL to prevent runaway costs.</w:t>
      </w:r>
    </w:p>
    <w:bookmarkEnd w:id="88"/>
    <w:bookmarkStart w:id="89" w:name="learning-objectives-3"/>
    <w:p>
      <w:pPr>
        <w:pStyle w:val="Heading4"/>
      </w:pPr>
      <w:r>
        <w:rPr>
          <w:rStyle w:val="SectionNumber"/>
        </w:rPr>
        <w:t xml:space="preserve">1.4.2.2</w:t>
      </w:r>
      <w:r>
        <w:tab/>
      </w:r>
      <w:r>
        <w:t xml:space="preserve">Learning Objectives</w:t>
      </w:r>
    </w:p>
    <w:p>
      <w:pPr>
        <w:numPr>
          <w:ilvl w:val="0"/>
          <w:numId w:val="1040"/>
        </w:numPr>
        <w:pStyle w:val="Compact"/>
      </w:pPr>
      <w:r>
        <w:t xml:space="preserve">Launch a module through the cloned workspace</w:t>
      </w:r>
    </w:p>
    <w:p>
      <w:pPr>
        <w:numPr>
          <w:ilvl w:val="0"/>
          <w:numId w:val="1040"/>
        </w:numPr>
        <w:pStyle w:val="Compact"/>
      </w:pPr>
      <w:r>
        <w:t xml:space="preserve">Close out a session on AnVIL properly to prevent runaway costs</w:t>
      </w:r>
    </w:p>
    <w:bookmarkEnd w:id="89"/>
    <w:bookmarkStart w:id="90" w:name="introduction-4"/>
    <w:p>
      <w:pPr>
        <w:pStyle w:val="Heading4"/>
      </w:pPr>
      <w:r>
        <w:rPr>
          <w:rStyle w:val="SectionNumber"/>
        </w:rPr>
        <w:t xml:space="preserve">1.4.2.3</w:t>
      </w:r>
      <w:r>
        <w:tab/>
      </w:r>
      <w:r>
        <w:t xml:space="preserve">Introduction</w:t>
      </w:r>
    </w:p>
    <w:p>
      <w:pPr>
        <w:pStyle w:val="FirstParagraph"/>
      </w:pPr>
      <w:r>
        <w:t xml:space="preserve">Before beginning this assignment, you should have already created an AnVIL account and submitted the email you used to sign up for AnVIL to your instructor. In this assignment you will learn how to setup an RStudio environment on AnVIL. This environment is analogous to preparing a lab space for a physical lab. You have to have the right equipment and reagents to be able to do the activity.</w:t>
      </w:r>
    </w:p>
    <w:p>
      <w:pPr>
        <w:pStyle w:val="BodyText"/>
      </w:pPr>
      <w:r>
        <w:t xml:space="preserve">This assignment shows you how to set up the RStudio environment and start up your first C-MOOR tutorial.</w:t>
      </w:r>
    </w:p>
    <w:bookmarkEnd w:id="90"/>
    <w:bookmarkStart w:id="92" w:name="X72ee8a5ec0424a5edc24ab0295ed7fca9da6118"/>
    <w:p>
      <w:pPr>
        <w:pStyle w:val="Heading4"/>
      </w:pPr>
      <w:r>
        <w:rPr>
          <w:rStyle w:val="SectionNumber"/>
        </w:rPr>
        <w:t xml:space="preserve">1.4.2.4</w:t>
      </w:r>
      <w:r>
        <w:tab/>
      </w:r>
      <w:r>
        <w:t xml:space="preserve">Part 1 – Confirm you have access to your class workspace</w:t>
      </w:r>
    </w:p>
    <w:p>
      <w:pPr>
        <w:pStyle w:val="FirstParagraph"/>
      </w:pPr>
      <w:r>
        <w:t xml:space="preserve">The workspace is the heart of AnVIL. To be able to run modules, you need to have access to the class workspace. Here are some key points about workspaces:</w:t>
      </w:r>
    </w:p>
    <w:p>
      <w:pPr>
        <w:numPr>
          <w:ilvl w:val="0"/>
          <w:numId w:val="1041"/>
        </w:numPr>
        <w:pStyle w:val="Compact"/>
      </w:pPr>
      <w:r>
        <w:t xml:space="preserve">Every workspace comes with its own Google Bucket (our cloud storage). Your bucket will be empty.</w:t>
      </w:r>
    </w:p>
    <w:p>
      <w:pPr>
        <w:numPr>
          <w:ilvl w:val="0"/>
          <w:numId w:val="1041"/>
        </w:numPr>
        <w:pStyle w:val="Compact"/>
      </w:pPr>
      <w:r>
        <w:t xml:space="preserve">Every workspace has its own billing project. Students who are not yet associated with a billing project will not be able to compute on their workspace.</w:t>
      </w:r>
    </w:p>
    <w:p>
      <w:pPr>
        <w:numPr>
          <w:ilvl w:val="0"/>
          <w:numId w:val="1041"/>
        </w:numPr>
        <w:pStyle w:val="Compact"/>
      </w:pPr>
      <w:r>
        <w:t xml:space="preserve">We can control access levels of users and set them either as owners, writers, or readers. Students will be writers with compute access.</w:t>
      </w:r>
    </w:p>
    <w:p>
      <w:pPr>
        <w:pStyle w:val="FirstParagraph"/>
      </w:pPr>
      <w:r>
        <w:t xml:space="preserve">The workspace is the heart of AnVIL.</w:t>
      </w:r>
    </w:p>
    <w:p>
      <w:pPr>
        <w:numPr>
          <w:ilvl w:val="0"/>
          <w:numId w:val="1042"/>
        </w:numPr>
        <w:pStyle w:val="Compact"/>
      </w:pPr>
      <w:r>
        <w:t xml:space="preserve">Open</w:t>
      </w:r>
      <w:r>
        <w:t xml:space="preserve"> </w:t>
      </w:r>
      <w:hyperlink r:id="rId82">
        <w:r>
          <w:rPr>
            <w:rStyle w:val="Hyperlink"/>
          </w:rPr>
          <w:t xml:space="preserve">AnVIL</w:t>
        </w:r>
      </w:hyperlink>
      <w:r>
        <w:t xml:space="preserve"> </w:t>
      </w:r>
      <w:r>
        <w:t xml:space="preserve">in Google Chrome</w:t>
      </w:r>
    </w:p>
    <w:p>
      <w:pPr>
        <w:numPr>
          <w:ilvl w:val="0"/>
          <w:numId w:val="1042"/>
        </w:numPr>
        <w:pStyle w:val="Compact"/>
      </w:pPr>
      <w:r>
        <w:t xml:space="preserve">Click on the hamburger icon in the top left corner</w:t>
      </w:r>
    </w:p>
    <w:p>
      <w:pPr>
        <w:numPr>
          <w:ilvl w:val="0"/>
          <w:numId w:val="1042"/>
        </w:numPr>
        <w:pStyle w:val="Compact"/>
      </w:pPr>
      <w:r>
        <w:t xml:space="preserve">Login to your AnVIL account</w:t>
      </w:r>
    </w:p>
    <w:p>
      <w:pPr>
        <w:numPr>
          <w:ilvl w:val="0"/>
          <w:numId w:val="1042"/>
        </w:numPr>
        <w:pStyle w:val="Compact"/>
      </w:pPr>
      <w:r>
        <w:t xml:space="preserve">Click on the hamburger icon in the top left corner again</w:t>
      </w:r>
    </w:p>
    <w:p>
      <w:pPr>
        <w:numPr>
          <w:ilvl w:val="0"/>
          <w:numId w:val="1042"/>
        </w:numPr>
        <w:pStyle w:val="Compact"/>
      </w:pPr>
      <w:r>
        <w:t xml:space="preserve">Click workspaces</w:t>
      </w:r>
    </w:p>
    <w:p>
      <w:pPr>
        <w:numPr>
          <w:ilvl w:val="0"/>
          <w:numId w:val="1042"/>
        </w:numPr>
        <w:pStyle w:val="Compact"/>
      </w:pPr>
      <w:r>
        <w:t xml:space="preserve">Confirm you see your class workspace</w:t>
      </w:r>
    </w:p>
    <w:p>
      <w:pPr>
        <w:numPr>
          <w:ilvl w:val="0"/>
          <w:numId w:val="1042"/>
        </w:numPr>
        <w:pStyle w:val="Compact"/>
      </w:pPr>
      <w:r>
        <w:t xml:space="preserve">Click on the workspace name to enter the workspace.</w:t>
      </w:r>
    </w:p>
    <w:bookmarkStart w:id="91" w:name="resources-4"/>
    <w:p>
      <w:pPr>
        <w:pStyle w:val="Heading5"/>
      </w:pPr>
      <w:r>
        <w:rPr>
          <w:rStyle w:val="SectionNumber"/>
        </w:rPr>
        <w:t xml:space="preserve">1.4.2.4.1</w:t>
      </w:r>
      <w:r>
        <w:tab/>
      </w:r>
      <w:r>
        <w:t xml:space="preserve">Resources</w:t>
      </w:r>
    </w:p>
    <w:p>
      <w:pPr>
        <w:numPr>
          <w:ilvl w:val="0"/>
          <w:numId w:val="1043"/>
        </w:numPr>
        <w:pStyle w:val="Compact"/>
      </w:pPr>
      <w:hyperlink r:id="rId82">
        <w:r>
          <w:rPr>
            <w:rStyle w:val="Hyperlink"/>
          </w:rPr>
          <w:t xml:space="preserve">AnVIL</w:t>
        </w:r>
      </w:hyperlink>
    </w:p>
    <w:p>
      <w:pPr>
        <w:numPr>
          <w:ilvl w:val="0"/>
          <w:numId w:val="1043"/>
        </w:numPr>
        <w:pStyle w:val="Compact"/>
      </w:pPr>
      <w:hyperlink r:id="rId67">
        <w:r>
          <w:rPr>
            <w:rStyle w:val="Hyperlink"/>
          </w:rPr>
          <w:t xml:space="preserve">Get help with AnVIL on the C-MOOR Discourse</w:t>
        </w:r>
      </w:hyperlink>
    </w:p>
    <w:bookmarkEnd w:id="91"/>
    <w:bookmarkEnd w:id="92"/>
    <w:bookmarkStart w:id="94" w:name="part-2-start-access-a-module"/>
    <w:p>
      <w:pPr>
        <w:pStyle w:val="Heading4"/>
      </w:pPr>
      <w:r>
        <w:rPr>
          <w:rStyle w:val="SectionNumber"/>
        </w:rPr>
        <w:t xml:space="preserve">1.4.2.5</w:t>
      </w:r>
      <w:r>
        <w:tab/>
      </w:r>
      <w:r>
        <w:t xml:space="preserve">Part 2 – Start access a module</w:t>
      </w:r>
    </w:p>
    <w:p>
      <w:pPr>
        <w:pStyle w:val="FirstParagraph"/>
      </w:pPr>
      <w:r>
        <w:t xml:space="preserve">When you open the workspace, you will be on the dashboard tab by default. The dashboard contains the instructions on how to use the workspace, links to C-MOOR websites, and the startup script. Let’s try running a module.</w:t>
      </w:r>
    </w:p>
    <w:p>
      <w:pPr>
        <w:pStyle w:val="BodyText"/>
      </w:pPr>
    </w:p>
    <w:p>
      <w:pPr>
        <w:numPr>
          <w:ilvl w:val="0"/>
          <w:numId w:val="1044"/>
        </w:numPr>
      </w:pPr>
      <w:r>
        <w:t xml:space="preserve">Copy the URL of the startup script. Make sure there are no spaces before or after what you copy. This script is held in the original workspace everyone cloned. You will need to input this URL soon.</w:t>
      </w:r>
    </w:p>
    <w:p>
      <w:pPr>
        <w:numPr>
          <w:ilvl w:val="0"/>
          <w:numId w:val="1044"/>
        </w:numPr>
      </w:pPr>
      <w:r>
        <w:t xml:space="preserve">Click on the Environment Configuration button, the cloud with a thunderbolt.</w:t>
      </w:r>
    </w:p>
    <w:p>
      <w:pPr>
        <w:pStyle w:val="FirstParagraph"/>
      </w:pPr>
    </w:p>
    <w:p>
      <w:pPr>
        <w:numPr>
          <w:ilvl w:val="0"/>
          <w:numId w:val="1045"/>
        </w:numPr>
      </w:pPr>
      <w:r>
        <w:t xml:space="preserve">In the RStudio section, click Settings</w:t>
      </w:r>
    </w:p>
    <w:p>
      <w:pPr>
        <w:numPr>
          <w:ilvl w:val="0"/>
          <w:numId w:val="1045"/>
        </w:numPr>
      </w:pPr>
      <w:r>
        <w:t xml:space="preserve">In the startup script field, paste the URL for the startup script.</w:t>
      </w:r>
    </w:p>
    <w:p>
      <w:pPr>
        <w:numPr>
          <w:ilvl w:val="0"/>
          <w:numId w:val="1045"/>
        </w:numPr>
      </w:pPr>
      <w:r>
        <w:t xml:space="preserve">Select 4 CPUs and 15 gigabytes of memory.</w:t>
      </w:r>
    </w:p>
    <w:p>
      <w:pPr>
        <w:numPr>
          <w:ilvl w:val="0"/>
          <w:numId w:val="1045"/>
        </w:numPr>
      </w:pPr>
      <w:r>
        <w:t xml:space="preserve">Confirm that the cloud compute cost is 20 cents per hour. If it is not 20 cents per hour, reselect CPUs and memory allocation in step 5 This is a known bug in AnVIL at the writing of this guide.</w:t>
      </w:r>
    </w:p>
    <w:p>
      <w:pPr>
        <w:numPr>
          <w:ilvl w:val="0"/>
          <w:numId w:val="1045"/>
        </w:numPr>
      </w:pPr>
      <w:r>
        <w:t xml:space="preserve">Scroll to the bottom of the window and click</w:t>
      </w:r>
      <w:r>
        <w:t xml:space="preserve"> </w:t>
      </w:r>
      <w:r>
        <w:t xml:space="preserve">“</w:t>
      </w:r>
      <w:r>
        <w:t xml:space="preserve">Create</w:t>
      </w:r>
      <w:r>
        <w:t xml:space="preserve">”</w:t>
      </w:r>
      <w:r>
        <w:t xml:space="preserve">. It will take about 2 minutes for the environment to be created.</w:t>
      </w:r>
    </w:p>
    <w:p>
      <w:pPr>
        <w:pStyle w:val="FirstParagraph"/>
      </w:pPr>
    </w:p>
    <w:p>
      <w:pPr>
        <w:pStyle w:val="BodyText"/>
      </w:pPr>
      <w:r>
        <w:t xml:space="preserve">It will take some time for the RStudio Environment to be created. You can keep track of the status of the environment based on the colored dot next to the RStudio icon. The dot will turn green when the environment is ready. While it is loading (blue), you cannot interact with it.</w:t>
      </w:r>
    </w:p>
    <w:p>
      <w:pPr>
        <w:pStyle w:val="BodyText"/>
      </w:pPr>
    </w:p>
    <w:p>
      <w:pPr>
        <w:numPr>
          <w:ilvl w:val="0"/>
          <w:numId w:val="1046"/>
        </w:numPr>
        <w:pStyle w:val="Compact"/>
      </w:pPr>
      <w:r>
        <w:t xml:space="preserve">When the environment is ready, use the Open RStudio button that will pop up. If you hold down Ctrl as you click, you can open RStudio in a new window.</w:t>
      </w:r>
    </w:p>
    <w:p>
      <w:pPr>
        <w:pStyle w:val="FirstParagraph"/>
      </w:pPr>
    </w:p>
    <w:p>
      <w:pPr>
        <w:numPr>
          <w:ilvl w:val="0"/>
          <w:numId w:val="1047"/>
        </w:numPr>
        <w:pStyle w:val="Compact"/>
      </w:pPr>
      <w:r>
        <w:t xml:space="preserve">Use the file explorer in RStudio to navigate to your module of choice. First, enter the folder of the curriculum you are using, either rnaseq (not cure-rnaseq) or 16s. Then enter the folder of the module you want to run.</w:t>
      </w:r>
    </w:p>
    <w:p>
      <w:pPr>
        <w:pStyle w:val="FirstParagraph"/>
      </w:pPr>
    </w:p>
    <w:p>
      <w:pPr>
        <w:numPr>
          <w:ilvl w:val="0"/>
          <w:numId w:val="1048"/>
        </w:numPr>
        <w:pStyle w:val="Compact"/>
      </w:pPr>
      <w:r>
        <w:t xml:space="preserve">In the module’s directory, open the .Rmd file by double clicking its name.</w:t>
      </w:r>
    </w:p>
    <w:p>
      <w:pPr>
        <w:pStyle w:val="FirstParagraph"/>
      </w:pPr>
    </w:p>
    <w:p>
      <w:pPr>
        <w:numPr>
          <w:ilvl w:val="0"/>
          <w:numId w:val="1049"/>
        </w:numPr>
        <w:pStyle w:val="Compact"/>
      </w:pPr>
      <w:r>
        <w:t xml:space="preserve">Click Run Document in the open .Rmd file</w:t>
      </w:r>
    </w:p>
    <w:p>
      <w:pPr>
        <w:pStyle w:val="FirstParagraph"/>
      </w:pPr>
      <w:r>
        <w:rPr>
          <w:bCs/>
          <w:b/>
        </w:rPr>
        <w:t xml:space="preserve">When you are finished, make sure you close out your session properly to prevent runaway costs!</w:t>
      </w:r>
      <w:r>
        <w:t xml:space="preserve">.</w:t>
      </w:r>
    </w:p>
    <w:bookmarkStart w:id="93" w:name="resources-5"/>
    <w:p>
      <w:pPr>
        <w:pStyle w:val="Heading5"/>
      </w:pPr>
      <w:r>
        <w:rPr>
          <w:rStyle w:val="SectionNumber"/>
        </w:rPr>
        <w:t xml:space="preserve">1.4.2.5.1</w:t>
      </w:r>
      <w:r>
        <w:tab/>
      </w:r>
      <w:r>
        <w:t xml:space="preserve">Resources</w:t>
      </w:r>
    </w:p>
    <w:p>
      <w:pPr>
        <w:numPr>
          <w:ilvl w:val="0"/>
          <w:numId w:val="1050"/>
        </w:numPr>
        <w:pStyle w:val="Compact"/>
      </w:pPr>
      <w:hyperlink r:id="rId82">
        <w:r>
          <w:rPr>
            <w:rStyle w:val="Hyperlink"/>
          </w:rPr>
          <w:t xml:space="preserve">AnVIL</w:t>
        </w:r>
      </w:hyperlink>
    </w:p>
    <w:p>
      <w:pPr>
        <w:numPr>
          <w:ilvl w:val="0"/>
          <w:numId w:val="1050"/>
        </w:numPr>
        <w:pStyle w:val="Compact"/>
      </w:pPr>
      <w:hyperlink r:id="rId67">
        <w:r>
          <w:rPr>
            <w:rStyle w:val="Hyperlink"/>
          </w:rPr>
          <w:t xml:space="preserve">Get help with AnVIL on the C-MOOR Discourse</w:t>
        </w:r>
      </w:hyperlink>
    </w:p>
    <w:bookmarkEnd w:id="93"/>
    <w:bookmarkEnd w:id="94"/>
    <w:bookmarkStart w:id="96" w:name="part-3-closing-out-a-session-on-anvil"/>
    <w:p>
      <w:pPr>
        <w:pStyle w:val="Heading4"/>
      </w:pPr>
      <w:r>
        <w:rPr>
          <w:rStyle w:val="SectionNumber"/>
        </w:rPr>
        <w:t xml:space="preserve">1.4.2.6</w:t>
      </w:r>
      <w:r>
        <w:tab/>
      </w:r>
      <w:r>
        <w:t xml:space="preserve">Part 3 – Closing out a session on AnVIL</w:t>
      </w:r>
    </w:p>
    <w:p>
      <w:pPr>
        <w:pStyle w:val="FirstParagraph"/>
      </w:pPr>
    </w:p>
    <w:p>
      <w:pPr>
        <w:numPr>
          <w:ilvl w:val="0"/>
          <w:numId w:val="1051"/>
        </w:numPr>
        <w:pStyle w:val="Compact"/>
      </w:pPr>
      <w:r>
        <w:t xml:space="preserve">On the right side of the screen, click the Cloud Environment button. This is the Cloud with the lightning symbol.</w:t>
      </w:r>
    </w:p>
    <w:p>
      <w:pPr>
        <w:numPr>
          <w:ilvl w:val="0"/>
          <w:numId w:val="1051"/>
        </w:numPr>
        <w:pStyle w:val="Compact"/>
      </w:pPr>
      <w:r>
        <w:t xml:space="preserve">Under the RStudio section, click settings.</w:t>
      </w:r>
    </w:p>
    <w:p>
      <w:pPr>
        <w:numPr>
          <w:ilvl w:val="0"/>
          <w:numId w:val="1051"/>
        </w:numPr>
        <w:pStyle w:val="Compact"/>
      </w:pPr>
      <w:r>
        <w:t xml:space="preserve">Scroll to the bottom of the new window and click delete environment.</w:t>
      </w:r>
    </w:p>
    <w:p>
      <w:pPr>
        <w:numPr>
          <w:ilvl w:val="0"/>
          <w:numId w:val="1051"/>
        </w:numPr>
        <w:pStyle w:val="Compact"/>
      </w:pPr>
      <w:r>
        <w:t xml:space="preserve">Check</w:t>
      </w:r>
      <w:r>
        <w:t xml:space="preserve"> </w:t>
      </w:r>
      <w:r>
        <w:rPr>
          <w:bCs/>
          <w:b/>
        </w:rPr>
        <w:t xml:space="preserve">Delete everything, including the persistent disk or your instructor’s billing account will incur costs for storage</w:t>
      </w:r>
      <w:r>
        <w:t xml:space="preserve">.</w:t>
      </w:r>
    </w:p>
    <w:bookmarkStart w:id="95" w:name="resources-6"/>
    <w:p>
      <w:pPr>
        <w:pStyle w:val="Heading5"/>
      </w:pPr>
      <w:r>
        <w:rPr>
          <w:rStyle w:val="SectionNumber"/>
        </w:rPr>
        <w:t xml:space="preserve">1.4.2.6.1</w:t>
      </w:r>
      <w:r>
        <w:tab/>
      </w:r>
      <w:r>
        <w:t xml:space="preserve">Resources</w:t>
      </w:r>
    </w:p>
    <w:p>
      <w:pPr>
        <w:numPr>
          <w:ilvl w:val="0"/>
          <w:numId w:val="1052"/>
        </w:numPr>
        <w:pStyle w:val="Compact"/>
      </w:pPr>
      <w:hyperlink r:id="rId82">
        <w:r>
          <w:rPr>
            <w:rStyle w:val="Hyperlink"/>
          </w:rPr>
          <w:t xml:space="preserve">AnVIL</w:t>
        </w:r>
      </w:hyperlink>
    </w:p>
    <w:p>
      <w:pPr>
        <w:numPr>
          <w:ilvl w:val="0"/>
          <w:numId w:val="1052"/>
        </w:numPr>
        <w:pStyle w:val="Compact"/>
      </w:pPr>
      <w:hyperlink r:id="rId67">
        <w:r>
          <w:rPr>
            <w:rStyle w:val="Hyperlink"/>
          </w:rPr>
          <w:t xml:space="preserve">Get help with AnVIL on the C-MOOR Discourse</w:t>
        </w:r>
      </w:hyperlink>
    </w:p>
    <w:bookmarkEnd w:id="95"/>
    <w:bookmarkEnd w:id="96"/>
    <w:bookmarkStart w:id="98" w:name="footnotes-2"/>
    <w:p>
      <w:pPr>
        <w:pStyle w:val="Heading4"/>
      </w:pPr>
      <w:r>
        <w:rPr>
          <w:rStyle w:val="SectionNumber"/>
        </w:rPr>
        <w:t xml:space="preserve">1.4.2.7</w:t>
      </w:r>
      <w:r>
        <w:tab/>
      </w:r>
      <w:r>
        <w:t xml:space="preserve">Footnotes</w:t>
      </w:r>
    </w:p>
    <w:bookmarkStart w:id="97" w:name="contributions-and-affiliations-2"/>
    <w:p>
      <w:pPr>
        <w:pStyle w:val="Heading5"/>
      </w:pPr>
      <w:r>
        <w:rPr>
          <w:rStyle w:val="SectionNumber"/>
        </w:rPr>
        <w:t xml:space="preserve">1.4.2.7.1</w:t>
      </w:r>
      <w:r>
        <w:tab/>
      </w:r>
      <w:r>
        <w:t xml:space="preserve">Contributions and Affiliations</w:t>
      </w:r>
    </w:p>
    <w:p>
      <w:pPr>
        <w:numPr>
          <w:ilvl w:val="0"/>
          <w:numId w:val="1053"/>
        </w:numPr>
        <w:pStyle w:val="Compact"/>
      </w:pPr>
      <w:r>
        <w:t xml:space="preserve">Sayumi York, Notre Dame of Maryland University</w:t>
      </w:r>
    </w:p>
    <w:p>
      <w:pPr>
        <w:pStyle w:val="FirstParagraph"/>
      </w:pPr>
      <w:r>
        <w:t xml:space="preserve">Last Revised: June 5, 2026</w:t>
      </w:r>
    </w:p>
    <w:bookmarkEnd w:id="97"/>
    <w:bookmarkEnd w:id="98"/>
    <w:bookmarkEnd w:id="99"/>
    <w:bookmarkEnd w:id="100"/>
    <w:bookmarkEnd w:id="101"/>
    <w:bookmarkStart w:id="137" w:name="scientific-literature"/>
    <w:p>
      <w:pPr>
        <w:pStyle w:val="Heading1"/>
      </w:pPr>
      <w:r>
        <w:rPr>
          <w:rStyle w:val="SectionNumber"/>
        </w:rPr>
        <w:t xml:space="preserve">2</w:t>
      </w:r>
      <w:r>
        <w:tab/>
      </w:r>
      <w:r>
        <w:t xml:space="preserve">Scientific Literature</w:t>
      </w:r>
    </w:p>
    <w:bookmarkStart w:id="115" w:name="pre-lab---scientific-literature"/>
    <w:p>
      <w:pPr>
        <w:pStyle w:val="Heading2"/>
      </w:pPr>
      <w:r>
        <w:rPr>
          <w:rStyle w:val="SectionNumber"/>
        </w:rPr>
        <w:t xml:space="preserve">2.1</w:t>
      </w:r>
      <w:r>
        <w:tab/>
      </w:r>
      <w:r>
        <w:t xml:space="preserve">Pre-lab - Scientific literature</w:t>
      </w:r>
    </w:p>
    <w:p>
      <w:pPr>
        <w:pStyle w:val="FirstParagraph"/>
      </w:pPr>
      <w:r>
        <w:drawing>
          <wp:inline>
            <wp:extent cx="5334000" cy="3000375"/>
            <wp:effectExtent b="0" l="0" r="0" t="0"/>
            <wp:docPr descr="" title="" id="103" name="Picture"/>
            <a:graphic>
              <a:graphicData uri="http://schemas.openxmlformats.org/drawingml/2006/picture">
                <pic:pic>
                  <pic:nvPicPr>
                    <pic:cNvPr descr="scientific-literature_files/figure-docx//1dEZtb0TgLbzhbr3HxQElwg8hENur2HMIzseg19OGd0g_g33d73503c03_0_51.png" id="104" name="Picture"/>
                    <pic:cNvPicPr>
                      <a:picLocks noChangeArrowheads="1" noChangeAspect="1"/>
                    </pic:cNvPicPr>
                  </pic:nvPicPr>
                  <pic:blipFill>
                    <a:blip r:embed="rId102"/>
                    <a:stretch>
                      <a:fillRect/>
                    </a:stretch>
                  </pic:blipFill>
                  <pic:spPr bwMode="auto">
                    <a:xfrm>
                      <a:off x="0" y="0"/>
                      <a:ext cx="5334000" cy="3000375"/>
                    </a:xfrm>
                    <a:prstGeom prst="rect">
                      <a:avLst/>
                    </a:prstGeom>
                    <a:noFill/>
                    <a:ln w="9525">
                      <a:noFill/>
                      <a:headEnd/>
                      <a:tailEnd/>
                    </a:ln>
                  </pic:spPr>
                </pic:pic>
              </a:graphicData>
            </a:graphic>
          </wp:inline>
        </w:drawing>
      </w:r>
    </w:p>
    <w:bookmarkStart w:id="105" w:name="purpose-4"/>
    <w:p>
      <w:pPr>
        <w:pStyle w:val="Heading3"/>
      </w:pPr>
      <w:r>
        <w:rPr>
          <w:rStyle w:val="SectionNumber"/>
        </w:rPr>
        <w:t xml:space="preserve">2.1.1</w:t>
      </w:r>
      <w:r>
        <w:tab/>
      </w:r>
      <w:r>
        <w:t xml:space="preserve">Purpose</w:t>
      </w:r>
    </w:p>
    <w:p>
      <w:pPr>
        <w:pStyle w:val="FirstParagraph"/>
      </w:pPr>
      <w:r>
        <w:t xml:space="preserve">We’ve all heard the saying. The best way to learn is by doing. So, let’s jump right in and read a science paper! As you read through the paper, keep in mind that</w:t>
      </w:r>
      <w:r>
        <w:t xml:space="preserve"> </w:t>
      </w:r>
      <w:r>
        <w:rPr>
          <w:bCs/>
          <w:b/>
        </w:rPr>
        <w:t xml:space="preserve">you are not expected to understand everything the first time through</w:t>
      </w:r>
      <w:r>
        <w:t xml:space="preserve">. We will go through the paper in detail in the lab.</w:t>
      </w:r>
    </w:p>
    <w:p>
      <w:pPr>
        <w:pStyle w:val="BodyText"/>
      </w:pPr>
      <w:r>
        <w:t xml:space="preserve">Reading this paper will give us a first taste of scientific literature and start familiarizing ourselves with the 16S rRNA analyses you will complete as a part of your research project.</w:t>
      </w:r>
    </w:p>
    <w:bookmarkEnd w:id="105"/>
    <w:bookmarkStart w:id="106" w:name="grading-criteria"/>
    <w:p>
      <w:pPr>
        <w:pStyle w:val="Heading3"/>
      </w:pPr>
      <w:r>
        <w:rPr>
          <w:rStyle w:val="SectionNumber"/>
        </w:rPr>
        <w:t xml:space="preserve">2.1.2</w:t>
      </w:r>
      <w:r>
        <w:tab/>
      </w:r>
      <w:r>
        <w:t xml:space="preserve">Grading criteria</w:t>
      </w:r>
    </w:p>
    <w:p>
      <w:pPr>
        <w:pStyle w:val="FirstParagraph"/>
      </w:pPr>
      <w:r>
        <w:t xml:space="preserve">Download the assignment to your local computer as a .docx, complete it, and upload the assignment to your LMS (Blackboard, Canvas, Google Classroom).</w:t>
      </w:r>
    </w:p>
    <w:bookmarkEnd w:id="106"/>
    <w:bookmarkStart w:id="110" w:name="activity"/>
    <w:p>
      <w:pPr>
        <w:pStyle w:val="Heading3"/>
      </w:pPr>
      <w:r>
        <w:rPr>
          <w:rStyle w:val="SectionNumber"/>
        </w:rPr>
        <w:t xml:space="preserve">2.1.3</w:t>
      </w:r>
      <w:r>
        <w:tab/>
      </w:r>
      <w:r>
        <w:t xml:space="preserve">Activity</w:t>
      </w:r>
    </w:p>
    <w:p>
      <w:pPr>
        <w:pStyle w:val="FirstParagraph"/>
      </w:pPr>
      <w:r>
        <w:rPr>
          <w:iCs/>
          <w:i/>
        </w:rPr>
        <w:t xml:space="preserve">Estimated time: 30 minutes</w:t>
      </w:r>
    </w:p>
    <w:bookmarkStart w:id="108" w:name="instructions"/>
    <w:p>
      <w:pPr>
        <w:pStyle w:val="Heading4"/>
      </w:pPr>
      <w:r>
        <w:rPr>
          <w:rStyle w:val="SectionNumber"/>
        </w:rPr>
        <w:t xml:space="preserve">2.1.3.1</w:t>
      </w:r>
      <w:r>
        <w:tab/>
      </w:r>
      <w:r>
        <w:t xml:space="preserve">Instructions</w:t>
      </w:r>
    </w:p>
    <w:p>
      <w:pPr>
        <w:pStyle w:val="FirstParagraph"/>
      </w:pPr>
      <w:r>
        <w:t xml:space="preserve">Read the paper</w:t>
      </w:r>
      <w:r>
        <w:t xml:space="preserve"> </w:t>
      </w:r>
      <w:hyperlink r:id="rId107">
        <w:r>
          <w:rPr>
            <w:rStyle w:val="Hyperlink"/>
          </w:rPr>
          <w:t xml:space="preserve">“</w:t>
        </w:r>
        <w:r>
          <w:rPr>
            <w:rStyle w:val="Hyperlink"/>
          </w:rPr>
          <w:t xml:space="preserve">Fecal transplant in children with Clostridioides difficile gives sustained reduction in antimicrobial resistance and potential pathogen burden</w:t>
        </w:r>
        <w:r>
          <w:rPr>
            <w:rStyle w:val="Hyperlink"/>
          </w:rPr>
          <w:t xml:space="preserve">”</w:t>
        </w:r>
        <w:r>
          <w:rPr>
            <w:rStyle w:val="Hyperlink"/>
          </w:rPr>
          <w:t xml:space="preserve"> </w:t>
        </w:r>
        <w:r>
          <w:rPr>
            <w:rStyle w:val="Hyperlink"/>
          </w:rPr>
          <w:t xml:space="preserve">by Hourigan et al. (2019)</w:t>
        </w:r>
      </w:hyperlink>
      <w:r>
        <w:t xml:space="preserve"> </w:t>
      </w:r>
      <w:r>
        <w:t xml:space="preserve">and answer the following questions.</w:t>
      </w:r>
    </w:p>
    <w:bookmarkEnd w:id="108"/>
    <w:bookmarkStart w:id="109" w:name="questions"/>
    <w:p>
      <w:pPr>
        <w:pStyle w:val="Heading4"/>
      </w:pPr>
      <w:r>
        <w:rPr>
          <w:rStyle w:val="SectionNumber"/>
        </w:rPr>
        <w:t xml:space="preserve">2.1.3.2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find interesting in the paper?</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paper.</w:t>
            </w:r>
          </w:p>
        </w:tc>
      </w:tr>
      <w:tr>
        <w:tc>
          <w:tcPr/>
          <w:p>
            <w:pPr>
              <w:pStyle w:val="Compact"/>
              <w:jc w:val="left"/>
            </w:pPr>
          </w:p>
        </w:tc>
      </w:tr>
    </w:tbl>
    <w:bookmarkEnd w:id="109"/>
    <w:bookmarkEnd w:id="110"/>
    <w:bookmarkStart w:id="114" w:name="footnotes-3"/>
    <w:p>
      <w:pPr>
        <w:pStyle w:val="Heading3"/>
      </w:pPr>
      <w:r>
        <w:rPr>
          <w:rStyle w:val="SectionNumber"/>
        </w:rPr>
        <w:t xml:space="preserve">2.1.4</w:t>
      </w:r>
      <w:r>
        <w:tab/>
      </w:r>
      <w:r>
        <w:t xml:space="preserve">Footnotes</w:t>
      </w:r>
    </w:p>
    <w:bookmarkStart w:id="112" w:name="resources-7"/>
    <w:p>
      <w:pPr>
        <w:pStyle w:val="Heading4"/>
      </w:pPr>
      <w:r>
        <w:rPr>
          <w:rStyle w:val="SectionNumber"/>
        </w:rPr>
        <w:t xml:space="preserve">2.1.4.1</w:t>
      </w:r>
      <w:r>
        <w:tab/>
      </w:r>
      <w:r>
        <w:t xml:space="preserve">Resources</w:t>
      </w:r>
    </w:p>
    <w:p>
      <w:pPr>
        <w:numPr>
          <w:ilvl w:val="0"/>
          <w:numId w:val="1054"/>
        </w:numPr>
      </w:pPr>
      <w:hyperlink r:id="rId111">
        <w:r>
          <w:rPr>
            <w:rStyle w:val="Hyperlink"/>
          </w:rPr>
          <w:t xml:space="preserve">Google Doc</w:t>
        </w:r>
      </w:hyperlink>
    </w:p>
    <w:p>
      <w:pPr>
        <w:numPr>
          <w:ilvl w:val="0"/>
          <w:numId w:val="1054"/>
        </w:numPr>
      </w:pPr>
      <w:hyperlink r:id="rId107">
        <w:r>
          <w:rPr>
            <w:rStyle w:val="Hyperlink"/>
          </w:rPr>
          <w:t xml:space="preserve">Paper</w:t>
        </w:r>
      </w:hyperlink>
    </w:p>
    <w:bookmarkEnd w:id="112"/>
    <w:bookmarkStart w:id="113" w:name="contributions-and-affiliations-3"/>
    <w:p>
      <w:pPr>
        <w:pStyle w:val="Heading4"/>
      </w:pPr>
      <w:r>
        <w:rPr>
          <w:rStyle w:val="SectionNumber"/>
        </w:rPr>
        <w:t xml:space="preserve">2.1.4.2</w:t>
      </w:r>
      <w:r>
        <w:tab/>
      </w:r>
      <w:r>
        <w:t xml:space="preserve">Contributions and affiliations</w:t>
      </w:r>
    </w:p>
    <w:p>
      <w:pPr>
        <w:numPr>
          <w:ilvl w:val="0"/>
          <w:numId w:val="1055"/>
        </w:numPr>
        <w:pStyle w:val="Compact"/>
      </w:pPr>
      <w:r>
        <w:t xml:space="preserve">Valeriya Gaysinskaya, Johns Hopkins University</w:t>
      </w:r>
    </w:p>
    <w:p>
      <w:pPr>
        <w:numPr>
          <w:ilvl w:val="0"/>
          <w:numId w:val="1055"/>
        </w:numPr>
        <w:pStyle w:val="Compact"/>
      </w:pPr>
      <w:r>
        <w:t xml:space="preserve">Frederick Tan, Johns Hopkins University</w:t>
      </w:r>
    </w:p>
    <w:p>
      <w:pPr>
        <w:numPr>
          <w:ilvl w:val="0"/>
          <w:numId w:val="1055"/>
        </w:numPr>
        <w:pStyle w:val="Compact"/>
      </w:pPr>
      <w:r>
        <w:t xml:space="preserve">Katherine Cox, Johns Hopkins University</w:t>
      </w:r>
    </w:p>
    <w:p>
      <w:pPr>
        <w:numPr>
          <w:ilvl w:val="0"/>
          <w:numId w:val="1055"/>
        </w:numPr>
        <w:pStyle w:val="Compact"/>
      </w:pPr>
      <w:r>
        <w:t xml:space="preserve">Sayumi York, Notre Dame of Maryland University</w:t>
      </w:r>
    </w:p>
    <w:p>
      <w:pPr>
        <w:numPr>
          <w:ilvl w:val="0"/>
          <w:numId w:val="1055"/>
        </w:numPr>
        <w:pStyle w:val="Compact"/>
      </w:pPr>
      <w:r>
        <w:t xml:space="preserve">Stephanie Coffman, Clovis Community College</w:t>
      </w:r>
    </w:p>
    <w:p>
      <w:pPr>
        <w:numPr>
          <w:ilvl w:val="0"/>
          <w:numId w:val="1055"/>
        </w:numPr>
        <w:pStyle w:val="Compact"/>
      </w:pPr>
      <w:r>
        <w:t xml:space="preserve">Rosa Alcazar, Clovis Community College</w:t>
      </w:r>
    </w:p>
    <w:bookmarkEnd w:id="113"/>
    <w:bookmarkEnd w:id="114"/>
    <w:bookmarkEnd w:id="115"/>
    <w:bookmarkStart w:id="120" w:name="lecture---reading-a-paper"/>
    <w:p>
      <w:pPr>
        <w:pStyle w:val="Heading2"/>
      </w:pPr>
      <w:r>
        <w:rPr>
          <w:rStyle w:val="SectionNumber"/>
        </w:rPr>
        <w:t xml:space="preserve">2.2</w:t>
      </w:r>
      <w:r>
        <w:tab/>
      </w:r>
      <w:r>
        <w:t xml:space="preserve">Lecture - Reading a paper</w:t>
      </w:r>
    </w:p>
    <w:p>
      <w:pPr>
        <w:pStyle w:val="FirstParagraph"/>
      </w:pPr>
      <w:r>
        <w:rPr>
          <w:iCs/>
          <w:i/>
        </w:rPr>
        <w:t xml:space="preserve">Estimated time:</w:t>
      </w:r>
      <w:r>
        <w:rPr>
          <w:iCs/>
          <w:i/>
        </w:rPr>
        <w:t xml:space="preserve"> </w:t>
      </w:r>
    </w:p>
    <w:p>
      <w:pPr>
        <w:pStyle w:val="BodyText"/>
      </w:pPr>
      <w:r>
        <w:drawing>
          <wp:inline>
            <wp:extent cx="5334000" cy="3000375"/>
            <wp:effectExtent b="0" l="0" r="0" t="0"/>
            <wp:docPr descr="" title="" id="117" name="Picture"/>
            <a:graphic>
              <a:graphicData uri="http://schemas.openxmlformats.org/drawingml/2006/picture">
                <pic:pic>
                  <pic:nvPicPr>
                    <pic:cNvPr descr="scientific-literature_files/figure-docx//1mibD1XUpgRZcDPbYj5XOMUASuScuJoUBVV7RkT5nnSc_g36d36570436_0_413.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19">
        <w:r>
          <w:rPr>
            <w:rStyle w:val="Hyperlink"/>
          </w:rPr>
          <w:t xml:space="preserve">Lecture</w:t>
        </w:r>
      </w:hyperlink>
    </w:p>
    <w:bookmarkEnd w:id="120"/>
    <w:bookmarkStart w:id="136" w:name="activity---scientific-literature"/>
    <w:p>
      <w:pPr>
        <w:pStyle w:val="Heading2"/>
      </w:pPr>
      <w:r>
        <w:rPr>
          <w:rStyle w:val="SectionNumber"/>
        </w:rPr>
        <w:t xml:space="preserve">2.3</w:t>
      </w:r>
      <w:r>
        <w:tab/>
      </w:r>
      <w:r>
        <w:t xml:space="preserve">Activity - Scientific Literature</w:t>
      </w:r>
    </w:p>
    <w:bookmarkStart w:id="121" w:name="purpose-5"/>
    <w:p>
      <w:pPr>
        <w:pStyle w:val="Heading3"/>
      </w:pPr>
      <w:r>
        <w:rPr>
          <w:rStyle w:val="SectionNumber"/>
        </w:rPr>
        <w:t xml:space="preserve">2.3.1</w:t>
      </w:r>
      <w:r>
        <w:tab/>
      </w:r>
      <w:r>
        <w:t xml:space="preserve">Purpose</w:t>
      </w:r>
    </w:p>
    <w:p>
      <w:pPr>
        <w:pStyle w:val="FirstParagraph"/>
      </w:pPr>
      <w:r>
        <w:t xml:space="preserve">Examine research where a 16S rRNA-based approach is used to compare metagenomic diversity in children with Clostridioides difficile infection (CDI), before and after fecal microbiota transplantation (FMT) by reading:</w:t>
      </w:r>
      <w:r>
        <w:t xml:space="preserve"> </w:t>
      </w:r>
      <w:hyperlink r:id="rId107">
        <w:r>
          <w:rPr>
            <w:rStyle w:val="Hyperlink"/>
          </w:rPr>
          <w:t xml:space="preserve">“</w:t>
        </w:r>
        <w:r>
          <w:rPr>
            <w:rStyle w:val="Hyperlink"/>
          </w:rPr>
          <w:t xml:space="preserve">Fecal transplant in children with Clostridioides difficile gives sustained reduction in antimicrobial resistance and potential pathogen burden</w:t>
        </w:r>
        <w:r>
          <w:rPr>
            <w:rStyle w:val="Hyperlink"/>
          </w:rPr>
          <w:t xml:space="preserve">”</w:t>
        </w:r>
        <w:r>
          <w:rPr>
            <w:rStyle w:val="Hyperlink"/>
          </w:rPr>
          <w:t xml:space="preserve"> </w:t>
        </w:r>
        <w:r>
          <w:rPr>
            <w:rStyle w:val="Hyperlink"/>
          </w:rPr>
          <w:t xml:space="preserve">by Hourigan et al. (2019)</w:t>
        </w:r>
      </w:hyperlink>
    </w:p>
    <w:bookmarkEnd w:id="121"/>
    <w:bookmarkStart w:id="122" w:name="learning-objectives-4"/>
    <w:p>
      <w:pPr>
        <w:pStyle w:val="Heading3"/>
      </w:pPr>
      <w:r>
        <w:rPr>
          <w:rStyle w:val="SectionNumber"/>
        </w:rPr>
        <w:t xml:space="preserve">2.3.2</w:t>
      </w:r>
      <w:r>
        <w:tab/>
      </w:r>
      <w:r>
        <w:t xml:space="preserve">Learning Objectives</w:t>
      </w:r>
    </w:p>
    <w:p>
      <w:pPr>
        <w:numPr>
          <w:ilvl w:val="0"/>
          <w:numId w:val="1056"/>
        </w:numPr>
        <w:pStyle w:val="Compact"/>
      </w:pPr>
      <w:r>
        <w:t xml:space="preserve">Understand the purpose and experimental setup of the paper</w:t>
      </w:r>
    </w:p>
    <w:p>
      <w:pPr>
        <w:numPr>
          <w:ilvl w:val="0"/>
          <w:numId w:val="1056"/>
        </w:numPr>
        <w:pStyle w:val="Compact"/>
      </w:pPr>
      <w:r>
        <w:t xml:space="preserve">Understand the presented evidence (Figures and Tables) of the paper</w:t>
      </w:r>
    </w:p>
    <w:bookmarkEnd w:id="122"/>
    <w:bookmarkStart w:id="123" w:name="introduction-5"/>
    <w:p>
      <w:pPr>
        <w:pStyle w:val="Heading3"/>
      </w:pPr>
      <w:r>
        <w:rPr>
          <w:rStyle w:val="SectionNumber"/>
        </w:rPr>
        <w:t xml:space="preserve">2.3.3</w:t>
      </w:r>
      <w:r>
        <w:tab/>
      </w:r>
      <w:r>
        <w:t xml:space="preserve">Introduction</w:t>
      </w:r>
    </w:p>
    <w:p>
      <w:pPr>
        <w:pStyle w:val="FirstParagraph"/>
      </w:pPr>
      <w:r>
        <w:t xml:space="preserve">In this study, the effect of fecal transplantation on microbial composition and diversity in children with CDI is examined using short read shotgun metagenomics. Data visualization and taxonomic comparison between the samples was performed using R-based phyloseq, a tool you will use for 16S rDNA amplicon-seq analysis later in the course. Using phyloseq authors measure alpha diversity between samples, examine beta diversity with Principal Coordinate Analysis(PCoA) plots and use taxonomy barplots for comparing relative abundance of microbes.</w:t>
      </w:r>
    </w:p>
    <w:bookmarkEnd w:id="123"/>
    <w:bookmarkStart w:id="124" w:name="instructions-1"/>
    <w:p>
      <w:pPr>
        <w:pStyle w:val="Heading3"/>
      </w:pPr>
      <w:r>
        <w:rPr>
          <w:rStyle w:val="SectionNumber"/>
        </w:rPr>
        <w:t xml:space="preserve">2.3.4</w:t>
      </w:r>
      <w:r>
        <w:tab/>
      </w:r>
      <w:r>
        <w:t xml:space="preserve">Instructions</w:t>
      </w:r>
    </w:p>
    <w:p>
      <w:pPr>
        <w:pStyle w:val="FirstParagraph"/>
      </w:pPr>
      <w:r>
        <w:t xml:space="preserve">Based on the study, answer the following questions. The main text of the paper can be found below, in the</w:t>
      </w:r>
      <w:r>
        <w:t xml:space="preserve"> </w:t>
      </w:r>
      <w:r>
        <w:t xml:space="preserve">‘</w:t>
      </w:r>
      <w:r>
        <w:t xml:space="preserve">Resources</w:t>
      </w:r>
      <w:r>
        <w:t xml:space="preserve">’</w:t>
      </w:r>
      <w:r>
        <w:t xml:space="preserve"> </w:t>
      </w:r>
      <w:r>
        <w:t xml:space="preserve">section of this assignment.</w:t>
      </w:r>
    </w:p>
    <w:bookmarkEnd w:id="124"/>
    <w:bookmarkStart w:id="125" w:name="activity-1---overview-of-the-paper"/>
    <w:p>
      <w:pPr>
        <w:pStyle w:val="Heading3"/>
      </w:pPr>
      <w:r>
        <w:rPr>
          <w:rStyle w:val="SectionNumber"/>
        </w:rPr>
        <w:t xml:space="preserve">2.3.5</w:t>
      </w:r>
      <w:r>
        <w:tab/>
      </w:r>
      <w:r>
        <w:t xml:space="preserve">Activity 1 - Overview of the paper</w:t>
      </w:r>
    </w:p>
    <w:p>
      <w:pPr>
        <w:pStyle w:val="FirstParagraph"/>
      </w:pPr>
      <w:r>
        <w:rPr>
          <w:iCs/>
          <w:i/>
        </w:rPr>
        <w:t xml:space="preserve">Estimated time: 30 minutes</w:t>
      </w:r>
      <w:r>
        <w:t xml:space="preserve"> </w:t>
      </w:r>
      <w:r>
        <w:t xml:space="preserve">Determine the main objectives and purpose of the paper.</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purpose of this study?</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hypothesis in this study?</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Describe the knowledge gap. In essence, what did the scientific community not know that this study was trying to answer?</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What were the main conclusions the authors made in this study?</w:t>
            </w:r>
          </w:p>
        </w:tc>
      </w:tr>
      <w:tr>
        <w:tc>
          <w:tcPr/>
          <w:p>
            <w:pPr>
              <w:pStyle w:val="Compact"/>
              <w:jc w:val="left"/>
            </w:pPr>
          </w:p>
        </w:tc>
      </w:tr>
    </w:tbl>
    <w:p>
      <w:pPr>
        <w:pStyle w:val="BodyText"/>
      </w:pPr>
    </w:p>
    <w:bookmarkEnd w:id="125"/>
    <w:bookmarkStart w:id="130" w:name="X79a1c5953bce93f527c577d09a31e174a0dca84"/>
    <w:p>
      <w:pPr>
        <w:pStyle w:val="Heading3"/>
      </w:pPr>
      <w:r>
        <w:rPr>
          <w:rStyle w:val="SectionNumber"/>
        </w:rPr>
        <w:t xml:space="preserve">2.3.6</w:t>
      </w:r>
      <w:r>
        <w:tab/>
      </w:r>
      <w:r>
        <w:t xml:space="preserve">Activity 2 - Methods and Figure Analysis (in class and homework)</w:t>
      </w:r>
    </w:p>
    <w:p>
      <w:pPr>
        <w:pStyle w:val="FirstParagraph"/>
      </w:pPr>
      <w:r>
        <w:rPr>
          <w:iCs/>
          <w:i/>
        </w:rPr>
        <w:t xml:space="preserve">Estimated time: 45 minutes</w:t>
      </w:r>
    </w:p>
    <w:bookmarkStart w:id="126" w:name="X4d2dd1c27837ce92fb39d1b5ac256ed44ba63dd"/>
    <w:p>
      <w:pPr>
        <w:pStyle w:val="Heading4"/>
      </w:pPr>
      <w:r>
        <w:rPr>
          <w:rStyle w:val="SectionNumber"/>
        </w:rPr>
        <w:t xml:space="preserve">2.3.6.1</w:t>
      </w:r>
      <w:r>
        <w:tab/>
      </w:r>
      <w:r>
        <w:t xml:space="preserve">Activity 2.1 – Examine the Methods and Data presented in this study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Summarize one aspect of sample-associated metadata used for this study? e.g. What is the range of subjects’ age; what is the spectrum of subjects’ medical problems?</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Discuss one method or analysis used in this paper.</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Summarize one figure presented in this paper.</w:t>
            </w:r>
          </w:p>
        </w:tc>
      </w:tr>
      <w:tr>
        <w:tc>
          <w:tcPr/>
          <w:p>
            <w:pPr>
              <w:pStyle w:val="Compact"/>
              <w:jc w:val="left"/>
            </w:pPr>
          </w:p>
        </w:tc>
      </w:tr>
    </w:tbl>
    <w:p>
      <w:pPr>
        <w:pStyle w:val="BodyText"/>
      </w:pPr>
    </w:p>
    <w:bookmarkEnd w:id="126"/>
    <w:bookmarkStart w:id="127" w:name="activity-2.2---figures-and-a-table"/>
    <w:p>
      <w:pPr>
        <w:pStyle w:val="Heading4"/>
      </w:pPr>
      <w:r>
        <w:rPr>
          <w:rStyle w:val="SectionNumber"/>
        </w:rPr>
        <w:t xml:space="preserve">2.3.6.2</w:t>
      </w:r>
      <w:r>
        <w:tab/>
      </w:r>
      <w:r>
        <w:t xml:space="preserve">Activity 2.2 - Figures and a Table</w:t>
      </w:r>
    </w:p>
    <w:p>
      <w:pPr>
        <w:pStyle w:val="FirstParagraph"/>
      </w:pPr>
      <w:r>
        <w:rPr>
          <w:bCs/>
          <w:b/>
        </w:rPr>
        <w:t xml:space="preserve">Describe the method/approach used to generate this data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Method/Approach</w:t>
            </w:r>
          </w:p>
        </w:tc>
      </w:tr>
      <w:tr>
        <w:tc>
          <w:tcPr/>
          <w:p>
            <w:pPr>
              <w:pStyle w:val="Compact"/>
              <w:jc w:val="left"/>
            </w:pPr>
            <w:r>
              <w:t xml:space="preserve">Table 1</w:t>
            </w:r>
          </w:p>
        </w:tc>
        <w:tc>
          <w:tcPr/>
          <w:p>
            <w:pPr>
              <w:pStyle w:val="Compact"/>
            </w:pPr>
          </w:p>
        </w:tc>
      </w:tr>
      <w:tr>
        <w:tc>
          <w:tcPr/>
          <w:p>
            <w:pPr>
              <w:pStyle w:val="Compact"/>
              <w:jc w:val="left"/>
            </w:pPr>
            <w:r>
              <w:t xml:space="preserve">Fig. 2</w:t>
            </w:r>
          </w:p>
        </w:tc>
        <w:tc>
          <w:tcPr/>
          <w:p>
            <w:pPr>
              <w:pStyle w:val="Compact"/>
            </w:pPr>
          </w:p>
        </w:tc>
      </w:tr>
      <w:tr>
        <w:tc>
          <w:tcPr/>
          <w:p>
            <w:pPr>
              <w:pStyle w:val="Compact"/>
              <w:jc w:val="left"/>
            </w:pPr>
            <w:r>
              <w:t xml:space="preserve">Fig. 3A</w:t>
            </w:r>
          </w:p>
        </w:tc>
        <w:tc>
          <w:tcPr/>
          <w:p>
            <w:pPr>
              <w:pStyle w:val="Compact"/>
            </w:pPr>
          </w:p>
        </w:tc>
      </w:tr>
      <w:tr>
        <w:tc>
          <w:tcPr/>
          <w:p>
            <w:pPr>
              <w:pStyle w:val="Compact"/>
              <w:jc w:val="left"/>
            </w:pPr>
            <w:r>
              <w:t xml:space="preserve">Fig. 3B</w:t>
            </w:r>
          </w:p>
        </w:tc>
        <w:tc>
          <w:tcPr/>
          <w:p>
            <w:pPr>
              <w:pStyle w:val="Compact"/>
            </w:pPr>
          </w:p>
        </w:tc>
      </w:tr>
    </w:tbl>
    <w:p>
      <w:pPr>
        <w:pStyle w:val="BodyText"/>
      </w:pPr>
    </w:p>
    <w:p>
      <w:pPr>
        <w:pStyle w:val="BodyText"/>
      </w:pPr>
      <w:r>
        <w:rPr>
          <w:bCs/>
          <w:b/>
        </w:rPr>
        <w:t xml:space="preserve">Describe the main result/observation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Main result/Observation</w:t>
            </w:r>
          </w:p>
        </w:tc>
      </w:tr>
      <w:tr>
        <w:tc>
          <w:tcPr/>
          <w:p>
            <w:pPr>
              <w:pStyle w:val="Compact"/>
              <w:jc w:val="left"/>
            </w:pPr>
            <w:r>
              <w:t xml:space="preserve">Table 1</w:t>
            </w:r>
          </w:p>
        </w:tc>
        <w:tc>
          <w:tcPr/>
          <w:p>
            <w:pPr>
              <w:pStyle w:val="Compact"/>
            </w:pPr>
          </w:p>
        </w:tc>
      </w:tr>
      <w:tr>
        <w:tc>
          <w:tcPr/>
          <w:p>
            <w:pPr>
              <w:pStyle w:val="Compact"/>
              <w:jc w:val="left"/>
            </w:pPr>
            <w:r>
              <w:t xml:space="preserve">Fig. 2</w:t>
            </w:r>
          </w:p>
        </w:tc>
        <w:tc>
          <w:tcPr/>
          <w:p>
            <w:pPr>
              <w:pStyle w:val="Compact"/>
            </w:pPr>
          </w:p>
        </w:tc>
      </w:tr>
      <w:tr>
        <w:tc>
          <w:tcPr/>
          <w:p>
            <w:pPr>
              <w:pStyle w:val="Compact"/>
              <w:jc w:val="left"/>
            </w:pPr>
            <w:r>
              <w:t xml:space="preserve">Fig. 3A</w:t>
            </w:r>
          </w:p>
        </w:tc>
        <w:tc>
          <w:tcPr/>
          <w:p>
            <w:pPr>
              <w:pStyle w:val="Compact"/>
            </w:pPr>
          </w:p>
        </w:tc>
      </w:tr>
      <w:tr>
        <w:tc>
          <w:tcPr/>
          <w:p>
            <w:pPr>
              <w:pStyle w:val="Compact"/>
              <w:jc w:val="left"/>
            </w:pPr>
            <w:r>
              <w:t xml:space="preserve">Fig. 3B</w:t>
            </w:r>
          </w:p>
        </w:tc>
        <w:tc>
          <w:tcPr/>
          <w:p>
            <w:pPr>
              <w:pStyle w:val="Compact"/>
            </w:pPr>
          </w:p>
        </w:tc>
      </w:tr>
    </w:tbl>
    <w:p>
      <w:pPr>
        <w:pStyle w:val="BodyText"/>
      </w:pPr>
    </w:p>
    <w:bookmarkEnd w:id="127"/>
    <w:bookmarkStart w:id="128" w:name="activity-3-conclusions"/>
    <w:p>
      <w:pPr>
        <w:pStyle w:val="Heading4"/>
      </w:pPr>
      <w:r>
        <w:rPr>
          <w:rStyle w:val="SectionNumber"/>
        </w:rPr>
        <w:t xml:space="preserve">2.3.6.3</w:t>
      </w:r>
      <w:r>
        <w:tab/>
      </w:r>
      <w:r>
        <w:t xml:space="preserve">Activity 3 Conclusions</w:t>
      </w:r>
    </w:p>
    <w:p>
      <w:pPr>
        <w:pStyle w:val="FirstParagraph"/>
      </w:pPr>
      <w:r>
        <w:rPr>
          <w:iCs/>
          <w:i/>
        </w:rPr>
        <w:t xml:space="preserve">Estimated time: 10 min</w:t>
      </w:r>
    </w:p>
    <w:p>
      <w:pPr>
        <w:pStyle w:val="BodyText"/>
      </w:pPr>
      <w:r>
        <w:rPr>
          <w:bCs/>
          <w:b/>
        </w:rPr>
        <w:t xml:space="preserve">1. Compare your conclusions to author conclusions.</w:t>
      </w:r>
    </w:p>
    <w:p>
      <w:pPr>
        <w:numPr>
          <w:ilvl w:val="0"/>
          <w:numId w:val="1057"/>
        </w:numPr>
        <w:pStyle w:val="Compact"/>
      </w:pPr>
      <w:r>
        <w:t xml:space="preserve">How similar are the conclusions you came up with to the authors?</w:t>
      </w:r>
    </w:p>
    <w:p>
      <w:pPr>
        <w:numPr>
          <w:ilvl w:val="0"/>
          <w:numId w:val="1057"/>
        </w:numPr>
        <w:pStyle w:val="Compact"/>
      </w:pPr>
      <w:r>
        <w:t xml:space="preserve">Were there any differences in interpreting the data?</w:t>
      </w:r>
    </w:p>
    <w:p>
      <w:pPr>
        <w:numPr>
          <w:ilvl w:val="0"/>
          <w:numId w:val="1057"/>
        </w:numPr>
        <w:pStyle w:val="Compact"/>
      </w:pPr>
      <w:r>
        <w:t xml:space="preserve">Do you think they are over-stating their findings? Do you think their conclusions are accurate and appropriate?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Summarize one figure presented in this paper.</w:t>
            </w:r>
          </w:p>
        </w:tc>
      </w:tr>
      <w:tr>
        <w:tc>
          <w:tcPr/>
          <w:p>
            <w:pPr>
              <w:pStyle w:val="Compact"/>
              <w:jc w:val="left"/>
            </w:pPr>
          </w:p>
        </w:tc>
      </w:tr>
    </w:tbl>
    <w:p>
      <w:pPr>
        <w:pStyle w:val="BodyText"/>
      </w:pPr>
    </w:p>
    <w:bookmarkEnd w:id="128"/>
    <w:bookmarkStart w:id="129" w:name="activity-4-future-directions"/>
    <w:p>
      <w:pPr>
        <w:pStyle w:val="Heading4"/>
      </w:pPr>
      <w:r>
        <w:rPr>
          <w:rStyle w:val="SectionNumber"/>
        </w:rPr>
        <w:t xml:space="preserve">2.3.6.4</w:t>
      </w:r>
      <w:r>
        <w:tab/>
      </w:r>
      <w:r>
        <w:t xml:space="preserve">Activity 4 Future Directions</w:t>
      </w:r>
    </w:p>
    <w:p>
      <w:pPr>
        <w:pStyle w:val="FirstParagraph"/>
      </w:pPr>
      <w:r>
        <w:rPr>
          <w:iCs/>
          <w:i/>
        </w:rPr>
        <w:t xml:space="preserve">Estimated time: 10 min</w:t>
      </w:r>
    </w:p>
    <w:p>
      <w:pPr>
        <w:pStyle w:val="BodyText"/>
      </w:pPr>
      <w:r>
        <w:rPr>
          <w:bCs/>
          <w:b/>
        </w:rPr>
        <w:t xml:space="preserve">1. Scientific work builds on previous studies. What do you believe could be the next step to further the work these researchers did?</w:t>
      </w:r>
      <w:r>
        <w:t xml:space="preserve"> </w:t>
      </w:r>
      <w:r>
        <w:t xml:space="preserve">- What follow-up question(s) do you have for the authors?</w:t>
      </w:r>
    </w:p>
    <w:tbl>
      <w:tblPr>
        <w:tblStyle w:val="Table"/>
        <w:tblW w:type="auto" w:w="0"/>
        <w:tblLook w:firstRow="0" w:lastRow="0" w:firstColumn="0" w:lastColumn="0" w:noHBand="0" w:noVBand="0" w:val="0000"/>
        <w:jc w:val="start"/>
      </w:tblPr>
      <w:tblGrid>
        <w:gridCol w:w="7920"/>
      </w:tblGrid>
      <w:tr>
        <w:tc>
          <w:tcPr/>
          <w:p>
            <w:pPr>
              <w:pStyle w:val="Compact"/>
              <w:jc w:val="left"/>
            </w:pPr>
          </w:p>
        </w:tc>
      </w:tr>
    </w:tbl>
    <w:p>
      <w:pPr>
        <w:pStyle w:val="BodyText"/>
      </w:pPr>
      <w:r>
        <w:rPr>
          <w:bCs/>
          <w:b/>
        </w:rPr>
        <w:t xml:space="preserve">2. What is the impact of this research area in general (or this study in particular?)</w:t>
      </w:r>
      <w:r>
        <w:t xml:space="preserve"> </w:t>
      </w:r>
      <w:r>
        <w:t xml:space="preserve">- Do you believe further research in this area may benefit society? Can we build on what this study found?</w:t>
      </w:r>
    </w:p>
    <w:tbl>
      <w:tblPr>
        <w:tblStyle w:val="Table"/>
        <w:tblW w:type="auto" w:w="0"/>
        <w:tblLook w:firstRow="0" w:lastRow="0" w:firstColumn="0" w:lastColumn="0" w:noHBand="0" w:noVBand="0" w:val="0000"/>
        <w:jc w:val="start"/>
      </w:tblPr>
      <w:tblGrid>
        <w:gridCol w:w="7920"/>
      </w:tblGrid>
      <w:tr>
        <w:tc>
          <w:tcPr/>
          <w:p>
            <w:pPr>
              <w:pStyle w:val="Compact"/>
              <w:jc w:val="left"/>
            </w:pPr>
          </w:p>
        </w:tc>
      </w:tr>
    </w:tbl>
    <w:bookmarkEnd w:id="129"/>
    <w:bookmarkEnd w:id="130"/>
    <w:bookmarkStart w:id="131" w:name="grading-criteria-1"/>
    <w:p>
      <w:pPr>
        <w:pStyle w:val="Heading3"/>
      </w:pPr>
      <w:r>
        <w:rPr>
          <w:rStyle w:val="SectionNumber"/>
        </w:rPr>
        <w:t xml:space="preserve">2.3.7</w:t>
      </w:r>
      <w:r>
        <w:tab/>
      </w:r>
      <w:r>
        <w:t xml:space="preserve">Grading criteria</w:t>
      </w:r>
    </w:p>
    <w:p>
      <w:pPr>
        <w:pStyle w:val="FirstParagraph"/>
      </w:pPr>
      <w:r>
        <w:t xml:space="preserve">Download the assignment to your local computer as a .docx, complete it, and upload the assignment to your LMS (Blackboard, Canvas, Google Classroom).</w:t>
      </w:r>
    </w:p>
    <w:bookmarkEnd w:id="131"/>
    <w:bookmarkStart w:id="135" w:name="footnotes-4"/>
    <w:p>
      <w:pPr>
        <w:pStyle w:val="Heading3"/>
      </w:pPr>
      <w:r>
        <w:rPr>
          <w:rStyle w:val="SectionNumber"/>
        </w:rPr>
        <w:t xml:space="preserve">2.3.8</w:t>
      </w:r>
      <w:r>
        <w:tab/>
      </w:r>
      <w:r>
        <w:t xml:space="preserve">Footnotes</w:t>
      </w:r>
    </w:p>
    <w:bookmarkStart w:id="133" w:name="resources-8"/>
    <w:p>
      <w:pPr>
        <w:pStyle w:val="Heading4"/>
      </w:pPr>
      <w:r>
        <w:rPr>
          <w:rStyle w:val="SectionNumber"/>
        </w:rPr>
        <w:t xml:space="preserve">2.3.8.1</w:t>
      </w:r>
      <w:r>
        <w:tab/>
      </w:r>
      <w:r>
        <w:t xml:space="preserve">Resources</w:t>
      </w:r>
    </w:p>
    <w:p>
      <w:pPr>
        <w:numPr>
          <w:ilvl w:val="0"/>
          <w:numId w:val="1058"/>
        </w:numPr>
      </w:pPr>
      <w:hyperlink r:id="rId132">
        <w:r>
          <w:rPr>
            <w:rStyle w:val="Hyperlink"/>
          </w:rPr>
          <w:t xml:space="preserve">Google Doc</w:t>
        </w:r>
      </w:hyperlink>
    </w:p>
    <w:p>
      <w:pPr>
        <w:numPr>
          <w:ilvl w:val="0"/>
          <w:numId w:val="1058"/>
        </w:numPr>
      </w:pPr>
      <w:hyperlink r:id="rId107">
        <w:r>
          <w:rPr>
            <w:rStyle w:val="Hyperlink"/>
          </w:rPr>
          <w:t xml:space="preserve">Paper</w:t>
        </w:r>
      </w:hyperlink>
    </w:p>
    <w:bookmarkEnd w:id="133"/>
    <w:bookmarkStart w:id="134" w:name="contributions-and-affiliations-4"/>
    <w:p>
      <w:pPr>
        <w:pStyle w:val="Heading4"/>
      </w:pPr>
      <w:r>
        <w:rPr>
          <w:rStyle w:val="SectionNumber"/>
        </w:rPr>
        <w:t xml:space="preserve">2.3.8.2</w:t>
      </w:r>
      <w:r>
        <w:tab/>
      </w:r>
      <w:r>
        <w:t xml:space="preserve">Contributions and affiliations</w:t>
      </w:r>
    </w:p>
    <w:p>
      <w:pPr>
        <w:numPr>
          <w:ilvl w:val="0"/>
          <w:numId w:val="1059"/>
        </w:numPr>
        <w:pStyle w:val="Compact"/>
      </w:pPr>
      <w:r>
        <w:t xml:space="preserve">Valeriya Gaysinskaya, Johns Hopkins University</w:t>
      </w:r>
    </w:p>
    <w:p>
      <w:pPr>
        <w:numPr>
          <w:ilvl w:val="0"/>
          <w:numId w:val="1059"/>
        </w:numPr>
        <w:pStyle w:val="Compact"/>
      </w:pPr>
      <w:r>
        <w:t xml:space="preserve">Frederick Tan, Johns Hopkins University</w:t>
      </w:r>
    </w:p>
    <w:p>
      <w:pPr>
        <w:numPr>
          <w:ilvl w:val="0"/>
          <w:numId w:val="1059"/>
        </w:numPr>
        <w:pStyle w:val="Compact"/>
      </w:pPr>
      <w:r>
        <w:t xml:space="preserve">Sayumi York, Notre Dame of Maryland University</w:t>
      </w:r>
    </w:p>
    <w:bookmarkEnd w:id="134"/>
    <w:bookmarkEnd w:id="135"/>
    <w:bookmarkEnd w:id="136"/>
    <w:bookmarkEnd w:id="137"/>
    <w:bookmarkStart w:id="188" w:name="s-rrna-data-in-spreadsheets"/>
    <w:p>
      <w:pPr>
        <w:pStyle w:val="Heading1"/>
      </w:pPr>
      <w:r>
        <w:rPr>
          <w:rStyle w:val="SectionNumber"/>
        </w:rPr>
        <w:t xml:space="preserve">3</w:t>
      </w:r>
      <w:r>
        <w:tab/>
      </w:r>
      <w:r>
        <w:t xml:space="preserve">16S rRNA Data in spreadsheets</w:t>
      </w:r>
    </w:p>
    <w:bookmarkStart w:id="159" w:name="meet-the-miso-study"/>
    <w:p>
      <w:pPr>
        <w:pStyle w:val="Heading2"/>
      </w:pPr>
      <w:r>
        <w:rPr>
          <w:rStyle w:val="SectionNumber"/>
        </w:rPr>
        <w:t xml:space="preserve">3.1</w:t>
      </w:r>
      <w:r>
        <w:tab/>
      </w:r>
      <w:r>
        <w:t xml:space="preserve">Meet the MISO study</w:t>
      </w:r>
    </w:p>
    <w:p>
      <w:pPr>
        <w:pStyle w:val="FirstParagraph"/>
      </w:pPr>
      <w:r>
        <w:t xml:space="preserve">Let’s get prepared to do some research using 16S rRNA data! In this section, we’ll be exploring data from</w:t>
      </w:r>
      <w:r>
        <w:t xml:space="preserve"> </w:t>
      </w:r>
      <w:r>
        <w:rPr>
          <w:iCs/>
          <w:i/>
        </w:rPr>
        <w:t xml:space="preserve">Impact of a 7-day homogeneous diet on interpersonal variation in human gut microbiomes and metabolomes</w:t>
      </w:r>
      <w:r>
        <w:t xml:space="preserve"> </w:t>
      </w:r>
      <w:r>
        <w:t xml:space="preserve">by Guthrie et al. (2022). This study is one of many that explores the relationship between diet and the human gut microbiome and will help familiarize us with the format that 16S rRNA data takes. We’ll start slow and look at just a few lines of data in Google Sheets and then use phyloseq and DESeq2 in R to take our analysis to the next level.</w:t>
      </w:r>
    </w:p>
    <w:p>
      <w:pPr>
        <w:pStyle w:val="BodyText"/>
      </w:pPr>
      <w:r>
        <w:t xml:space="preserve">Human diet has been implicated heavily in the establishment and maintenance of the gut microbiome. For example, human babies undergo a drastic change in the gut microbiome following the transition to solid food.</w:t>
      </w:r>
    </w:p>
    <w:p>
      <w:pPr>
        <w:pStyle w:val="BodyText"/>
      </w:pPr>
      <w:r>
        <w:t xml:space="preserve">It’s difficult to capture the mechanisms and effects of diet on the gut microbiome given the sheer number of variables involved. The microbiome individuality and stability over time (MISO) study aimed to explore the connection between diet, microbiome, and metabolites by looking at the effect of feeding a standardized diet to people over 7 days.</w:t>
      </w:r>
    </w:p>
    <w:bookmarkStart w:id="141" w:name="miso-study-diet-and-sampling-schedule"/>
    <w:p>
      <w:pPr>
        <w:pStyle w:val="Heading3"/>
      </w:pPr>
      <w:r>
        <w:rPr>
          <w:rStyle w:val="SectionNumber"/>
        </w:rPr>
        <w:t xml:space="preserve">3.1.1</w:t>
      </w:r>
      <w:r>
        <w:tab/>
      </w:r>
      <w:r>
        <w:t xml:space="preserve">MISO study diet and sampling schedule</w:t>
      </w:r>
    </w:p>
    <w:p>
      <w:pPr>
        <w:pStyle w:val="FirstParagraph"/>
      </w:pPr>
      <w:r>
        <w:drawing>
          <wp:inline>
            <wp:extent cx="5334000" cy="3000375"/>
            <wp:effectExtent b="0" l="0" r="0" t="0"/>
            <wp:docPr descr="" title="" id="139" name="Picture"/>
            <a:graphic>
              <a:graphicData uri="http://schemas.openxmlformats.org/drawingml/2006/picture">
                <pic:pic>
                  <pic:nvPicPr>
                    <pic:cNvPr descr="16s-spreadsheets_files/figure-docx//1dEZtb0TgLbzhbr3HxQElwg8hENur2HMIzseg19OGd0g_g33d6fd7d4b6_0_27.png" id="140" name="Picture"/>
                    <pic:cNvPicPr>
                      <a:picLocks noChangeArrowheads="1" noChangeAspect="1"/>
                    </pic:cNvPicPr>
                  </pic:nvPicPr>
                  <pic:blipFill>
                    <a:blip r:embed="rId1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figure above shows the study design for the MISO study. You do not need to memorize all these details; feel free to refer to this page throughout the project:</w:t>
      </w:r>
    </w:p>
    <w:p>
      <w:pPr>
        <w:numPr>
          <w:ilvl w:val="0"/>
          <w:numId w:val="1060"/>
        </w:numPr>
        <w:pStyle w:val="Compact"/>
      </w:pPr>
      <w:r>
        <w:t xml:space="preserve">Participants eat their usual,</w:t>
      </w:r>
      <w:r>
        <w:t xml:space="preserve"> </w:t>
      </w:r>
      <w:r>
        <w:rPr>
          <w:bCs/>
          <w:b/>
        </w:rPr>
        <w:t xml:space="preserve">baseline diet (BD) for 14 days</w:t>
      </w:r>
    </w:p>
    <w:p>
      <w:pPr>
        <w:numPr>
          <w:ilvl w:val="0"/>
          <w:numId w:val="1060"/>
        </w:numPr>
        <w:pStyle w:val="Compact"/>
      </w:pPr>
      <w:r>
        <w:t xml:space="preserve">Participants all eat the same diet, the</w:t>
      </w:r>
      <w:r>
        <w:t xml:space="preserve"> </w:t>
      </w:r>
      <w:r>
        <w:rPr>
          <w:bCs/>
          <w:b/>
        </w:rPr>
        <w:t xml:space="preserve">homogenized diet (HD), for 7 days</w:t>
      </w:r>
    </w:p>
    <w:p>
      <w:pPr>
        <w:numPr>
          <w:ilvl w:val="0"/>
          <w:numId w:val="1060"/>
        </w:numPr>
        <w:pStyle w:val="Compact"/>
      </w:pPr>
      <w:r>
        <w:t xml:space="preserve">Participants return to their usual diet during the</w:t>
      </w:r>
      <w:r>
        <w:t xml:space="preserve"> </w:t>
      </w:r>
      <w:r>
        <w:rPr>
          <w:bCs/>
          <w:b/>
        </w:rPr>
        <w:t xml:space="preserve">washout (WO) period for 7 days</w:t>
      </w:r>
    </w:p>
    <w:p>
      <w:pPr>
        <w:pStyle w:val="FirstParagraph"/>
      </w:pPr>
      <w:r>
        <w:t xml:space="preserve">The study lasts a total of 28 days. Samples from the blood, stool, and urine, our metabolite and 16S rRNA data are taken at 5 different timepoints:</w:t>
      </w:r>
    </w:p>
    <w:p>
      <w:pPr>
        <w:numPr>
          <w:ilvl w:val="0"/>
          <w:numId w:val="1061"/>
        </w:numPr>
        <w:pStyle w:val="Compact"/>
      </w:pPr>
      <w:r>
        <w:rPr>
          <w:bCs/>
          <w:b/>
        </w:rPr>
        <w:t xml:space="preserve">Timepoint 1:</w:t>
      </w:r>
      <w:r>
        <w:t xml:space="preserve"> </w:t>
      </w:r>
      <w:r>
        <w:t xml:space="preserve">Day 0 (the start of the study)</w:t>
      </w:r>
    </w:p>
    <w:p>
      <w:pPr>
        <w:numPr>
          <w:ilvl w:val="0"/>
          <w:numId w:val="1061"/>
        </w:numPr>
        <w:pStyle w:val="Compact"/>
      </w:pPr>
      <w:r>
        <w:rPr>
          <w:bCs/>
          <w:b/>
        </w:rPr>
        <w:t xml:space="preserve">Timepoint 2:</w:t>
      </w:r>
      <w:r>
        <w:t xml:space="preserve"> </w:t>
      </w:r>
      <w:r>
        <w:t xml:space="preserve">Day 13</w:t>
      </w:r>
    </w:p>
    <w:p>
      <w:pPr>
        <w:numPr>
          <w:ilvl w:val="0"/>
          <w:numId w:val="1061"/>
        </w:numPr>
        <w:pStyle w:val="Compact"/>
      </w:pPr>
      <w:r>
        <w:rPr>
          <w:bCs/>
          <w:b/>
        </w:rPr>
        <w:t xml:space="preserve">Timepoint 3:</w:t>
      </w:r>
      <w:r>
        <w:t xml:space="preserve"> </w:t>
      </w:r>
      <w:r>
        <w:t xml:space="preserve">Day 17</w:t>
      </w:r>
    </w:p>
    <w:p>
      <w:pPr>
        <w:numPr>
          <w:ilvl w:val="0"/>
          <w:numId w:val="1061"/>
        </w:numPr>
        <w:pStyle w:val="Compact"/>
      </w:pPr>
      <w:r>
        <w:rPr>
          <w:bCs/>
          <w:b/>
        </w:rPr>
        <w:t xml:space="preserve">Timepoint 4:</w:t>
      </w:r>
      <w:r>
        <w:t xml:space="preserve"> </w:t>
      </w:r>
      <w:r>
        <w:t xml:space="preserve">Day 21</w:t>
      </w:r>
    </w:p>
    <w:p>
      <w:pPr>
        <w:numPr>
          <w:ilvl w:val="0"/>
          <w:numId w:val="1061"/>
        </w:numPr>
        <w:pStyle w:val="Compact"/>
      </w:pPr>
      <w:r>
        <w:rPr>
          <w:bCs/>
          <w:b/>
        </w:rPr>
        <w:t xml:space="preserve">Timepoint 5:</w:t>
      </w:r>
      <w:r>
        <w:t xml:space="preserve"> </w:t>
      </w:r>
      <w:r>
        <w:t xml:space="preserve">Day 28</w:t>
      </w:r>
    </w:p>
    <w:bookmarkEnd w:id="141"/>
    <w:bookmarkStart w:id="148" w:name="miso-study-variables-and-factors"/>
    <w:p>
      <w:pPr>
        <w:pStyle w:val="Heading3"/>
      </w:pPr>
      <w:r>
        <w:rPr>
          <w:rStyle w:val="SectionNumber"/>
        </w:rPr>
        <w:t xml:space="preserve">3.1.2</w:t>
      </w:r>
      <w:r>
        <w:tab/>
      </w:r>
      <w:r>
        <w:t xml:space="preserve">MISO study variables and factors</w:t>
      </w:r>
    </w:p>
    <w:p>
      <w:pPr>
        <w:pStyle w:val="FirstParagraph"/>
      </w:pPr>
      <w:r>
        <w:drawing>
          <wp:inline>
            <wp:extent cx="5334000" cy="3000375"/>
            <wp:effectExtent b="0" l="0" r="0" t="0"/>
            <wp:docPr descr="" title="" id="143" name="Picture"/>
            <a:graphic>
              <a:graphicData uri="http://schemas.openxmlformats.org/drawingml/2006/picture">
                <pic:pic>
                  <pic:nvPicPr>
                    <pic:cNvPr descr="16s-spreadsheets_files/figure-docx//1dEZtb0TgLbzhbr3HxQElwg8hENur2HMIzseg19OGd0g_g33d6fd7d4b6_0_61.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have a number of variables we can use in our analysis. Notice that the variables for the study and subjects are in lowercase. This is also how you will access these variables in R.</w:t>
      </w:r>
    </w:p>
    <w:bookmarkStart w:id="145" w:name="study-design-variables"/>
    <w:p>
      <w:pPr>
        <w:pStyle w:val="Heading4"/>
      </w:pPr>
      <w:r>
        <w:rPr>
          <w:rStyle w:val="SectionNumber"/>
        </w:rPr>
        <w:t xml:space="preserve">3.1.2.1</w:t>
      </w:r>
      <w:r>
        <w:tab/>
      </w:r>
      <w:r>
        <w:t xml:space="preserve">Study design variables</w:t>
      </w:r>
    </w:p>
    <w:tbl>
      <w:tblPr>
        <w:tblStyle w:val="Table"/>
        <w:tblW w:type="pct" w:w="5000"/>
        <w:tblLook w:firstRow="1" w:lastRow="0" w:firstColumn="0" w:lastColumn="0" w:noHBand="0" w:noVBand="0" w:val="0020"/>
        <w:jc w:val="start"/>
      </w:tblPr>
      <w:tblGrid>
        <w:gridCol w:w="1650"/>
        <w:gridCol w:w="4620"/>
        <w:gridCol w:w="1650"/>
      </w:tblGrid>
      <w:tr>
        <w:trPr>
          <w:tblHeader w:val="true"/>
        </w:trPr>
        <w:tc>
          <w:tcPr/>
          <w:p>
            <w:pPr>
              <w:pStyle w:val="Compact"/>
              <w:jc w:val="left"/>
            </w:pPr>
            <w:r>
              <w:t xml:space="preserve">Variable</w:t>
            </w:r>
          </w:p>
        </w:tc>
        <w:tc>
          <w:tcPr/>
          <w:p>
            <w:pPr>
              <w:pStyle w:val="Compact"/>
              <w:jc w:val="left"/>
            </w:pPr>
            <w:r>
              <w:t xml:space="preserve">What is it?</w:t>
            </w:r>
          </w:p>
        </w:tc>
        <w:tc>
          <w:tcPr/>
          <w:p>
            <w:pPr>
              <w:pStyle w:val="Compact"/>
              <w:jc w:val="right"/>
            </w:pPr>
            <w:r>
              <w:t xml:space="preserve">Factors</w:t>
            </w:r>
          </w:p>
        </w:tc>
      </w:tr>
      <w:tr>
        <w:tc>
          <w:tcPr/>
          <w:p>
            <w:pPr>
              <w:pStyle w:val="Compact"/>
              <w:jc w:val="left"/>
            </w:pPr>
            <w:r>
              <w:t xml:space="preserve">timepoint</w:t>
            </w:r>
          </w:p>
        </w:tc>
        <w:tc>
          <w:tcPr/>
          <w:p>
            <w:pPr>
              <w:pStyle w:val="Compact"/>
              <w:jc w:val="left"/>
            </w:pPr>
            <w:r>
              <w:t xml:space="preserve">The 5 samplings that occur on days 0, 13, 17, 21, and 28 coded as timepoints 1 through 5</w:t>
            </w:r>
          </w:p>
        </w:tc>
        <w:tc>
          <w:tcPr/>
          <w:p>
            <w:pPr>
              <w:pStyle w:val="Compact"/>
              <w:jc w:val="right"/>
            </w:pPr>
            <w:r>
              <w:t xml:space="preserve">1, 2, 3, 4, 5</w:t>
            </w:r>
          </w:p>
        </w:tc>
      </w:tr>
      <w:tr>
        <w:tc>
          <w:tcPr/>
          <w:p>
            <w:pPr>
              <w:pStyle w:val="Compact"/>
              <w:jc w:val="left"/>
            </w:pPr>
            <w:r>
              <w:t xml:space="preserve">diet</w:t>
            </w:r>
          </w:p>
        </w:tc>
        <w:tc>
          <w:tcPr/>
          <w:p>
            <w:pPr>
              <w:pStyle w:val="Compact"/>
              <w:jc w:val="left"/>
            </w:pPr>
            <w:r>
              <w:t xml:space="preserve">The diet the subject was on during the sampling</w:t>
            </w:r>
          </w:p>
        </w:tc>
        <w:tc>
          <w:tcPr/>
          <w:p>
            <w:pPr>
              <w:pStyle w:val="Compact"/>
              <w:jc w:val="right"/>
            </w:pPr>
            <w:r>
              <w:t xml:space="preserve">BD, HD, WO</w:t>
            </w:r>
          </w:p>
        </w:tc>
      </w:tr>
    </w:tbl>
    <w:bookmarkEnd w:id="145"/>
    <w:bookmarkStart w:id="146" w:name="subject-variables"/>
    <w:p>
      <w:pPr>
        <w:pStyle w:val="Heading4"/>
      </w:pPr>
      <w:r>
        <w:rPr>
          <w:rStyle w:val="SectionNumber"/>
        </w:rPr>
        <w:t xml:space="preserve">3.1.2.2</w:t>
      </w:r>
      <w:r>
        <w:tab/>
      </w:r>
      <w:r>
        <w:t xml:space="preserve">Subject variables</w:t>
      </w:r>
    </w:p>
    <w:tbl>
      <w:tblPr>
        <w:tblStyle w:val="Table"/>
        <w:tblW w:type="pct" w:w="5000"/>
        <w:tblLook w:firstRow="1" w:lastRow="0" w:firstColumn="0" w:lastColumn="0" w:noHBand="0" w:noVBand="0" w:val="0020"/>
        <w:jc w:val="start"/>
      </w:tblPr>
      <w:tblGrid>
        <w:gridCol w:w="1440"/>
        <w:gridCol w:w="2880"/>
        <w:gridCol w:w="3600"/>
      </w:tblGrid>
      <w:tr>
        <w:trPr>
          <w:tblHeader w:val="true"/>
        </w:trPr>
        <w:tc>
          <w:tcPr/>
          <w:p>
            <w:pPr>
              <w:pStyle w:val="Compact"/>
              <w:jc w:val="left"/>
            </w:pPr>
            <w:r>
              <w:t xml:space="preserve">Variable</w:t>
            </w:r>
          </w:p>
        </w:tc>
        <w:tc>
          <w:tcPr/>
          <w:p>
            <w:pPr>
              <w:pStyle w:val="Compact"/>
              <w:jc w:val="left"/>
            </w:pPr>
            <w:r>
              <w:t xml:space="preserve">What is it?</w:t>
            </w:r>
          </w:p>
        </w:tc>
        <w:tc>
          <w:tcPr/>
          <w:p>
            <w:pPr>
              <w:pStyle w:val="Compact"/>
              <w:jc w:val="right"/>
            </w:pPr>
            <w:r>
              <w:t xml:space="preserve">Factors</w:t>
            </w:r>
          </w:p>
        </w:tc>
      </w:tr>
      <w:tr>
        <w:tc>
          <w:tcPr/>
          <w:p>
            <w:pPr>
              <w:pStyle w:val="Compact"/>
              <w:jc w:val="left"/>
            </w:pPr>
            <w:r>
              <w:t xml:space="preserve">subject</w:t>
            </w:r>
          </w:p>
        </w:tc>
        <w:tc>
          <w:tcPr/>
          <w:p>
            <w:pPr>
              <w:pStyle w:val="Compact"/>
              <w:jc w:val="left"/>
            </w:pPr>
            <w:r>
              <w:t xml:space="preserve">A unique ID given to each subject (participant)</w:t>
            </w:r>
          </w:p>
        </w:tc>
        <w:tc>
          <w:tcPr/>
          <w:p>
            <w:pPr>
              <w:pStyle w:val="Compact"/>
              <w:jc w:val="right"/>
            </w:pPr>
            <w:r>
              <w:t xml:space="preserve">S## (ex. S02 is subject 2. Note that while there are a total of 21 subjects in the study, but their subject numbers are not 1 through 20</w:t>
            </w:r>
          </w:p>
        </w:tc>
      </w:tr>
      <w:tr>
        <w:tc>
          <w:tcPr/>
          <w:p>
            <w:pPr>
              <w:pStyle w:val="Compact"/>
              <w:jc w:val="left"/>
            </w:pPr>
            <w:r>
              <w:t xml:space="preserve">sample</w:t>
            </w:r>
          </w:p>
        </w:tc>
        <w:tc>
          <w:tcPr/>
          <w:p>
            <w:pPr>
              <w:pStyle w:val="Compact"/>
              <w:jc w:val="left"/>
            </w:pPr>
            <w:r>
              <w:t xml:space="preserve">A unique ID given to every sample taken during the study that includes the subject and timepoint of the sample</w:t>
            </w:r>
          </w:p>
        </w:tc>
        <w:tc>
          <w:tcPr/>
          <w:p>
            <w:pPr>
              <w:pStyle w:val="Compact"/>
              <w:jc w:val="right"/>
            </w:pPr>
            <w:r>
              <w:t xml:space="preserve">MISO-Subject##-Sample# (ex. MISO1-S02-1 is the sample from subject 2 at timepoint 1)</w:t>
            </w:r>
          </w:p>
        </w:tc>
      </w:tr>
      <w:tr>
        <w:tc>
          <w:tcPr/>
          <w:p>
            <w:pPr>
              <w:pStyle w:val="Compact"/>
              <w:jc w:val="left"/>
            </w:pPr>
            <w:r>
              <w:t xml:space="preserve">gender</w:t>
            </w:r>
          </w:p>
        </w:tc>
        <w:tc>
          <w:tcPr/>
          <w:p>
            <w:pPr>
              <w:pStyle w:val="Compact"/>
              <w:jc w:val="left"/>
            </w:pPr>
            <w:r>
              <w:t xml:space="preserve">The gender of the subject</w:t>
            </w:r>
          </w:p>
        </w:tc>
        <w:tc>
          <w:tcPr/>
          <w:p>
            <w:pPr>
              <w:pStyle w:val="Compact"/>
              <w:jc w:val="right"/>
            </w:pPr>
            <w:r>
              <w:t xml:space="preserve">M, F. All subjects were cisgender</w:t>
            </w:r>
          </w:p>
        </w:tc>
      </w:tr>
      <w:tr>
        <w:tc>
          <w:tcPr/>
          <w:p>
            <w:pPr>
              <w:pStyle w:val="Compact"/>
              <w:jc w:val="left"/>
            </w:pPr>
            <w:r>
              <w:t xml:space="preserve">age</w:t>
            </w:r>
          </w:p>
        </w:tc>
        <w:tc>
          <w:tcPr/>
          <w:p>
            <w:pPr>
              <w:pStyle w:val="Compact"/>
              <w:jc w:val="left"/>
            </w:pPr>
            <w:r>
              <w:t xml:space="preserve">The age in years of the subject</w:t>
            </w:r>
          </w:p>
        </w:tc>
        <w:tc>
          <w:tcPr/>
          <w:p>
            <w:pPr>
              <w:pStyle w:val="Compact"/>
              <w:jc w:val="right"/>
            </w:pPr>
            <w:r>
              <w:t xml:space="preserve">A continuous variable from 23 to 75 years old</w:t>
            </w:r>
          </w:p>
        </w:tc>
      </w:tr>
      <w:tr>
        <w:tc>
          <w:tcPr/>
          <w:p>
            <w:pPr>
              <w:pStyle w:val="Compact"/>
              <w:jc w:val="left"/>
            </w:pPr>
            <w:r>
              <w:t xml:space="preserve">bsa</w:t>
            </w:r>
          </w:p>
        </w:tc>
        <w:tc>
          <w:tcPr/>
          <w:p>
            <w:pPr>
              <w:pStyle w:val="Compact"/>
              <w:jc w:val="left"/>
            </w:pPr>
            <w:r>
              <w:t xml:space="preserve">Body surface area; a measure of body size</w:t>
            </w:r>
          </w:p>
        </w:tc>
        <w:tc>
          <w:tcPr/>
          <w:p>
            <w:pPr>
              <w:pStyle w:val="Compact"/>
              <w:jc w:val="right"/>
            </w:pPr>
            <w:r>
              <w:t xml:space="preserve">A continuous variable from 1.6 to 2.8</w:t>
            </w:r>
          </w:p>
        </w:tc>
      </w:tr>
    </w:tbl>
    <w:bookmarkEnd w:id="146"/>
    <w:bookmarkStart w:id="147" w:name="metabolite-variables"/>
    <w:p>
      <w:pPr>
        <w:pStyle w:val="Heading4"/>
      </w:pPr>
      <w:r>
        <w:rPr>
          <w:rStyle w:val="SectionNumber"/>
        </w:rPr>
        <w:t xml:space="preserve">3.1.2.3</w:t>
      </w:r>
      <w:r>
        <w:tab/>
      </w:r>
      <w:r>
        <w:t xml:space="preserve">Metabolite variables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What is it?</w:t>
            </w:r>
          </w:p>
        </w:tc>
        <w:tc>
          <w:tcPr/>
          <w:p>
            <w:pPr>
              <w:pStyle w:val="Compact"/>
              <w:jc w:val="right"/>
            </w:pPr>
            <w:r>
              <w:t xml:space="preserve">Factors</w:t>
            </w:r>
          </w:p>
        </w:tc>
      </w:tr>
      <w:tr>
        <w:tc>
          <w:tcPr/>
          <w:p>
            <w:pPr>
              <w:pStyle w:val="Compact"/>
              <w:jc w:val="left"/>
            </w:pPr>
            <w:r>
              <w:t xml:space="preserve">Creatinine</w:t>
            </w:r>
          </w:p>
        </w:tc>
        <w:tc>
          <w:tcPr/>
          <w:p>
            <w:pPr>
              <w:pStyle w:val="Compact"/>
              <w:jc w:val="left"/>
            </w:pPr>
            <w:r>
              <w:t xml:space="preserve">Creatinine</w:t>
            </w:r>
          </w:p>
        </w:tc>
        <w:tc>
          <w:tcPr/>
          <w:p>
            <w:pPr>
              <w:pStyle w:val="Compact"/>
              <w:jc w:val="right"/>
            </w:pPr>
            <w:r>
              <w:t xml:space="preserve">A continuous variable from 1072 to 3971</w:t>
            </w:r>
          </w:p>
        </w:tc>
      </w:tr>
      <w:tr>
        <w:tc>
          <w:tcPr/>
          <w:p>
            <w:pPr>
              <w:pStyle w:val="Compact"/>
              <w:jc w:val="left"/>
            </w:pPr>
            <w:r>
              <w:t xml:space="preserve">PCS</w:t>
            </w:r>
          </w:p>
        </w:tc>
        <w:tc>
          <w:tcPr/>
          <w:p>
            <w:pPr>
              <w:pStyle w:val="Compact"/>
              <w:jc w:val="left"/>
            </w:pPr>
            <w:r>
              <w:rPr>
                <w:iCs/>
                <w:i/>
              </w:rPr>
              <w:t xml:space="preserve">p</w:t>
            </w:r>
            <w:r>
              <w:t xml:space="preserve">-cresol sulfate</w:t>
            </w:r>
          </w:p>
        </w:tc>
        <w:tc>
          <w:tcPr/>
          <w:p>
            <w:pPr>
              <w:pStyle w:val="Compact"/>
              <w:jc w:val="right"/>
            </w:pPr>
            <w:r>
              <w:t xml:space="preserve">A continuous variable from 2 to 95</w:t>
            </w:r>
          </w:p>
        </w:tc>
      </w:tr>
      <w:tr>
        <w:tc>
          <w:tcPr/>
          <w:p>
            <w:pPr>
              <w:pStyle w:val="Compact"/>
              <w:jc w:val="left"/>
            </w:pPr>
            <w:r>
              <w:t xml:space="preserve">IS</w:t>
            </w:r>
          </w:p>
        </w:tc>
        <w:tc>
          <w:tcPr/>
          <w:p>
            <w:pPr>
              <w:pStyle w:val="Compact"/>
              <w:jc w:val="left"/>
            </w:pPr>
            <w:r>
              <w:t xml:space="preserve">Indoxyl sulfate</w:t>
            </w:r>
          </w:p>
        </w:tc>
        <w:tc>
          <w:tcPr/>
          <w:p>
            <w:pPr>
              <w:pStyle w:val="Compact"/>
              <w:jc w:val="right"/>
            </w:pPr>
            <w:r>
              <w:t xml:space="preserve">A continuous variable from 3 to 58</w:t>
            </w:r>
          </w:p>
        </w:tc>
      </w:tr>
      <w:tr>
        <w:tc>
          <w:tcPr/>
          <w:p>
            <w:pPr>
              <w:pStyle w:val="Compact"/>
              <w:jc w:val="left"/>
            </w:pPr>
            <w:r>
              <w:t xml:space="preserve">HIPP</w:t>
            </w:r>
          </w:p>
        </w:tc>
        <w:tc>
          <w:tcPr/>
          <w:p>
            <w:pPr>
              <w:pStyle w:val="Compact"/>
              <w:jc w:val="left"/>
            </w:pPr>
            <w:r>
              <w:t xml:space="preserve">Hippuric acid</w:t>
            </w:r>
          </w:p>
        </w:tc>
        <w:tc>
          <w:tcPr/>
          <w:p>
            <w:pPr>
              <w:pStyle w:val="Compact"/>
              <w:jc w:val="right"/>
            </w:pPr>
            <w:r>
              <w:t xml:space="preserve">A continuous variable from 16 to 1119</w:t>
            </w:r>
          </w:p>
        </w:tc>
      </w:tr>
      <w:tr>
        <w:tc>
          <w:tcPr/>
          <w:p>
            <w:pPr>
              <w:pStyle w:val="Compact"/>
              <w:jc w:val="left"/>
            </w:pPr>
            <w:r>
              <w:t xml:space="preserve">PAG</w:t>
            </w:r>
          </w:p>
        </w:tc>
        <w:tc>
          <w:tcPr/>
          <w:p>
            <w:pPr>
              <w:pStyle w:val="Compact"/>
              <w:jc w:val="left"/>
            </w:pPr>
            <w:r>
              <w:t xml:space="preserve">Phenylacetylglutamine</w:t>
            </w:r>
          </w:p>
        </w:tc>
        <w:tc>
          <w:tcPr/>
          <w:p>
            <w:pPr>
              <w:pStyle w:val="Compact"/>
              <w:jc w:val="right"/>
            </w:pPr>
            <w:r>
              <w:t xml:space="preserve">A continuous variable from 16 to 318</w:t>
            </w:r>
          </w:p>
        </w:tc>
      </w:tr>
    </w:tbl>
    <w:bookmarkEnd w:id="147"/>
    <w:bookmarkEnd w:id="148"/>
    <w:bookmarkStart w:id="155" w:name="amplicon-sequence-variants-asvs-data"/>
    <w:p>
      <w:pPr>
        <w:pStyle w:val="Heading3"/>
      </w:pPr>
      <w:r>
        <w:rPr>
          <w:rStyle w:val="SectionNumber"/>
        </w:rPr>
        <w:t xml:space="preserve">3.1.3</w:t>
      </w:r>
      <w:r>
        <w:tab/>
      </w:r>
      <w:r>
        <w:t xml:space="preserve">Amplicon sequence variants (ASVs) data</w:t>
      </w:r>
    </w:p>
    <w:p>
      <w:pPr>
        <w:pStyle w:val="FirstParagraph"/>
      </w:pPr>
      <w:r>
        <w:t xml:space="preserve">Finally we have our microbe count data, or our</w:t>
      </w:r>
      <w:r>
        <w:t xml:space="preserve"> </w:t>
      </w:r>
      <w:r>
        <w:rPr>
          <w:iCs/>
          <w:i/>
        </w:rPr>
        <w:t xml:space="preserve">Amplicon Sequence Variants (ASVs)</w:t>
      </w:r>
      <w:r>
        <w:t xml:space="preserve">. Each ASV is a unique sequences that differs by as little as a single nucleotide from other ASVs and represents a specific microbe. We have assigned taxonomy to these microbes, but not all microbes have taxonomic data through the species level. These missing fields will appear as NA in the data.</w:t>
      </w:r>
    </w:p>
    <w:p>
      <w:pPr>
        <w:pStyle w:val="BodyText"/>
      </w:pPr>
      <w:r>
        <w:drawing>
          <wp:inline>
            <wp:extent cx="5334000" cy="3000375"/>
            <wp:effectExtent b="0" l="0" r="0" t="0"/>
            <wp:docPr descr="" title="" id="150" name="Picture"/>
            <a:graphic>
              <a:graphicData uri="http://schemas.openxmlformats.org/drawingml/2006/picture">
                <pic:pic>
                  <pic:nvPicPr>
                    <pic:cNvPr descr="16s-spreadsheets_files/figure-docx//1dEZtb0TgLbzhbr3HxQElwg8hENur2HMIzseg19OGd0g_g33d6fd7d4b6_0_136.png" id="151" name="Picture"/>
                    <pic:cNvPicPr>
                      <a:picLocks noChangeArrowheads="1" noChangeAspect="1"/>
                    </pic:cNvPicPr>
                  </pic:nvPicPr>
                  <pic:blipFill>
                    <a:blip r:embed="rId1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may see the word Operational Taxonomic Unit (OTU) in phyloseq and in other published studies.</w:t>
      </w:r>
      <w:r>
        <w:t xml:space="preserve"> </w:t>
      </w:r>
      <w:r>
        <w:rPr>
          <w:bCs/>
          <w:b/>
        </w:rPr>
        <w:t xml:space="preserve">ASVs and OTUs have some differences between them but they both represent distinct units of microbial taxa</w:t>
      </w:r>
      <w:r>
        <w:t xml:space="preserve">, although they have some key differences.</w:t>
      </w:r>
    </w:p>
    <w:p>
      <w:pPr>
        <w:pStyle w:val="BodyText"/>
      </w:pPr>
      <w:r>
        <w:t xml:space="preserve">Each sample is associated with a count of each ASV. We can compare the counts of these ASVs between samples to determine differences in the composition of the microbiome between samples.</w:t>
      </w:r>
    </w:p>
    <w:p>
      <w:pPr>
        <w:pStyle w:val="BodyText"/>
      </w:pPr>
      <w:r>
        <w:drawing>
          <wp:inline>
            <wp:extent cx="5334000" cy="3000375"/>
            <wp:effectExtent b="0" l="0" r="0" t="0"/>
            <wp:docPr descr="" title="" id="153" name="Picture"/>
            <a:graphic>
              <a:graphicData uri="http://schemas.openxmlformats.org/drawingml/2006/picture">
                <pic:pic>
                  <pic:nvPicPr>
                    <pic:cNvPr descr="16s-spreadsheets_files/figure-docx//1dEZtb0TgLbzhbr3HxQElwg8hENur2HMIzseg19OGd0g_g33d6fd7d4b6_0_113.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bookmarkEnd w:id="155"/>
    <w:bookmarkStart w:id="158" w:name="footnotes-5"/>
    <w:p>
      <w:pPr>
        <w:pStyle w:val="Heading3"/>
      </w:pPr>
      <w:r>
        <w:rPr>
          <w:rStyle w:val="SectionNumber"/>
        </w:rPr>
        <w:t xml:space="preserve">3.1.4</w:t>
      </w:r>
      <w:r>
        <w:tab/>
      </w:r>
      <w:r>
        <w:t xml:space="preserve">Footnotes</w:t>
      </w:r>
    </w:p>
    <w:bookmarkStart w:id="156" w:name="resources-9"/>
    <w:p>
      <w:pPr>
        <w:pStyle w:val="Heading4"/>
      </w:pPr>
      <w:r>
        <w:rPr>
          <w:rStyle w:val="SectionNumber"/>
        </w:rPr>
        <w:t xml:space="preserve">3.1.4.1</w:t>
      </w:r>
      <w:r>
        <w:tab/>
      </w:r>
      <w:r>
        <w:t xml:space="preserve">Resources</w:t>
      </w:r>
    </w:p>
    <w:bookmarkEnd w:id="156"/>
    <w:bookmarkStart w:id="157" w:name="contributions-and-affiliations-5"/>
    <w:p>
      <w:pPr>
        <w:pStyle w:val="Heading4"/>
      </w:pPr>
      <w:r>
        <w:rPr>
          <w:rStyle w:val="SectionNumber"/>
        </w:rPr>
        <w:t xml:space="preserve">3.1.4.2</w:t>
      </w:r>
      <w:r>
        <w:tab/>
      </w:r>
      <w:r>
        <w:t xml:space="preserve">Contributions and affiliations</w:t>
      </w:r>
    </w:p>
    <w:p>
      <w:pPr>
        <w:numPr>
          <w:ilvl w:val="0"/>
          <w:numId w:val="1062"/>
        </w:numPr>
        <w:pStyle w:val="Compact"/>
      </w:pPr>
      <w:r>
        <w:t xml:space="preserve">Sayumi York, Notre Dame of Maryland University</w:t>
      </w:r>
    </w:p>
    <w:bookmarkEnd w:id="157"/>
    <w:bookmarkEnd w:id="158"/>
    <w:bookmarkEnd w:id="159"/>
    <w:bookmarkStart w:id="160" w:name="exploring-16s-rrna-data-in-spreadsheets"/>
    <w:p>
      <w:pPr>
        <w:pStyle w:val="Heading2"/>
      </w:pPr>
      <w:r>
        <w:rPr>
          <w:rStyle w:val="SectionNumber"/>
        </w:rPr>
        <w:t xml:space="preserve">3.2</w:t>
      </w:r>
      <w:r>
        <w:tab/>
      </w:r>
      <w:r>
        <w:t xml:space="preserve">Exploring 16S rRNA data in spreadsheets</w:t>
      </w:r>
    </w:p>
    <w:p>
      <w:pPr>
        <w:pStyle w:val="FirstParagraph"/>
      </w:pPr>
      <w:r>
        <w:t xml:space="preserve">In this section we will look at 16S data in a spreadsheet via Google Sheets. We will familiarize ourselves with the format of 16S data and manipulate just a few ASVs to better understand what kinds of research questions we can ask with the data. Through this exercise we will also come to understand the necessity of more powerful analysis tools in R; sorting through trends in a spreadsheet could take years!</w:t>
      </w:r>
    </w:p>
    <w:bookmarkEnd w:id="160"/>
    <w:bookmarkStart w:id="165" w:name="Xa4adffd64d730ef6c179c36c2b3e5f3e9720550"/>
    <w:p>
      <w:pPr>
        <w:pStyle w:val="Heading2"/>
      </w:pPr>
      <w:r>
        <w:rPr>
          <w:rStyle w:val="SectionNumber"/>
        </w:rPr>
        <w:t xml:space="preserve">3.3</w:t>
      </w:r>
      <w:r>
        <w:tab/>
      </w:r>
      <w:r>
        <w:t xml:space="preserve">Lecture - Introducing 16S rRNA Data Using Spreadsheets</w:t>
      </w:r>
    </w:p>
    <w:p>
      <w:pPr>
        <w:pStyle w:val="FirstParagraph"/>
      </w:pPr>
      <w:r>
        <w:rPr>
          <w:iCs/>
          <w:i/>
        </w:rPr>
        <w:t xml:space="preserve">Estimated time:</w:t>
      </w:r>
      <w:r>
        <w:rPr>
          <w:iCs/>
          <w:i/>
        </w:rPr>
        <w:t xml:space="preserve"> </w:t>
      </w:r>
    </w:p>
    <w:p>
      <w:pPr>
        <w:pStyle w:val="BodyText"/>
      </w:pPr>
      <w:r>
        <w:drawing>
          <wp:inline>
            <wp:extent cx="5334000" cy="3000375"/>
            <wp:effectExtent b="0" l="0" r="0" t="0"/>
            <wp:docPr descr="" title="" id="162" name="Picture"/>
            <a:graphic>
              <a:graphicData uri="http://schemas.openxmlformats.org/drawingml/2006/picture">
                <pic:pic>
                  <pic:nvPicPr>
                    <pic:cNvPr descr="16s-spreadsheets_files/figure-docx//14E26SbzaLEDJxAaZ1qjaZcJehAI8q2GHuTokNPKKDTc_g35f391192_00.png" id="163" name="Picture"/>
                    <pic:cNvPicPr>
                      <a:picLocks noChangeArrowheads="1" noChangeAspect="1"/>
                    </pic:cNvPicPr>
                  </pic:nvPicPr>
                  <pic:blipFill>
                    <a:blip r:embed="rId16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64">
        <w:r>
          <w:rPr>
            <w:rStyle w:val="Hyperlink"/>
          </w:rPr>
          <w:t xml:space="preserve">Lecture</w:t>
        </w:r>
      </w:hyperlink>
    </w:p>
    <w:bookmarkEnd w:id="165"/>
    <w:bookmarkStart w:id="187" w:name="X9e46f28e70cb752bc00517ef07657b846892b91"/>
    <w:p>
      <w:pPr>
        <w:pStyle w:val="Heading2"/>
      </w:pPr>
      <w:r>
        <w:rPr>
          <w:rStyle w:val="SectionNumber"/>
        </w:rPr>
        <w:t xml:space="preserve">3.4</w:t>
      </w:r>
      <w:r>
        <w:tab/>
      </w:r>
      <w:r>
        <w:t xml:space="preserve">Activity - Introducing 16S rRNA Data Using Spreadsheets</w:t>
      </w:r>
    </w:p>
    <w:bookmarkStart w:id="167" w:name="purpose-6"/>
    <w:p>
      <w:pPr>
        <w:pStyle w:val="Heading3"/>
      </w:pPr>
      <w:r>
        <w:rPr>
          <w:rStyle w:val="SectionNumber"/>
        </w:rPr>
        <w:t xml:space="preserve">3.4.1</w:t>
      </w:r>
      <w:r>
        <w:tab/>
      </w:r>
      <w:r>
        <w:t xml:space="preserve">Purpose</w:t>
      </w:r>
    </w:p>
    <w:p>
      <w:pPr>
        <w:pStyle w:val="FirstParagraph"/>
      </w:pPr>
      <w:r>
        <w:t xml:space="preserve">To explore bacterial diversity based on 16S rRNA gene sequencing using data from the</w:t>
      </w:r>
      <w:r>
        <w:t xml:space="preserve"> </w:t>
      </w:r>
      <w:r>
        <w:t xml:space="preserve">“</w:t>
      </w:r>
      <w:r>
        <w:t xml:space="preserve">Impact of a 7-day homogeneous diet on interpersonal variation in human gut microbiomes and metabolomes</w:t>
      </w:r>
      <w:r>
        <w:t xml:space="preserve">”</w:t>
      </w:r>
      <w:r>
        <w:t xml:space="preserve"> </w:t>
      </w:r>
      <w:r>
        <w:t xml:space="preserve">by Guthrie et al., 2023. This study is also referred to as the MISO study for</w:t>
      </w:r>
      <w:r>
        <w:t xml:space="preserve"> </w:t>
      </w:r>
      <w:r>
        <w:t xml:space="preserve">“</w:t>
      </w:r>
      <w:r>
        <w:t xml:space="preserve">Microbiome Individuality and Stability Over Time</w:t>
      </w:r>
      <w:r>
        <w:t xml:space="preserve">”</w:t>
      </w:r>
      <w:r>
        <w:t xml:space="preserve"> </w:t>
      </w:r>
      <w:r>
        <w:t xml:space="preserve">because the study aims to understand variation (or stability) of microbiomes in individuals.</w:t>
      </w:r>
    </w:p>
    <w:p>
      <w:pPr>
        <w:pStyle w:val="BodyText"/>
      </w:pPr>
      <w:r>
        <w:t xml:space="preserve">This spreadsheet activity aims to orient you towards understanding the data and metadata content of this study. In subsequent activities, you will explore and analyze this data using the R/Bioconductor package phyloseq. Google Sheets and R are both useful for doing different analyses, so keep in mind the tools at your disposal and what will be the most efficient way to answer your research questions.</w:t>
      </w:r>
    </w:p>
    <w:p>
      <w:pPr>
        <w:pStyle w:val="BodyText"/>
      </w:pPr>
      <w:r>
        <w:rPr>
          <w:bCs/>
          <w:b/>
        </w:rPr>
        <w:t xml:space="preserve">Please note that this activity takes place in Google Sheets.</w:t>
      </w:r>
      <w:r>
        <w:t xml:space="preserve"> </w:t>
      </w:r>
      <w:r>
        <w:t xml:space="preserve">It is possible to do the same analysis in Microsoft Excel although the individual steps you will take are different. To help make things easier for everyone, we strongly recommend everyone uses Google Sheets; all our instructions will be specific to Sheets. Students who do not have a Google-associated email address can sign up for a free Gmail account and gain access to Google Sheets this way.</w:t>
      </w:r>
    </w:p>
    <w:p>
      <w:pPr>
        <w:pStyle w:val="BodyText"/>
      </w:pPr>
      <w:r>
        <w:rPr>
          <w:bCs/>
          <w:b/>
        </w:rPr>
        <w:t xml:space="preserve">A Google Sheets cheatsheet that covers the necessary steps for this activity is available in our</w:t>
      </w:r>
      <w:r>
        <w:rPr>
          <w:bCs/>
          <w:b/>
        </w:rPr>
        <w:t xml:space="preserve"> </w:t>
      </w:r>
      <w:hyperlink r:id="rId166">
        <w:r>
          <w:rPr>
            <w:rStyle w:val="Hyperlink"/>
            <w:bCs/>
            <w:b/>
          </w:rPr>
          <w:t xml:space="preserve">Spreadsheets 101</w:t>
        </w:r>
      </w:hyperlink>
      <w:r>
        <w:rPr>
          <w:bCs/>
          <w:b/>
        </w:rPr>
        <w:t xml:space="preserve"> </w:t>
      </w:r>
      <w:r>
        <w:rPr>
          <w:bCs/>
          <w:b/>
        </w:rPr>
        <w:t xml:space="preserve">guide.</w:t>
      </w:r>
      <w:r>
        <w:t xml:space="preserve"> </w:t>
      </w:r>
      <w:r>
        <w:t xml:space="preserve">Students who are not experienced using spreadsheet software should note that the instructions build on prior steps.</w:t>
      </w:r>
    </w:p>
    <w:bookmarkEnd w:id="167"/>
    <w:bookmarkStart w:id="168" w:name="learning-objectives-5"/>
    <w:p>
      <w:pPr>
        <w:pStyle w:val="Heading3"/>
      </w:pPr>
      <w:r>
        <w:rPr>
          <w:rStyle w:val="SectionNumber"/>
        </w:rPr>
        <w:t xml:space="preserve">3.4.2</w:t>
      </w:r>
      <w:r>
        <w:tab/>
      </w:r>
      <w:r>
        <w:t xml:space="preserve">Learning objectives</w:t>
      </w:r>
    </w:p>
    <w:p>
      <w:pPr>
        <w:numPr>
          <w:ilvl w:val="0"/>
          <w:numId w:val="1063"/>
        </w:numPr>
        <w:pStyle w:val="Compact"/>
      </w:pPr>
      <w:r>
        <w:t xml:space="preserve">Explore Amplicon Sequence Variants (ASVs) through the taxonomy profile of select ASVs, and sample metadata for a subset of ASVs.</w:t>
      </w:r>
    </w:p>
    <w:p>
      <w:pPr>
        <w:numPr>
          <w:ilvl w:val="0"/>
          <w:numId w:val="1063"/>
        </w:numPr>
        <w:pStyle w:val="Compact"/>
      </w:pPr>
      <w:r>
        <w:t xml:space="preserve">Ask research questions based on data and metadata</w:t>
      </w:r>
    </w:p>
    <w:p>
      <w:pPr>
        <w:numPr>
          <w:ilvl w:val="0"/>
          <w:numId w:val="1064"/>
        </w:numPr>
        <w:pStyle w:val="Compact"/>
      </w:pPr>
      <w:r>
        <w:t xml:space="preserve">How many different microbes (ASVs) are there in a given sample?</w:t>
      </w:r>
    </w:p>
    <w:p>
      <w:pPr>
        <w:numPr>
          <w:ilvl w:val="0"/>
          <w:numId w:val="1064"/>
        </w:numPr>
        <w:pStyle w:val="Compact"/>
      </w:pPr>
      <w:r>
        <w:t xml:space="preserve">Is there an even abundance of microbes (ASVs) in a sample or are there a few that dominate?</w:t>
      </w:r>
    </w:p>
    <w:p>
      <w:pPr>
        <w:numPr>
          <w:ilvl w:val="0"/>
          <w:numId w:val="1064"/>
        </w:numPr>
        <w:pStyle w:val="Compact"/>
      </w:pPr>
      <w:r>
        <w:t xml:space="preserve">How varied are ASVs and their abundance across subjects?</w:t>
      </w:r>
    </w:p>
    <w:p>
      <w:pPr>
        <w:numPr>
          <w:ilvl w:val="0"/>
          <w:numId w:val="1064"/>
        </w:numPr>
        <w:pStyle w:val="Compact"/>
      </w:pPr>
      <w:r>
        <w:t xml:space="preserve">How varied are ASVs and their abundance across diets?</w:t>
      </w:r>
    </w:p>
    <w:bookmarkEnd w:id="168"/>
    <w:bookmarkStart w:id="169" w:name="introduction-6"/>
    <w:p>
      <w:pPr>
        <w:pStyle w:val="Heading3"/>
      </w:pPr>
      <w:r>
        <w:rPr>
          <w:rStyle w:val="SectionNumber"/>
        </w:rPr>
        <w:t xml:space="preserve">3.4.3</w:t>
      </w:r>
      <w:r>
        <w:tab/>
      </w:r>
      <w:r>
        <w:t xml:space="preserve">Introduction</w:t>
      </w:r>
    </w:p>
    <w:p>
      <w:pPr>
        <w:pStyle w:val="FirstParagraph"/>
      </w:pPr>
      <w:r>
        <w:t xml:space="preserve">The most popular sequencing technique for the analysis of bacterial diversity is targeted sequencing, or sequencing of a specific gene (or region of a gene, e.g. a hypervariable region of the bacterial 16S ribosomal rRNA gene) using Polymerase Chain Reaction (PCR) to create sequences called amplicons. Sequence variation in the resulting amplicons creates Amplicon Sequence Variants (ASVs). ASVs varying from as little as one single nucleotide are defined as separate ASVs and as little as 1% difference in ASV sequence can be associated with different species. In this activity you will be exploring ASVs generated with sequencing 250 nucleotides (nt) Illumina sequencing, where Amplicon sequence variants (ASVs) were identified.</w:t>
      </w:r>
    </w:p>
    <w:bookmarkEnd w:id="169"/>
    <w:bookmarkStart w:id="172" w:name="Xaa0d1fbde33bae56a2031a1e7d334da13785e1c"/>
    <w:p>
      <w:pPr>
        <w:pStyle w:val="Heading3"/>
      </w:pPr>
      <w:r>
        <w:rPr>
          <w:rStyle w:val="SectionNumber"/>
        </w:rPr>
        <w:t xml:space="preserve">3.4.4</w:t>
      </w:r>
      <w:r>
        <w:tab/>
      </w:r>
      <w:r>
        <w:t xml:space="preserve">Activity 1 – Quick data overview based on 1 sample</w:t>
      </w:r>
    </w:p>
    <w:p>
      <w:pPr>
        <w:pStyle w:val="FirstParagraph"/>
      </w:pPr>
      <w:r>
        <w:rPr>
          <w:iCs/>
          <w:i/>
        </w:rPr>
        <w:t xml:space="preserve">Estimated time: 10 min</w:t>
      </w:r>
    </w:p>
    <w:p>
      <w:pPr>
        <w:pStyle w:val="BodyText"/>
      </w:pPr>
      <w:r>
        <w:t xml:space="preserve">Although the full dataset contains 105 samples from 21 subjects and 5 timepoints (representing 3 dietary conditions), in this activity we will familiarize ourselves with the data by exploring data from 1 sample only.</w:t>
      </w:r>
    </w:p>
    <w:bookmarkStart w:id="171" w:name="X831cde4a382edecbe3380b97771df7523800efd"/>
    <w:p>
      <w:pPr>
        <w:pStyle w:val="Heading4"/>
      </w:pPr>
      <w:r>
        <w:rPr>
          <w:rStyle w:val="SectionNumber"/>
        </w:rPr>
        <w:t xml:space="preserve">3.4.4.1</w:t>
      </w:r>
      <w:r>
        <w:tab/>
      </w:r>
      <w:r>
        <w:t xml:space="preserve">Activity 1-1. Explore data contents using one sample only, namely MISO1-S02-1 (subject 2, timepoint 1).</w:t>
      </w:r>
    </w:p>
    <w:p>
      <w:pPr>
        <w:pStyle w:val="FirstParagraph"/>
      </w:pPr>
      <w:r>
        <w:t xml:space="preserve">Access</w:t>
      </w:r>
      <w:r>
        <w:t xml:space="preserve"> </w:t>
      </w:r>
      <w:hyperlink r:id="rId170">
        <w:r>
          <w:rPr>
            <w:rStyle w:val="Hyperlink"/>
          </w:rPr>
          <w:t xml:space="preserve">‘</w:t>
        </w:r>
        <w:r>
          <w:rPr>
            <w:rStyle w:val="Hyperlink"/>
          </w:rPr>
          <w:t xml:space="preserve">MISO1-S02-1</w:t>
        </w:r>
        <w:r>
          <w:rPr>
            <w:rStyle w:val="Hyperlink"/>
          </w:rPr>
          <w:t xml:space="preserve">’</w:t>
        </w:r>
      </w:hyperlink>
      <w:r>
        <w:t xml:space="preserve"> </w:t>
      </w:r>
      <w:r>
        <w:t xml:space="preserve">file and open it with Google Sheets.</w:t>
      </w:r>
    </w:p>
    <w:p>
      <w:pPr>
        <w:numPr>
          <w:ilvl w:val="0"/>
          <w:numId w:val="1065"/>
        </w:numPr>
        <w:pStyle w:val="Compact"/>
      </w:pPr>
      <w:r>
        <w:t xml:space="preserve">Rows = ASVs</w:t>
      </w:r>
    </w:p>
    <w:p>
      <w:pPr>
        <w:numPr>
          <w:ilvl w:val="0"/>
          <w:numId w:val="1065"/>
        </w:numPr>
        <w:pStyle w:val="Compact"/>
      </w:pPr>
      <w:r>
        <w:t xml:space="preserve">Columns = Samples and taxonomy:</w:t>
      </w:r>
    </w:p>
    <w:p>
      <w:pPr>
        <w:numPr>
          <w:ilvl w:val="1"/>
          <w:numId w:val="1066"/>
        </w:numPr>
        <w:pStyle w:val="Compact"/>
      </w:pPr>
      <w:r>
        <w:t xml:space="preserve">Col A = ASV id</w:t>
      </w:r>
    </w:p>
    <w:p>
      <w:pPr>
        <w:numPr>
          <w:ilvl w:val="1"/>
          <w:numId w:val="1066"/>
        </w:numPr>
        <w:pStyle w:val="Compact"/>
      </w:pPr>
      <w:r>
        <w:t xml:space="preserve">Cols B-H = Taxonomic information</w:t>
      </w:r>
    </w:p>
    <w:p>
      <w:pPr>
        <w:numPr>
          <w:ilvl w:val="1"/>
          <w:numId w:val="1066"/>
        </w:numPr>
        <w:pStyle w:val="Compact"/>
      </w:pPr>
      <w:r>
        <w:t xml:space="preserve">Col I = ASV counts (for sample MISO1-SO2-1)</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1-1.1 How many microbes (ASVs) are there?</w:t>
            </w:r>
            <w:r>
              <w:t xml:space="preserve"> </w:t>
            </w:r>
            <w:r>
              <w:t xml:space="preserve">This is the # of rows there are in the spreadsheet. Scroll down to the bottom of the sheet and look at the row number or select column A and see the count of all the cells in a row at the bottom right of the window. Remember to not count the header row.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1-1.2 How many microbes are there in this sample?</w:t>
            </w:r>
            <w:r>
              <w:t xml:space="preserve"> </w:t>
            </w:r>
            <w:r>
              <w:t xml:space="preserve">In other words, what is the total number of ASVs per sample?</w:t>
            </w:r>
          </w:p>
        </w:tc>
      </w:tr>
    </w:tbl>
    <w:p>
      <w:pPr>
        <w:numPr>
          <w:ilvl w:val="0"/>
          <w:numId w:val="1067"/>
        </w:numPr>
      </w:pPr>
      <w:r>
        <w:t xml:space="preserve">We can count cells with a specific condition using the following formula: =COUNTIF(CELLS,</w:t>
      </w:r>
      <w:r>
        <w:t xml:space="preserve"> </w:t>
      </w:r>
      <w:r>
        <w:t xml:space="preserve">“</w:t>
      </w:r>
      <w:r>
        <w:t xml:space="preserve">&lt;&gt;0</w:t>
      </w:r>
      <w:r>
        <w:t xml:space="preserve">”</w:t>
      </w:r>
      <w:r>
        <w:t xml:space="preserve">), where CELLS is replaced by the range of cells you want to use in the calculation.</w:t>
      </w:r>
    </w:p>
    <w:p>
      <w:pPr>
        <w:numPr>
          <w:ilvl w:val="0"/>
          <w:numId w:val="1067"/>
        </w:numPr>
      </w:pPr>
      <w:r>
        <w:t xml:space="preserve">For example, for this sample (MISO1-S02-1) in cell J1 enter the formula =COUNTIF(I2:I2185,</w:t>
      </w:r>
      <w:r>
        <w:t xml:space="preserve"> </w:t>
      </w:r>
      <w:r>
        <w:t xml:space="preserve">“</w:t>
      </w:r>
      <w:r>
        <w:t xml:space="preserve">&lt;&gt;0</w:t>
      </w:r>
      <w:r>
        <w:t xml:space="preserve">”</w:t>
      </w:r>
      <w:r>
        <w:t xml:space="preserve">). This formula says, count cells in the range between I2 and I2185 that are not equal to 0. Note that we do not include I1 in the calculation as that is the name of the sample name.</w:t>
      </w:r>
      <w:r>
        <w:t xml:space="preserve"> </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 Microbes: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1-1.3 What taxonomy is associated with ASV1? Include all taxonomic ranks, even those that are listed as NA.</w:t>
            </w:r>
          </w:p>
        </w:tc>
      </w:tr>
      <w:tr>
        <w:tc>
          <w:tcPr/>
          <w:p>
            <w:pPr>
              <w:pStyle w:val="Compact"/>
              <w:jc w:val="left"/>
            </w:pPr>
            <w:r>
              <w:t xml:space="preserve">Kingdom:</w:t>
            </w:r>
          </w:p>
        </w:tc>
      </w:tr>
      <w:tr>
        <w:tc>
          <w:tcPr/>
          <w:p>
            <w:pPr>
              <w:pStyle w:val="Compact"/>
              <w:jc w:val="left"/>
            </w:pPr>
            <w:r>
              <w:t xml:space="preserve">Phylum:</w:t>
            </w:r>
          </w:p>
        </w:tc>
      </w:tr>
      <w:tr>
        <w:tc>
          <w:tcPr/>
          <w:p>
            <w:pPr>
              <w:pStyle w:val="Compact"/>
              <w:jc w:val="left"/>
            </w:pPr>
            <w:r>
              <w:t xml:space="preserve">Class:</w:t>
            </w:r>
          </w:p>
        </w:tc>
      </w:tr>
      <w:tr>
        <w:tc>
          <w:tcPr/>
          <w:p>
            <w:pPr>
              <w:pStyle w:val="Compact"/>
              <w:jc w:val="left"/>
            </w:pPr>
            <w:r>
              <w:t xml:space="preserve">Order:</w:t>
            </w:r>
          </w:p>
        </w:tc>
      </w:tr>
      <w:tr>
        <w:tc>
          <w:tcPr/>
          <w:p>
            <w:pPr>
              <w:pStyle w:val="Compact"/>
              <w:jc w:val="left"/>
            </w:pPr>
            <w:r>
              <w:t xml:space="preserve">Family:</w:t>
            </w:r>
          </w:p>
        </w:tc>
      </w:tr>
      <w:tr>
        <w:tc>
          <w:tcPr/>
          <w:p>
            <w:pPr>
              <w:pStyle w:val="Compact"/>
              <w:jc w:val="left"/>
            </w:pPr>
            <w:r>
              <w:t xml:space="preserve">Genus:</w:t>
            </w:r>
          </w:p>
        </w:tc>
      </w:tr>
      <w:tr>
        <w:tc>
          <w:tcPr/>
          <w:p>
            <w:pPr>
              <w:pStyle w:val="Compact"/>
              <w:jc w:val="left"/>
            </w:pPr>
            <w:r>
              <w:t xml:space="preserve">Species: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1-1.4 What taxonomy is associated with ASV2? Include all taxonomic ranks, even those that are listed as NA.</w:t>
            </w:r>
          </w:p>
        </w:tc>
      </w:tr>
      <w:tr>
        <w:tc>
          <w:tcPr/>
          <w:p>
            <w:pPr>
              <w:pStyle w:val="Compact"/>
              <w:jc w:val="left"/>
            </w:pPr>
            <w:r>
              <w:t xml:space="preserve">Kingdom:</w:t>
            </w:r>
          </w:p>
        </w:tc>
      </w:tr>
      <w:tr>
        <w:tc>
          <w:tcPr/>
          <w:p>
            <w:pPr>
              <w:pStyle w:val="Compact"/>
              <w:jc w:val="left"/>
            </w:pPr>
            <w:r>
              <w:t xml:space="preserve">Phylum:</w:t>
            </w:r>
          </w:p>
        </w:tc>
      </w:tr>
      <w:tr>
        <w:tc>
          <w:tcPr/>
          <w:p>
            <w:pPr>
              <w:pStyle w:val="Compact"/>
              <w:jc w:val="left"/>
            </w:pPr>
            <w:r>
              <w:t xml:space="preserve">Class:</w:t>
            </w:r>
          </w:p>
        </w:tc>
      </w:tr>
      <w:tr>
        <w:tc>
          <w:tcPr/>
          <w:p>
            <w:pPr>
              <w:pStyle w:val="Compact"/>
              <w:jc w:val="left"/>
            </w:pPr>
            <w:r>
              <w:t xml:space="preserve">Order:</w:t>
            </w:r>
          </w:p>
        </w:tc>
      </w:tr>
      <w:tr>
        <w:tc>
          <w:tcPr/>
          <w:p>
            <w:pPr>
              <w:pStyle w:val="Compact"/>
              <w:jc w:val="left"/>
            </w:pPr>
            <w:r>
              <w:t xml:space="preserve">Family:</w:t>
            </w:r>
          </w:p>
        </w:tc>
      </w:tr>
      <w:tr>
        <w:tc>
          <w:tcPr/>
          <w:p>
            <w:pPr>
              <w:pStyle w:val="Compact"/>
              <w:jc w:val="left"/>
            </w:pPr>
            <w:r>
              <w:t xml:space="preserve">Genus:</w:t>
            </w:r>
          </w:p>
        </w:tc>
      </w:tr>
      <w:tr>
        <w:tc>
          <w:tcPr/>
          <w:p>
            <w:pPr>
              <w:pStyle w:val="Compact"/>
              <w:jc w:val="left"/>
            </w:pPr>
            <w:r>
              <w:t xml:space="preserve">Species:</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1-1.5 For sample 1 (MISO1-S02-1) what is the count of ASV 1?</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1-1.6 For sample 1 (MISO1-S02-1) what is the count of ASV 2?</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1-1.7 Are ASVs equally abundant throughout the sample? Plot the ASV count distribution (range of ASV abundance) for sample MISO1-S02-1.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 Make a bar graph of ASV distribution.</w:t>
            </w:r>
            <w:r>
              <w:t xml:space="preserve"> </w:t>
            </w:r>
            <w:r>
              <w:t xml:space="preserve">Your chart should have the same format as the example.</w:t>
            </w:r>
          </w:p>
        </w:tc>
      </w:tr>
    </w:tbl>
    <w:p>
      <w:pPr>
        <w:numPr>
          <w:ilvl w:val="0"/>
          <w:numId w:val="1068"/>
        </w:numPr>
      </w:pPr>
      <w:r>
        <w:t xml:space="preserve">To make a bar graph with this data, hold the Command key on a Mac or Ctrl on Windows to select data that are not immediately next to each other and then click on columns A (</w:t>
      </w:r>
      <w:r>
        <w:t xml:space="preserve">“</w:t>
      </w:r>
      <w:r>
        <w:t xml:space="preserve">ASV</w:t>
      </w:r>
      <w:r>
        <w:t xml:space="preserve">”</w:t>
      </w:r>
      <w:r>
        <w:t xml:space="preserve">, which contains ASV ids) and I (</w:t>
      </w:r>
      <w:r>
        <w:t xml:space="preserve"> </w:t>
      </w:r>
      <w:r>
        <w:t xml:space="preserve">“</w:t>
      </w:r>
      <w:r>
        <w:t xml:space="preserve">MISO1-S02-1</w:t>
      </w:r>
      <w:r>
        <w:t xml:space="preserve">”</w:t>
      </w:r>
      <w:r>
        <w:t xml:space="preserve">, which contains counts)</w:t>
      </w:r>
    </w:p>
    <w:p>
      <w:pPr>
        <w:numPr>
          <w:ilvl w:val="0"/>
          <w:numId w:val="1068"/>
        </w:numPr>
      </w:pPr>
      <w:r>
        <w:t xml:space="preserve">In the menu at the top of the screen, select Insert &gt; Chart.</w:t>
      </w:r>
    </w:p>
    <w:p>
      <w:pPr>
        <w:numPr>
          <w:ilvl w:val="0"/>
          <w:numId w:val="1068"/>
        </w:numPr>
      </w:pPr>
      <w:r>
        <w:t xml:space="preserve">Make sure your graph is a bar plot: click on the 3 dots in the top right corner of the plot → edit chart and in the Chart editor, under Chart type, selecting Column Chart.</w:t>
      </w:r>
    </w:p>
    <w:p>
      <w:pPr>
        <w:numPr>
          <w:ilvl w:val="0"/>
          <w:numId w:val="1068"/>
        </w:numPr>
      </w:pPr>
      <w:r>
        <w:t xml:space="preserve">Copy the bar graph into a box below: click on the 3 dots in the top right corner of the plot, select copy chart, then, paste it below.</w:t>
      </w:r>
    </w:p>
    <w:p>
      <w:pPr>
        <w:numPr>
          <w:ilvl w:val="0"/>
          <w:numId w:val="1068"/>
        </w:numPr>
      </w:pPr>
      <w:r>
        <w:t xml:space="preserve">Your graph should look similar to the example graph with the ASVs on the x-axis and counts on the y-axis (although the Y axis is titled the same name of the MISO sample, since this is the name of the column).</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Insert graph 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B) What is the ASV with the highest abundance (count) in sample 1?</w:t>
            </w:r>
            <w:r>
              <w:t xml:space="preserve"> </w:t>
            </w:r>
            <w:r>
              <w:t xml:space="preserve">To find this answer hover over the tallest bar in your ASV distribution plot from activity at its highest point.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 Describe the pattern of abundance in ASVs for this sample.</w:t>
            </w:r>
            <w:r>
              <w:t xml:space="preserve"> </w:t>
            </w:r>
            <w:r>
              <w:t xml:space="preserve">Is the abundance of ASVs evenly distributed (left in the example graph) where each ASV is approximately the same abundance (count) or is the abundance of ASVs unevenly distributed (right in the example graph), where some ASVs have very high and/or very low counts?</w:t>
            </w:r>
          </w:p>
        </w:tc>
      </w:tr>
      <w:tr>
        <w:tc>
          <w:tcPr/>
          <w:p>
            <w:pPr>
              <w:pStyle w:val="Compact"/>
              <w:jc w:val="left"/>
            </w:pPr>
          </w:p>
        </w:tc>
      </w:tr>
    </w:tbl>
    <w:bookmarkEnd w:id="171"/>
    <w:bookmarkEnd w:id="172"/>
    <w:bookmarkStart w:id="176" w:name="Xe0a69a9212b769e6c2500824c8f02943646fd62"/>
    <w:p>
      <w:pPr>
        <w:pStyle w:val="Heading3"/>
      </w:pPr>
      <w:r>
        <w:rPr>
          <w:rStyle w:val="SectionNumber"/>
        </w:rPr>
        <w:t xml:space="preserve">3.4.5</w:t>
      </w:r>
      <w:r>
        <w:tab/>
      </w:r>
      <w:r>
        <w:t xml:space="preserve">Activity 2 – Explore variation between individuals</w:t>
      </w:r>
    </w:p>
    <w:p>
      <w:pPr>
        <w:pStyle w:val="FirstParagraph"/>
      </w:pPr>
      <w:r>
        <w:rPr>
          <w:iCs/>
          <w:i/>
        </w:rPr>
        <w:t xml:space="preserve">Estimated time: 10 min</w:t>
      </w:r>
    </w:p>
    <w:p>
      <w:pPr>
        <w:pStyle w:val="BodyText"/>
      </w:pPr>
      <w:r>
        <w:t xml:space="preserve">One aspect of the Guthrie et al. study is the extent to which diet contributes to interpersonal microbiome variation (variation in microbiome between individuals).</w:t>
      </w:r>
      <w:r>
        <w:t xml:space="preserve"> </w:t>
      </w:r>
      <w:r>
        <w:rPr>
          <w:bCs/>
          <w:b/>
        </w:rPr>
        <w:t xml:space="preserve">How does what you eat affect your gut microbiome?</w:t>
      </w:r>
    </w:p>
    <w:p>
      <w:pPr>
        <w:pStyle w:val="BodyText"/>
      </w:pPr>
      <w:r>
        <w:rPr>
          <w:bCs/>
          <w:b/>
        </w:rPr>
        <w:t xml:space="preserve">To this end, authors standardized the diet for all individuals with the same diet to evaluate how much of an effect the diet has on the microbiome.</w:t>
      </w:r>
      <w:r>
        <w:t xml:space="preserve"> </w:t>
      </w:r>
      <w:r>
        <w:t xml:space="preserve">If people all eat the same diet, will their gut microbiome become more similar to each other? The study period was 28 days long and had 3 dietary conditions:</w:t>
      </w:r>
    </w:p>
    <w:p>
      <w:pPr>
        <w:numPr>
          <w:ilvl w:val="0"/>
          <w:numId w:val="1069"/>
        </w:numPr>
        <w:pStyle w:val="Compact"/>
      </w:pPr>
      <w:r>
        <w:rPr>
          <w:bCs/>
          <w:b/>
        </w:rPr>
        <w:t xml:space="preserve">BD (Baseline diet)</w:t>
      </w:r>
      <w:r>
        <w:t xml:space="preserve">: which lasted 14 days (2 time points collected) and has participants eating what they usually eat.</w:t>
      </w:r>
    </w:p>
    <w:p>
      <w:pPr>
        <w:numPr>
          <w:ilvl w:val="0"/>
          <w:numId w:val="1069"/>
        </w:numPr>
        <w:pStyle w:val="Compact"/>
      </w:pPr>
      <w:r>
        <w:rPr>
          <w:bCs/>
          <w:b/>
        </w:rPr>
        <w:t xml:space="preserve">HD (Homogenized diet)</w:t>
      </w:r>
      <w:r>
        <w:t xml:space="preserve">: which lasted 7 days (2 time points collected), and has all participants on the same diet</w:t>
      </w:r>
    </w:p>
    <w:p>
      <w:pPr>
        <w:numPr>
          <w:ilvl w:val="0"/>
          <w:numId w:val="1069"/>
        </w:numPr>
        <w:pStyle w:val="Compact"/>
      </w:pPr>
      <w:r>
        <w:rPr>
          <w:bCs/>
          <w:b/>
        </w:rPr>
        <w:t xml:space="preserve">WO (washout diet)</w:t>
      </w:r>
      <w:r>
        <w:t xml:space="preserve">: which lasted for 7 days where participants choose their own diet again</w:t>
      </w:r>
    </w:p>
    <w:p>
      <w:pPr>
        <w:pStyle w:val="FirstParagraph"/>
      </w:pPr>
      <w:r>
        <w:rPr>
          <w:bCs/>
          <w:b/>
        </w:rPr>
        <w:t xml:space="preserve">To explore variation between individuals, here we simplify the dietary variation to a single condition, WO.</w:t>
      </w:r>
    </w:p>
    <w:p>
      <w:pPr>
        <w:numPr>
          <w:ilvl w:val="0"/>
          <w:numId w:val="1070"/>
        </w:numPr>
      </w:pPr>
      <w:r>
        <w:t xml:space="preserve">For this activity, the data file</w:t>
      </w:r>
      <w:r>
        <w:t xml:space="preserve"> </w:t>
      </w:r>
      <w:hyperlink r:id="rId173">
        <w:r>
          <w:rPr>
            <w:rStyle w:val="Hyperlink"/>
          </w:rPr>
          <w:t xml:space="preserve">MISO_WO</w:t>
        </w:r>
      </w:hyperlink>
      <w:r>
        <w:t xml:space="preserve"> </w:t>
      </w:r>
      <w:r>
        <w:t xml:space="preserve">contains samples pre-filtered for WO condition only (and excludes samples corresponding to BD and HD).</w:t>
      </w:r>
    </w:p>
    <w:p>
      <w:pPr>
        <w:numPr>
          <w:ilvl w:val="0"/>
          <w:numId w:val="1070"/>
        </w:numPr>
      </w:pPr>
      <w:r>
        <w:t xml:space="preserve">Since there is only 1 WO datapoint per individual, each WO sample corresponds to a different individual, so you should see 21 samples.</w:t>
      </w:r>
    </w:p>
    <w:bookmarkStart w:id="174" w:name="X9376faab03f12c2bf3d4a1a46987838618b4ed3"/>
    <w:p>
      <w:pPr>
        <w:pStyle w:val="Heading4"/>
      </w:pPr>
      <w:r>
        <w:rPr>
          <w:rStyle w:val="SectionNumber"/>
        </w:rPr>
        <w:t xml:space="preserve">3.4.5.1</w:t>
      </w:r>
      <w:r>
        <w:tab/>
      </w:r>
      <w:r>
        <w:t xml:space="preserve">Activity 2-1 - What are the most common ASVs between individuals?</w:t>
      </w:r>
    </w:p>
    <w:p>
      <w:pPr>
        <w:pStyle w:val="FirstParagraph"/>
      </w:pPr>
      <w:r>
        <w:t xml:space="preserve">IMPORTANT: An ASV is associated with an individual if it is NOT a zero. Zero means that particular ASV was not found in the individual, so you need to exclude zeroes from your calculations.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 Calculate the number of samples associated with each ASV. Record first 5 values below.</w:t>
            </w:r>
          </w:p>
        </w:tc>
      </w:tr>
    </w:tbl>
    <w:p>
      <w:pPr>
        <w:numPr>
          <w:ilvl w:val="0"/>
          <w:numId w:val="1071"/>
        </w:numPr>
        <w:pStyle w:val="Compact"/>
      </w:pPr>
      <w:r>
        <w:t xml:space="preserve">Create an empty new first column for temporary calculations by right clicking column A and selecting</w:t>
      </w:r>
      <w:r>
        <w:t xml:space="preserve"> </w:t>
      </w:r>
      <w:r>
        <w:t xml:space="preserve">“</w:t>
      </w:r>
      <w:r>
        <w:t xml:space="preserve">Insert 1 column left</w:t>
      </w:r>
      <w:r>
        <w:t xml:space="preserve">”</w:t>
      </w:r>
      <w:r>
        <w:t xml:space="preserve">.</w:t>
      </w:r>
    </w:p>
    <w:p>
      <w:pPr>
        <w:numPr>
          <w:ilvl w:val="0"/>
          <w:numId w:val="1071"/>
        </w:numPr>
        <w:pStyle w:val="Compact"/>
      </w:pPr>
      <w:r>
        <w:t xml:space="preserve">In cell A1, label this new column</w:t>
      </w:r>
      <w:r>
        <w:t xml:space="preserve"> </w:t>
      </w:r>
      <w:r>
        <w:t xml:space="preserve">“</w:t>
      </w:r>
      <w:r>
        <w:t xml:space="preserve">Occurrence</w:t>
      </w:r>
      <w:r>
        <w:t xml:space="preserve">”</w:t>
      </w:r>
      <w:r>
        <w:t xml:space="preserve">.</w:t>
      </w:r>
    </w:p>
    <w:p>
      <w:pPr>
        <w:numPr>
          <w:ilvl w:val="0"/>
          <w:numId w:val="1071"/>
        </w:numPr>
        <w:pStyle w:val="Compact"/>
      </w:pPr>
      <w:r>
        <w:t xml:space="preserve">We will use the formula =COUNTIF(range,</w:t>
      </w:r>
      <w:r>
        <w:t xml:space="preserve"> </w:t>
      </w:r>
      <w:r>
        <w:t xml:space="preserve">“</w:t>
      </w:r>
      <w:r>
        <w:t xml:space="preserve">&lt;&gt;0</w:t>
      </w:r>
      <w:r>
        <w:t xml:space="preserve">”</w:t>
      </w:r>
      <w:r>
        <w:t xml:space="preserve">) again to count how many cells have a non-0 value. For example, for ASV1 enter the formula = COUNTIF(C3:W3,</w:t>
      </w:r>
      <w:r>
        <w:t xml:space="preserve"> </w:t>
      </w:r>
      <w:r>
        <w:t xml:space="preserve">“</w:t>
      </w:r>
      <w:r>
        <w:t xml:space="preserve">&lt;&gt;0</w:t>
      </w:r>
      <w:r>
        <w:t xml:space="preserve">”</w:t>
      </w:r>
      <w:r>
        <w:t xml:space="preserve">) into cell A3.</w:t>
      </w:r>
    </w:p>
    <w:p>
      <w:pPr>
        <w:numPr>
          <w:ilvl w:val="0"/>
          <w:numId w:val="1071"/>
        </w:numPr>
        <w:pStyle w:val="Compact"/>
      </w:pPr>
      <w:r>
        <w:t xml:space="preserve">If the formula and its placement are correct, cell A3 should calculate to 17 (so 17 of 21 WO samples have ASV1). Confirm your calculation is working correctly.</w:t>
      </w:r>
    </w:p>
    <w:p>
      <w:pPr>
        <w:numPr>
          <w:ilvl w:val="0"/>
          <w:numId w:val="1071"/>
        </w:numPr>
        <w:pStyle w:val="Compact"/>
      </w:pPr>
      <w:r>
        <w:t xml:space="preserve">Apply the calculation to all cells in the column by copy pasting the formula. For a reminder on how to do this, see the Google Sheets cheatsheet.</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ASV1:</w:t>
            </w:r>
          </w:p>
        </w:tc>
      </w:tr>
      <w:tr>
        <w:tc>
          <w:tcPr/>
          <w:p>
            <w:pPr>
              <w:pStyle w:val="Compact"/>
              <w:jc w:val="left"/>
            </w:pPr>
            <w:r>
              <w:t xml:space="preserve">ASV2:</w:t>
            </w:r>
          </w:p>
        </w:tc>
      </w:tr>
      <w:tr>
        <w:tc>
          <w:tcPr/>
          <w:p>
            <w:pPr>
              <w:pStyle w:val="Compact"/>
              <w:jc w:val="left"/>
            </w:pPr>
            <w:r>
              <w:t xml:space="preserve">ASV3:</w:t>
            </w:r>
          </w:p>
        </w:tc>
      </w:tr>
      <w:tr>
        <w:tc>
          <w:tcPr/>
          <w:p>
            <w:pPr>
              <w:pStyle w:val="Compact"/>
              <w:jc w:val="left"/>
            </w:pPr>
            <w:r>
              <w:t xml:space="preserve">ASV4:</w:t>
            </w:r>
          </w:p>
        </w:tc>
      </w:tr>
      <w:tr>
        <w:tc>
          <w:tcPr/>
          <w:p>
            <w:pPr>
              <w:pStyle w:val="Compact"/>
              <w:jc w:val="left"/>
            </w:pPr>
            <w:r>
              <w:t xml:space="preserve">ASV5:</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B) Calculate % of samples associated with each ASV and record the first top 5. record the first top 5.</w:t>
            </w:r>
          </w:p>
        </w:tc>
      </w:tr>
    </w:tbl>
    <w:p>
      <w:pPr>
        <w:numPr>
          <w:ilvl w:val="0"/>
          <w:numId w:val="1072"/>
        </w:numPr>
        <w:pStyle w:val="Compact"/>
      </w:pPr>
      <w:r>
        <w:t xml:space="preserve">Create another new column by right clicking on column A and selecting</w:t>
      </w:r>
      <w:r>
        <w:t xml:space="preserve"> </w:t>
      </w:r>
      <w:r>
        <w:t xml:space="preserve">“</w:t>
      </w:r>
      <w:r>
        <w:t xml:space="preserve">Insert 1 column left</w:t>
      </w:r>
      <w:r>
        <w:t xml:space="preserve">”</w:t>
      </w:r>
      <w:r>
        <w:t xml:space="preserve">.</w:t>
      </w:r>
    </w:p>
    <w:p>
      <w:pPr>
        <w:numPr>
          <w:ilvl w:val="0"/>
          <w:numId w:val="1072"/>
        </w:numPr>
        <w:pStyle w:val="Compact"/>
      </w:pPr>
      <w:r>
        <w:t xml:space="preserve">In cell A1, give the new column a name,</w:t>
      </w:r>
      <w:r>
        <w:t xml:space="preserve"> </w:t>
      </w:r>
      <w:r>
        <w:t xml:space="preserve">“</w:t>
      </w:r>
      <w:r>
        <w:t xml:space="preserve">% of samples with this ASV</w:t>
      </w:r>
      <w:r>
        <w:t xml:space="preserve">”</w:t>
      </w:r>
      <w:r>
        <w:t xml:space="preserve">.</w:t>
      </w:r>
    </w:p>
    <w:p>
      <w:pPr>
        <w:numPr>
          <w:ilvl w:val="0"/>
          <w:numId w:val="1072"/>
        </w:numPr>
        <w:pStyle w:val="Compact"/>
      </w:pPr>
      <w:r>
        <w:t xml:space="preserve">Calculate % by dividing a value you obtained in part A) by 21 (samples) and multiplying by 100. To do this, starting with cell A3 (corresponding to ASV1), use the formula =100*(B3/21).</w:t>
      </w:r>
    </w:p>
    <w:p>
      <w:pPr>
        <w:numPr>
          <w:ilvl w:val="0"/>
          <w:numId w:val="1072"/>
        </w:numPr>
        <w:pStyle w:val="Compact"/>
      </w:pPr>
      <w:r>
        <w:t xml:space="preserve">Apply the calculation to all cells in the column by copy pasting the formula. For a reminder on how to do this, see the Google Sheets cheatsheet.</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ASV1:</w:t>
            </w:r>
          </w:p>
        </w:tc>
      </w:tr>
      <w:tr>
        <w:tc>
          <w:tcPr/>
          <w:p>
            <w:pPr>
              <w:pStyle w:val="Compact"/>
              <w:jc w:val="left"/>
            </w:pPr>
            <w:r>
              <w:t xml:space="preserve">ASV2:</w:t>
            </w:r>
          </w:p>
        </w:tc>
      </w:tr>
      <w:tr>
        <w:tc>
          <w:tcPr/>
          <w:p>
            <w:pPr>
              <w:pStyle w:val="Compact"/>
              <w:jc w:val="left"/>
            </w:pPr>
            <w:r>
              <w:t xml:space="preserve">ASV3:</w:t>
            </w:r>
          </w:p>
        </w:tc>
      </w:tr>
      <w:tr>
        <w:tc>
          <w:tcPr/>
          <w:p>
            <w:pPr>
              <w:pStyle w:val="Compact"/>
              <w:jc w:val="left"/>
            </w:pPr>
            <w:r>
              <w:t xml:space="preserve">ASV4:</w:t>
            </w:r>
          </w:p>
        </w:tc>
      </w:tr>
      <w:tr>
        <w:tc>
          <w:tcPr/>
          <w:p>
            <w:pPr>
              <w:pStyle w:val="Compact"/>
              <w:jc w:val="left"/>
            </w:pPr>
            <w:r>
              <w:t xml:space="preserve">ASV5:</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 How many ASVs are present in all 21 individuals and what are their ids?</w:t>
            </w:r>
          </w:p>
        </w:tc>
      </w:tr>
    </w:tbl>
    <w:p>
      <w:pPr>
        <w:pStyle w:val="BodyText"/>
      </w:pPr>
      <w:r>
        <w:t xml:space="preserve">To do so, find the number of ASVs that have a % of samples with this ASV = 100%.</w:t>
      </w:r>
    </w:p>
    <w:p>
      <w:pPr>
        <w:numPr>
          <w:ilvl w:val="0"/>
          <w:numId w:val="1073"/>
        </w:numPr>
        <w:pStyle w:val="Compact"/>
      </w:pPr>
      <w:r>
        <w:t xml:space="preserve">In cell A2 use the formula = COUNTIF(A3:A2186,</w:t>
      </w:r>
      <w:r>
        <w:t xml:space="preserve"> </w:t>
      </w:r>
      <w:r>
        <w:t xml:space="preserve">“</w:t>
      </w:r>
      <w:r>
        <w:t xml:space="preserve">=100</w:t>
      </w:r>
      <w:r>
        <w:t xml:space="preserve">”</w:t>
      </w:r>
      <w:r>
        <w:t xml:space="preserve">). This formula says, count a cell if it is equal to 100.</w:t>
      </w:r>
    </w:p>
    <w:tbl>
      <w:tblPr>
        <w:tblStyle w:val="Table"/>
        <w:tblW w:type="auto" w:w="0"/>
        <w:tblLook w:firstRow="0" w:lastRow="0" w:firstColumn="0" w:lastColumn="0" w:noHBand="0" w:noVBand="0" w:val="0000"/>
        <w:jc w:val="start"/>
      </w:tblPr>
      <w:tblGrid>
        <w:gridCol w:w="7920"/>
      </w:tblGrid>
      <w:tr>
        <w:tc>
          <w:tcPr/>
          <w:p>
            <w:pPr>
              <w:pStyle w:val="Compact"/>
              <w:jc w:val="left"/>
            </w:pPr>
          </w:p>
        </w:tc>
      </w:tr>
    </w:tbl>
    <w:bookmarkEnd w:id="174"/>
    <w:bookmarkStart w:id="175" w:name="X2f2e8ee6bb036ff847368999b3c86070d3ae5d6"/>
    <w:p>
      <w:pPr>
        <w:pStyle w:val="Heading4"/>
      </w:pPr>
      <w:r>
        <w:rPr>
          <w:rStyle w:val="SectionNumber"/>
        </w:rPr>
        <w:t xml:space="preserve">3.4.5.2</w:t>
      </w:r>
      <w:r>
        <w:tab/>
      </w:r>
      <w:r>
        <w:t xml:space="preserve">Activity 2-2. Explore the taxonomy of the most common ASVs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2-2.1 Which ASV is found in 100% of samples?</w:t>
            </w:r>
            <w:r>
              <w:t xml:space="preserve"> </w:t>
            </w:r>
            <w:r>
              <w:t xml:space="preserve">This ASV has a % of samples with this ASV = 100%. Hint: This ASV is found within the first 20 ASVs.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2-2.2 What is the taxonomy assigned to the most common ASV you found in Activity above?</w:t>
            </w:r>
          </w:p>
        </w:tc>
      </w:tr>
    </w:tbl>
    <w:p>
      <w:pPr>
        <w:numPr>
          <w:ilvl w:val="0"/>
          <w:numId w:val="1074"/>
        </w:numPr>
        <w:pStyle w:val="Compact"/>
      </w:pPr>
      <w:r>
        <w:t xml:space="preserve">Return to your copy of</w:t>
      </w:r>
      <w:r>
        <w:t xml:space="preserve"> </w:t>
      </w:r>
      <w:hyperlink r:id="rId170">
        <w:r>
          <w:rPr>
            <w:rStyle w:val="Hyperlink"/>
          </w:rPr>
          <w:t xml:space="preserve">‘</w:t>
        </w:r>
        <w:r>
          <w:rPr>
            <w:rStyle w:val="Hyperlink"/>
          </w:rPr>
          <w:t xml:space="preserve">MISO1-S02-1</w:t>
        </w:r>
        <w:r>
          <w:rPr>
            <w:rStyle w:val="Hyperlink"/>
          </w:rPr>
          <w:t xml:space="preserve">’</w:t>
        </w:r>
      </w:hyperlink>
      <w:r>
        <w:t xml:space="preserve">.</w:t>
      </w:r>
    </w:p>
    <w:p>
      <w:pPr>
        <w:numPr>
          <w:ilvl w:val="0"/>
          <w:numId w:val="1074"/>
        </w:numPr>
        <w:pStyle w:val="Compact"/>
      </w:pPr>
      <w:r>
        <w:t xml:space="preserve">Columns B-H correspond to taxonomic information.</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Kingdom:</w:t>
            </w:r>
          </w:p>
        </w:tc>
      </w:tr>
      <w:tr>
        <w:tc>
          <w:tcPr/>
          <w:p>
            <w:pPr>
              <w:pStyle w:val="Compact"/>
              <w:jc w:val="left"/>
            </w:pPr>
            <w:r>
              <w:t xml:space="preserve">Phylum:</w:t>
            </w:r>
          </w:p>
        </w:tc>
      </w:tr>
      <w:tr>
        <w:tc>
          <w:tcPr/>
          <w:p>
            <w:pPr>
              <w:pStyle w:val="Compact"/>
              <w:jc w:val="left"/>
            </w:pPr>
            <w:r>
              <w:t xml:space="preserve">Class:</w:t>
            </w:r>
          </w:p>
        </w:tc>
      </w:tr>
      <w:tr>
        <w:tc>
          <w:tcPr/>
          <w:p>
            <w:pPr>
              <w:pStyle w:val="Compact"/>
              <w:jc w:val="left"/>
            </w:pPr>
            <w:r>
              <w:t xml:space="preserve">Order:</w:t>
            </w:r>
          </w:p>
        </w:tc>
      </w:tr>
      <w:tr>
        <w:tc>
          <w:tcPr/>
          <w:p>
            <w:pPr>
              <w:pStyle w:val="Compact"/>
              <w:jc w:val="left"/>
            </w:pPr>
            <w:r>
              <w:t xml:space="preserve">Family:</w:t>
            </w:r>
          </w:p>
        </w:tc>
      </w:tr>
      <w:tr>
        <w:tc>
          <w:tcPr/>
          <w:p>
            <w:pPr>
              <w:pStyle w:val="Compact"/>
              <w:jc w:val="left"/>
            </w:pPr>
            <w:r>
              <w:t xml:space="preserve">Genus:</w:t>
            </w:r>
          </w:p>
        </w:tc>
      </w:tr>
      <w:tr>
        <w:tc>
          <w:tcPr/>
          <w:p>
            <w:pPr>
              <w:pStyle w:val="Compact"/>
              <w:jc w:val="left"/>
            </w:pPr>
            <w:r>
              <w:t xml:space="preserve">Species: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2-2.3 This ASV was found in every subject. What might this mean about the function this ASV plays in the gut microbiome?</w:t>
            </w:r>
          </w:p>
        </w:tc>
      </w:tr>
      <w:tr>
        <w:tc>
          <w:tcPr/>
          <w:p>
            <w:pPr>
              <w:pStyle w:val="Compact"/>
              <w:jc w:val="left"/>
            </w:pPr>
          </w:p>
        </w:tc>
      </w:tr>
    </w:tbl>
    <w:bookmarkEnd w:id="175"/>
    <w:bookmarkEnd w:id="176"/>
    <w:bookmarkStart w:id="177" w:name="X2f0e279f1015f1c60543914b1bb6d3688f8fdf3"/>
    <w:p>
      <w:pPr>
        <w:pStyle w:val="Heading3"/>
      </w:pPr>
      <w:r>
        <w:rPr>
          <w:rStyle w:val="SectionNumber"/>
        </w:rPr>
        <w:t xml:space="preserve">3.4.6</w:t>
      </w:r>
      <w:r>
        <w:tab/>
      </w:r>
      <w:r>
        <w:t xml:space="preserve">Activity 2-3. Plot individual variation in abundance of the most common ASV.</w:t>
      </w:r>
    </w:p>
    <w:p>
      <w:pPr>
        <w:pStyle w:val="FirstParagraph"/>
      </w:pPr>
      <w:r>
        <w:t xml:space="preserve">The most common ASV is represented in all samples, but does each sample have the same abundance of this ASV?</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 Make a bar graph of most common ASV distribution across 21 individuals</w:t>
            </w:r>
          </w:p>
        </w:tc>
      </w:tr>
    </w:tbl>
    <w:p>
      <w:pPr>
        <w:pStyle w:val="BodyText"/>
      </w:pPr>
      <w:r>
        <w:t xml:space="preserve">1.Return to your version of the</w:t>
      </w:r>
      <w:r>
        <w:t xml:space="preserve"> </w:t>
      </w:r>
      <w:hyperlink r:id="rId173">
        <w:r>
          <w:rPr>
            <w:rStyle w:val="Hyperlink"/>
          </w:rPr>
          <w:t xml:space="preserve">MISO_WO</w:t>
        </w:r>
      </w:hyperlink>
      <w:r>
        <w:t xml:space="preserve"> </w:t>
      </w:r>
      <w:r>
        <w:t xml:space="preserve">spreadsheet.</w:t>
      </w:r>
    </w:p>
    <w:p>
      <w:pPr>
        <w:numPr>
          <w:ilvl w:val="0"/>
          <w:numId w:val="1075"/>
        </w:numPr>
      </w:pPr>
      <w:r>
        <w:t xml:space="preserve">Hold the Command key on a Mac or Ctrl on Windows to select data that are not immediately next to each other to select the header row (D2:X2, sample names) and the row corresponding to the most common ASV you identified above.</w:t>
      </w:r>
    </w:p>
    <w:p>
      <w:pPr>
        <w:numPr>
          <w:ilvl w:val="0"/>
          <w:numId w:val="1075"/>
        </w:numPr>
      </w:pPr>
      <w:r>
        <w:t xml:space="preserve">In the menu at the top of the screen, select Insert &gt; Chart.</w:t>
      </w:r>
      <w:r>
        <w:t xml:space="preserve"> </w:t>
      </w:r>
      <w:r>
        <w:t xml:space="preserve">Make sure your graph is a bar plot: click on the 3 dots in the top right corner of the plot → edit chart and in the Chart editor, under Chart type, selecting Column Chart.</w:t>
      </w:r>
    </w:p>
    <w:p>
      <w:pPr>
        <w:numPr>
          <w:ilvl w:val="0"/>
          <w:numId w:val="1075"/>
        </w:numPr>
      </w:pPr>
      <w:r>
        <w:t xml:space="preserve">Copy the bar graph into a box below: click on the 3 dots in the top right corner of the plot, select copy chart, then, paste it below. Your graph should look similar to the example graph below, with multicolored bars that each represent one sample’s count of the ASV. The example shows a different ASV plotted with 5 samples.</w:t>
      </w:r>
    </w:p>
    <w:p>
      <w:pPr>
        <w:numPr>
          <w:ilvl w:val="0"/>
          <w:numId w:val="1075"/>
        </w:numPr>
      </w:pPr>
      <w:r>
        <w:t xml:space="preserve">Your chart will have more bars and the legend may not be in the same place; do not worry if there is no legend or the legend text is not visible as in the example.</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Insert chart here</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B) Is the abundance of this ASV similar or dissimilar across samples?</w:t>
            </w:r>
            <w:r>
              <w:t xml:space="preserve"> </w:t>
            </w:r>
            <w:r>
              <w:t xml:space="preserve">Each bar represents the count (abundance) of this ASV for a given subject. Ignore the axis title, which only has 1 sample name. Compare your graph to the example figure. Which is more like the graph you made?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 What might this mean for the function of this ASV in the gut microbiome?</w:t>
            </w:r>
          </w:p>
        </w:tc>
      </w:tr>
      <w:tr>
        <w:tc>
          <w:tcPr/>
          <w:p>
            <w:pPr>
              <w:pStyle w:val="Compact"/>
              <w:jc w:val="left"/>
            </w:pPr>
          </w:p>
        </w:tc>
      </w:tr>
    </w:tbl>
    <w:bookmarkEnd w:id="177"/>
    <w:bookmarkStart w:id="181" w:name="Xef23b50a219e4632b5da6f886c45cb6084129e6"/>
    <w:p>
      <w:pPr>
        <w:pStyle w:val="Heading3"/>
      </w:pPr>
      <w:r>
        <w:rPr>
          <w:rStyle w:val="SectionNumber"/>
        </w:rPr>
        <w:t xml:space="preserve">3.4.7</w:t>
      </w:r>
      <w:r>
        <w:tab/>
      </w:r>
      <w:r>
        <w:t xml:space="preserve">Activity 3 – Explore variation within a single individual associated with diet</w:t>
      </w:r>
    </w:p>
    <w:p>
      <w:pPr>
        <w:pStyle w:val="FirstParagraph"/>
      </w:pPr>
      <w:r>
        <w:rPr>
          <w:iCs/>
          <w:i/>
        </w:rPr>
        <w:t xml:space="preserve">Estimated time: 10 min</w:t>
      </w:r>
    </w:p>
    <w:p>
      <w:pPr>
        <w:pStyle w:val="BodyText"/>
      </w:pPr>
      <w:r>
        <w:t xml:space="preserve">Although the full dataset contains 105 samples from 21 subjects and 5 timepoints (representing 3 dietary conditions), in this activity we will zoom into ASV counts data for 1 individual (comprised of 5 samples representing the 5 timepoints collected from that individual).</w:t>
      </w:r>
    </w:p>
    <w:p>
      <w:pPr>
        <w:numPr>
          <w:ilvl w:val="0"/>
          <w:numId w:val="1076"/>
        </w:numPr>
        <w:pStyle w:val="Compact"/>
      </w:pPr>
      <w:r>
        <w:t xml:space="preserve">Timepoints 1 and 2:</w:t>
      </w:r>
      <w:r>
        <w:t xml:space="preserve"> </w:t>
      </w:r>
      <w:r>
        <w:rPr>
          <w:bCs/>
          <w:b/>
        </w:rPr>
        <w:t xml:space="preserve">BD</w:t>
      </w:r>
      <w:r>
        <w:t xml:space="preserve"> </w:t>
      </w:r>
      <w:r>
        <w:t xml:space="preserve">(Baseline diet) prior to normalization with homogenized diet</w:t>
      </w:r>
    </w:p>
    <w:p>
      <w:pPr>
        <w:numPr>
          <w:ilvl w:val="0"/>
          <w:numId w:val="1076"/>
        </w:numPr>
        <w:pStyle w:val="Compact"/>
      </w:pPr>
      <w:r>
        <w:t xml:space="preserve">Timepoints 3 and 4:</w:t>
      </w:r>
      <w:r>
        <w:t xml:space="preserve"> </w:t>
      </w:r>
      <w:r>
        <w:rPr>
          <w:bCs/>
          <w:b/>
        </w:rPr>
        <w:t xml:space="preserve">HD</w:t>
      </w:r>
      <w:r>
        <w:t xml:space="preserve"> </w:t>
      </w:r>
      <w:r>
        <w:t xml:space="preserve">(Homogenized diet): normalized to be same for all</w:t>
      </w:r>
    </w:p>
    <w:p>
      <w:pPr>
        <w:numPr>
          <w:ilvl w:val="0"/>
          <w:numId w:val="1076"/>
        </w:numPr>
        <w:pStyle w:val="Compact"/>
      </w:pPr>
      <w:r>
        <w:t xml:space="preserve">Timepoint 5:</w:t>
      </w:r>
      <w:r>
        <w:t xml:space="preserve"> </w:t>
      </w:r>
      <w:r>
        <w:rPr>
          <w:bCs/>
          <w:b/>
        </w:rPr>
        <w:t xml:space="preserve">WO</w:t>
      </w:r>
      <w:r>
        <w:t xml:space="preserve"> </w:t>
      </w:r>
      <w:r>
        <w:t xml:space="preserve">(Washout diet), subjects can choose to eat what they want again</w:t>
      </w:r>
    </w:p>
    <w:bookmarkStart w:id="179" w:name="Xfae7ffdc1380703cfb91abdb11ddd8bd05ed544"/>
    <w:p>
      <w:pPr>
        <w:pStyle w:val="Heading4"/>
      </w:pPr>
      <w:r>
        <w:rPr>
          <w:rStyle w:val="SectionNumber"/>
        </w:rPr>
        <w:t xml:space="preserve">3.4.7.1</w:t>
      </w:r>
      <w:r>
        <w:tab/>
      </w:r>
      <w:r>
        <w:t xml:space="preserve">Activity 3-1 Explore differences between dietary changes in one subject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3-1.1 Calculate variation in ASV abundance within individual 1 (MISO1-S02) and record the first 5 values below.</w:t>
            </w:r>
          </w:p>
        </w:tc>
      </w:tr>
    </w:tbl>
    <w:p>
      <w:pPr>
        <w:pStyle w:val="BodyText"/>
      </w:pPr>
      <w:r>
        <w:t xml:space="preserve">How varied is the ASV abundance across timepoints?</w:t>
      </w:r>
    </w:p>
    <w:p>
      <w:pPr>
        <w:numPr>
          <w:ilvl w:val="0"/>
          <w:numId w:val="1077"/>
        </w:numPr>
        <w:pStyle w:val="Compact"/>
      </w:pPr>
      <w:r>
        <w:t xml:space="preserve">This involves plotting counts for ASV 1-10 for MISO1-SO2 timepoints 1 through 5.</w:t>
      </w:r>
    </w:p>
    <w:p>
      <w:pPr>
        <w:numPr>
          <w:ilvl w:val="0"/>
          <w:numId w:val="1077"/>
        </w:numPr>
        <w:pStyle w:val="Compact"/>
      </w:pPr>
      <w:r>
        <w:t xml:space="preserve">To calculate variation within a sample, we will use the VAR.S function in google sheets to calculate the variance of a sample. For more information on variance, see the Google Sheets cheatsheet.</w:t>
      </w:r>
    </w:p>
    <w:p>
      <w:pPr>
        <w:numPr>
          <w:ilvl w:val="0"/>
          <w:numId w:val="1078"/>
        </w:numPr>
        <w:pStyle w:val="Compact"/>
      </w:pPr>
      <w:r>
        <w:t xml:space="preserve">Access</w:t>
      </w:r>
      <w:r>
        <w:t xml:space="preserve"> </w:t>
      </w:r>
      <w:hyperlink r:id="rId178">
        <w:r>
          <w:rPr>
            <w:rStyle w:val="Hyperlink"/>
          </w:rPr>
          <w:t xml:space="preserve">‘</w:t>
        </w:r>
        <w:r>
          <w:rPr>
            <w:rStyle w:val="Hyperlink"/>
          </w:rPr>
          <w:t xml:space="preserve">MISO_Subject1</w:t>
        </w:r>
        <w:r>
          <w:rPr>
            <w:rStyle w:val="Hyperlink"/>
          </w:rPr>
          <w:t xml:space="preserve">’</w:t>
        </w:r>
      </w:hyperlink>
    </w:p>
    <w:p>
      <w:pPr>
        <w:numPr>
          <w:ilvl w:val="0"/>
          <w:numId w:val="1078"/>
        </w:numPr>
        <w:pStyle w:val="Compact"/>
      </w:pPr>
      <w:r>
        <w:t xml:space="preserve">Label an empty Column G by putting</w:t>
      </w:r>
      <w:r>
        <w:t xml:space="preserve"> </w:t>
      </w:r>
      <w:r>
        <w:t xml:space="preserve">“</w:t>
      </w:r>
      <w:r>
        <w:t xml:space="preserve">Variance</w:t>
      </w:r>
      <w:r>
        <w:t xml:space="preserve">”</w:t>
      </w:r>
      <w:r>
        <w:t xml:space="preserve"> </w:t>
      </w:r>
      <w:r>
        <w:t xml:space="preserve">in cell G1. Use this column to calculate variance.</w:t>
      </w:r>
    </w:p>
    <w:p>
      <w:pPr>
        <w:numPr>
          <w:ilvl w:val="0"/>
          <w:numId w:val="1078"/>
        </w:numPr>
        <w:pStyle w:val="Compact"/>
      </w:pPr>
      <w:r>
        <w:t xml:space="preserve">Starting with the first ASV use the following formula: =VAR.S(range) to calculate ASV abundance variation in the 5 samples/timepoints collected for individual MISO1-SO2. For example, for ASV1 enter formula =VAR.S(B2:F2) in cell G2.</w:t>
      </w:r>
    </w:p>
    <w:p>
      <w:pPr>
        <w:numPr>
          <w:ilvl w:val="0"/>
          <w:numId w:val="1078"/>
        </w:numPr>
        <w:pStyle w:val="Compact"/>
      </w:pPr>
      <w:r>
        <w:t xml:space="preserve">If imputed correctly, cell G2 should calculate to 14947547.8. Confirm this.</w:t>
      </w:r>
    </w:p>
    <w:p>
      <w:pPr>
        <w:numPr>
          <w:ilvl w:val="0"/>
          <w:numId w:val="1078"/>
        </w:numPr>
        <w:pStyle w:val="Compact"/>
      </w:pPr>
      <w:r>
        <w:t xml:space="preserve">Apply the calculation to all cells in the column by copy pasting the formula. For a reminder on how to do this, see the Google Sheets cheatsheet.</w:t>
      </w:r>
    </w:p>
    <w:p>
      <w:pPr>
        <w:numPr>
          <w:ilvl w:val="0"/>
          <w:numId w:val="1078"/>
        </w:numPr>
        <w:pStyle w:val="Compact"/>
      </w:pPr>
      <w:r>
        <w:t xml:space="preserve">Record the first 5 variance values below.</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ASV1 Variance:</w:t>
            </w:r>
          </w:p>
        </w:tc>
      </w:tr>
      <w:tr>
        <w:tc>
          <w:tcPr/>
          <w:p>
            <w:pPr>
              <w:pStyle w:val="Compact"/>
              <w:jc w:val="left"/>
            </w:pPr>
            <w:r>
              <w:t xml:space="preserve">ASV2 Variance:</w:t>
            </w:r>
          </w:p>
        </w:tc>
      </w:tr>
      <w:tr>
        <w:tc>
          <w:tcPr/>
          <w:p>
            <w:pPr>
              <w:pStyle w:val="Compact"/>
              <w:jc w:val="left"/>
            </w:pPr>
            <w:r>
              <w:t xml:space="preserve">ASV3 Variance:</w:t>
            </w:r>
          </w:p>
        </w:tc>
      </w:tr>
      <w:tr>
        <w:tc>
          <w:tcPr/>
          <w:p>
            <w:pPr>
              <w:pStyle w:val="Compact"/>
              <w:jc w:val="left"/>
            </w:pPr>
            <w:r>
              <w:t xml:space="preserve">ASV4 Variance:</w:t>
            </w:r>
          </w:p>
        </w:tc>
      </w:tr>
      <w:tr>
        <w:tc>
          <w:tcPr/>
          <w:p>
            <w:pPr>
              <w:pStyle w:val="Compact"/>
              <w:jc w:val="left"/>
            </w:pPr>
            <w:r>
              <w:t xml:space="preserve">ASV5 Variance:</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3-1.2 Plot ASVs with highest variance.</w:t>
            </w:r>
          </w:p>
        </w:tc>
      </w:tr>
    </w:tbl>
    <w:p>
      <w:pPr>
        <w:pStyle w:val="BodyText"/>
      </w:pPr>
      <w:r>
        <w:t xml:space="preserve">These are the ASVs whose abundance changed the most over the course of the study and could potentially depend heavily on diet. By plotting their counts, we will be able to see how the abundance of a given ASV changed throughout the experiment.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 Sort the ASVs by the variance column with the largest variance values at the top.</w:t>
            </w:r>
          </w:p>
        </w:tc>
      </w:tr>
    </w:tbl>
    <w:p>
      <w:pPr>
        <w:numPr>
          <w:ilvl w:val="0"/>
          <w:numId w:val="1079"/>
        </w:numPr>
        <w:pStyle w:val="Compact"/>
      </w:pPr>
      <w:r>
        <w:t xml:space="preserve">Click on cell G2.</w:t>
      </w:r>
    </w:p>
    <w:p>
      <w:pPr>
        <w:numPr>
          <w:ilvl w:val="0"/>
          <w:numId w:val="1079"/>
        </w:numPr>
        <w:pStyle w:val="Compact"/>
      </w:pPr>
      <w:r>
        <w:t xml:space="preserve">Go to Data &gt; Sort sheet &gt; Sort sheet by column G (Z to A)</w:t>
      </w:r>
    </w:p>
    <w:p>
      <w:pPr>
        <w:numPr>
          <w:ilvl w:val="0"/>
          <w:numId w:val="1079"/>
        </w:numPr>
        <w:pStyle w:val="Compact"/>
      </w:pPr>
      <w:r>
        <w:t xml:space="preserve">Record the top 5 ASVs with the highest Variance and their Variance values below.</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ASV# Variance:</w:t>
            </w:r>
          </w:p>
        </w:tc>
      </w:tr>
      <w:tr>
        <w:tc>
          <w:tcPr/>
          <w:p>
            <w:pPr>
              <w:pStyle w:val="Compact"/>
              <w:jc w:val="left"/>
            </w:pPr>
            <w:r>
              <w:t xml:space="preserve">ASV# Variance:</w:t>
            </w:r>
          </w:p>
        </w:tc>
      </w:tr>
      <w:tr>
        <w:tc>
          <w:tcPr/>
          <w:p>
            <w:pPr>
              <w:pStyle w:val="Compact"/>
              <w:jc w:val="left"/>
            </w:pPr>
            <w:r>
              <w:t xml:space="preserve">ASV# Variance:</w:t>
            </w:r>
          </w:p>
        </w:tc>
      </w:tr>
      <w:tr>
        <w:tc>
          <w:tcPr/>
          <w:p>
            <w:pPr>
              <w:pStyle w:val="Compact"/>
              <w:jc w:val="left"/>
            </w:pPr>
            <w:r>
              <w:t xml:space="preserve">ASV# Variance:</w:t>
            </w:r>
          </w:p>
        </w:tc>
      </w:tr>
      <w:tr>
        <w:tc>
          <w:tcPr/>
          <w:p>
            <w:pPr>
              <w:pStyle w:val="Compact"/>
              <w:jc w:val="left"/>
            </w:pPr>
            <w:r>
              <w:t xml:space="preserve">ASV# Variance:</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B) After sorting ASVs based on high to low variance, make a plot of ASV counts corresponding to top 15 ASVs with the highest variance.</w:t>
            </w:r>
          </w:p>
        </w:tc>
      </w:tr>
    </w:tbl>
    <w:p>
      <w:pPr>
        <w:numPr>
          <w:ilvl w:val="0"/>
          <w:numId w:val="1080"/>
        </w:numPr>
        <w:pStyle w:val="Compact"/>
      </w:pPr>
      <w:r>
        <w:t xml:space="preserve">To make a bar graph highlight top 16 rows corresponding to sample names and the 15 ASVs with highest variance, for samples MISO1-S02-1 through 5. Do not include the</w:t>
      </w:r>
      <w:r>
        <w:t xml:space="preserve"> </w:t>
      </w:r>
      <w:r>
        <w:t xml:space="preserve">“</w:t>
      </w:r>
      <w:r>
        <w:t xml:space="preserve">Variance</w:t>
      </w:r>
      <w:r>
        <w:t xml:space="preserve">”</w:t>
      </w:r>
      <w:r>
        <w:t xml:space="preserve"> </w:t>
      </w:r>
      <w:r>
        <w:t xml:space="preserve">column.</w:t>
      </w:r>
    </w:p>
    <w:p>
      <w:pPr>
        <w:numPr>
          <w:ilvl w:val="0"/>
          <w:numId w:val="1080"/>
        </w:numPr>
        <w:pStyle w:val="Compact"/>
      </w:pPr>
      <w:r>
        <w:t xml:space="preserve">In the menu at the top of the screen, select Insert &gt; Chart.</w:t>
      </w:r>
    </w:p>
    <w:p>
      <w:pPr>
        <w:numPr>
          <w:ilvl w:val="0"/>
          <w:numId w:val="1080"/>
        </w:numPr>
        <w:pStyle w:val="Compact"/>
      </w:pPr>
      <w:r>
        <w:t xml:space="preserve">Make sure your graph is a bar plot: click on the 3 dots in the top right corner of the plot → edit chart and in the Chart editor, under Chart type, selecting Column Chart.</w:t>
      </w:r>
    </w:p>
    <w:p>
      <w:pPr>
        <w:numPr>
          <w:ilvl w:val="0"/>
          <w:numId w:val="1080"/>
        </w:numPr>
        <w:pStyle w:val="Compact"/>
      </w:pPr>
      <w:r>
        <w:t xml:space="preserve">Copy the bar graph into a box below: click on the 3 dots in the top right corner of the plot, select copy chart, then, paste it below. Your chart should look similar to the example chart with different ASVs</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Insert chart here</w:t>
            </w:r>
          </w:p>
        </w:tc>
      </w:tr>
    </w:tbl>
    <w:bookmarkEnd w:id="179"/>
    <w:bookmarkStart w:id="180" w:name="X5d3901860f3ef04d423686540b59fbfcb35f9c6"/>
    <w:p>
      <w:pPr>
        <w:pStyle w:val="Heading4"/>
      </w:pPr>
      <w:r>
        <w:rPr>
          <w:rStyle w:val="SectionNumber"/>
        </w:rPr>
        <w:t xml:space="preserve">3.4.7.2</w:t>
      </w:r>
      <w:r>
        <w:tab/>
      </w:r>
      <w:r>
        <w:t xml:space="preserve">Activity 3-2. Are there any ASVs whose abundance changes with different diets?</w:t>
      </w:r>
    </w:p>
    <w:p>
      <w:pPr>
        <w:pStyle w:val="FirstParagraph"/>
      </w:pPr>
      <w:r>
        <w:t xml:space="preserve">Recall that there samples 1 and 2 are from the baseline diet (BD), samples 3 and 4 are on the uniform homogenized diet (HD) and sample 5 is from the washout diet.</w:t>
      </w:r>
    </w:p>
    <w:p>
      <w:pPr>
        <w:numPr>
          <w:ilvl w:val="0"/>
          <w:numId w:val="1081"/>
        </w:numPr>
        <w:pStyle w:val="Compact"/>
      </w:pPr>
      <w:r>
        <w:t xml:space="preserve">ASV_A in the example graph seems tightly linked to diet - timepoints from the same diet are similar to each other, and timepoints from different diets are different from each other.</w:t>
      </w:r>
    </w:p>
    <w:p>
      <w:pPr>
        <w:numPr>
          <w:ilvl w:val="0"/>
          <w:numId w:val="1081"/>
        </w:numPr>
        <w:pStyle w:val="Compact"/>
      </w:pPr>
      <w:r>
        <w:t xml:space="preserve">ASV_B shows a pattern that doesn’t seem connected to diet. Samples from timepoints within the same diet are not similar, while samples from different diets 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 List an ASV that changes with diet and one that changes seemingly without the influence of diet:</w:t>
            </w:r>
          </w:p>
        </w:tc>
      </w:tr>
      <w:tr>
        <w:tc>
          <w:tcPr/>
          <w:p>
            <w:pPr>
              <w:pStyle w:val="Compact"/>
              <w:jc w:val="left"/>
            </w:pPr>
            <w:r>
              <w:t xml:space="preserve">ASVs that seem to change in abundance based on diet:</w:t>
            </w:r>
          </w:p>
        </w:tc>
      </w:tr>
      <w:tr>
        <w:tc>
          <w:tcPr/>
          <w:p>
            <w:pPr>
              <w:pStyle w:val="Compact"/>
              <w:jc w:val="left"/>
            </w:pPr>
            <w:r>
              <w:t xml:space="preserve">ASVs that seem to change in abundance that do not appear connected to diet: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B) What factors other than diet do you think might change the abundance of a microbe in the gut microbiome?</w:t>
            </w:r>
          </w:p>
        </w:tc>
      </w:tr>
      <w:tr>
        <w:tc>
          <w:tcPr/>
          <w:p>
            <w:pPr>
              <w:pStyle w:val="Compact"/>
              <w:jc w:val="left"/>
            </w:pPr>
          </w:p>
        </w:tc>
      </w:tr>
    </w:tbl>
    <w:bookmarkEnd w:id="180"/>
    <w:bookmarkEnd w:id="181"/>
    <w:bookmarkStart w:id="182" w:name="grading-criteria-2"/>
    <w:p>
      <w:pPr>
        <w:pStyle w:val="Heading3"/>
      </w:pPr>
      <w:r>
        <w:rPr>
          <w:rStyle w:val="SectionNumber"/>
        </w:rPr>
        <w:t xml:space="preserve">3.4.8</w:t>
      </w:r>
      <w:r>
        <w:tab/>
      </w:r>
      <w:r>
        <w:t xml:space="preserve">Grading criteria</w:t>
      </w:r>
    </w:p>
    <w:p>
      <w:pPr>
        <w:numPr>
          <w:ilvl w:val="0"/>
          <w:numId w:val="1082"/>
        </w:numPr>
        <w:pStyle w:val="Compact"/>
      </w:pPr>
      <w:r>
        <w:t xml:space="preserve">Download the assignment to your local computer as a .docx, complete it, and upload the assignment to your LMS (Blackboard, Canvas, Google Classroom).</w:t>
      </w:r>
    </w:p>
    <w:bookmarkEnd w:id="182"/>
    <w:bookmarkStart w:id="186" w:name="footnotes-6"/>
    <w:p>
      <w:pPr>
        <w:pStyle w:val="Heading3"/>
      </w:pPr>
      <w:r>
        <w:rPr>
          <w:rStyle w:val="SectionNumber"/>
        </w:rPr>
        <w:t xml:space="preserve">3.4.9</w:t>
      </w:r>
      <w:r>
        <w:tab/>
      </w:r>
      <w:r>
        <w:t xml:space="preserve">Footnotes</w:t>
      </w:r>
    </w:p>
    <w:bookmarkStart w:id="184" w:name="resources-10"/>
    <w:p>
      <w:pPr>
        <w:pStyle w:val="Heading4"/>
      </w:pPr>
      <w:r>
        <w:rPr>
          <w:rStyle w:val="SectionNumber"/>
        </w:rPr>
        <w:t xml:space="preserve">3.4.9.1</w:t>
      </w:r>
      <w:r>
        <w:tab/>
      </w:r>
      <w:r>
        <w:t xml:space="preserve">Resources</w:t>
      </w:r>
    </w:p>
    <w:p>
      <w:pPr>
        <w:numPr>
          <w:ilvl w:val="0"/>
          <w:numId w:val="1083"/>
        </w:numPr>
        <w:pStyle w:val="Compact"/>
      </w:pPr>
      <w:hyperlink r:id="rId183">
        <w:r>
          <w:rPr>
            <w:rStyle w:val="Hyperlink"/>
          </w:rPr>
          <w:t xml:space="preserve">Google Doc</w:t>
        </w:r>
      </w:hyperlink>
    </w:p>
    <w:p>
      <w:pPr>
        <w:numPr>
          <w:ilvl w:val="0"/>
          <w:numId w:val="1083"/>
        </w:numPr>
        <w:pStyle w:val="Compact"/>
      </w:pPr>
      <w:hyperlink r:id="rId166">
        <w:r>
          <w:rPr>
            <w:rStyle w:val="Hyperlink"/>
          </w:rPr>
          <w:t xml:space="preserve">Spreadsheets 101</w:t>
        </w:r>
      </w:hyperlink>
    </w:p>
    <w:p>
      <w:pPr>
        <w:numPr>
          <w:ilvl w:val="0"/>
          <w:numId w:val="1083"/>
        </w:numPr>
        <w:pStyle w:val="Compact"/>
      </w:pPr>
      <w:hyperlink r:id="rId170">
        <w:r>
          <w:rPr>
            <w:rStyle w:val="Hyperlink"/>
          </w:rPr>
          <w:t xml:space="preserve">‘</w:t>
        </w:r>
        <w:r>
          <w:rPr>
            <w:rStyle w:val="Hyperlink"/>
          </w:rPr>
          <w:t xml:space="preserve">MISO1-S02-1</w:t>
        </w:r>
        <w:r>
          <w:rPr>
            <w:rStyle w:val="Hyperlink"/>
          </w:rPr>
          <w:t xml:space="preserve">’</w:t>
        </w:r>
      </w:hyperlink>
      <w:r>
        <w:t xml:space="preserve"> </w:t>
      </w:r>
      <w:r>
        <w:t xml:space="preserve">spreadsheet</w:t>
      </w:r>
    </w:p>
    <w:p>
      <w:pPr>
        <w:numPr>
          <w:ilvl w:val="0"/>
          <w:numId w:val="1083"/>
        </w:numPr>
        <w:pStyle w:val="Compact"/>
      </w:pPr>
      <w:hyperlink r:id="rId173">
        <w:r>
          <w:rPr>
            <w:rStyle w:val="Hyperlink"/>
          </w:rPr>
          <w:t xml:space="preserve">MISO_WO</w:t>
        </w:r>
      </w:hyperlink>
      <w:r>
        <w:t xml:space="preserve"> </w:t>
      </w:r>
      <w:r>
        <w:t xml:space="preserve">spreadsheet</w:t>
      </w:r>
    </w:p>
    <w:p>
      <w:pPr>
        <w:numPr>
          <w:ilvl w:val="0"/>
          <w:numId w:val="1083"/>
        </w:numPr>
        <w:pStyle w:val="Compact"/>
      </w:pPr>
      <w:hyperlink r:id="rId178">
        <w:r>
          <w:rPr>
            <w:rStyle w:val="Hyperlink"/>
          </w:rPr>
          <w:t xml:space="preserve">‘</w:t>
        </w:r>
        <w:r>
          <w:rPr>
            <w:rStyle w:val="Hyperlink"/>
          </w:rPr>
          <w:t xml:space="preserve">MISO_Subject1</w:t>
        </w:r>
        <w:r>
          <w:rPr>
            <w:rStyle w:val="Hyperlink"/>
          </w:rPr>
          <w:t xml:space="preserve">’</w:t>
        </w:r>
      </w:hyperlink>
      <w:r>
        <w:t xml:space="preserve"> </w:t>
      </w:r>
      <w:r>
        <w:t xml:space="preserve">spreadsheet</w:t>
      </w:r>
    </w:p>
    <w:bookmarkEnd w:id="184"/>
    <w:bookmarkStart w:id="185" w:name="contributions-and-affiliations-6"/>
    <w:p>
      <w:pPr>
        <w:pStyle w:val="Heading4"/>
      </w:pPr>
      <w:r>
        <w:rPr>
          <w:rStyle w:val="SectionNumber"/>
        </w:rPr>
        <w:t xml:space="preserve">3.4.9.2</w:t>
      </w:r>
      <w:r>
        <w:tab/>
      </w:r>
      <w:r>
        <w:t xml:space="preserve">Contributions and affiliations</w:t>
      </w:r>
    </w:p>
    <w:p>
      <w:pPr>
        <w:numPr>
          <w:ilvl w:val="0"/>
          <w:numId w:val="1084"/>
        </w:numPr>
        <w:pStyle w:val="Compact"/>
      </w:pPr>
      <w:r>
        <w:t xml:space="preserve">Valeriya Gaysinskaya, Johns Hopkins University</w:t>
      </w:r>
    </w:p>
    <w:p>
      <w:pPr>
        <w:numPr>
          <w:ilvl w:val="0"/>
          <w:numId w:val="1084"/>
        </w:numPr>
        <w:pStyle w:val="Compact"/>
      </w:pPr>
      <w:r>
        <w:t xml:space="preserve">Gauri Paul, Clovis Community College</w:t>
      </w:r>
    </w:p>
    <w:p>
      <w:pPr>
        <w:numPr>
          <w:ilvl w:val="0"/>
          <w:numId w:val="1084"/>
        </w:numPr>
        <w:pStyle w:val="Compact"/>
      </w:pPr>
      <w:r>
        <w:t xml:space="preserve">Frederick Tan, Johns Hopkins University</w:t>
      </w:r>
    </w:p>
    <w:p>
      <w:pPr>
        <w:numPr>
          <w:ilvl w:val="0"/>
          <w:numId w:val="1084"/>
        </w:numPr>
        <w:pStyle w:val="Compact"/>
      </w:pPr>
      <w:r>
        <w:t xml:space="preserve">Sayumi York, Notre Dame of Maryland University</w:t>
      </w:r>
    </w:p>
    <w:p>
      <w:pPr>
        <w:pStyle w:val="FirstParagraph"/>
      </w:pPr>
      <w:r>
        <w:t xml:space="preserve">Last Revised: January 2026</w:t>
      </w:r>
    </w:p>
    <w:bookmarkEnd w:id="185"/>
    <w:bookmarkEnd w:id="186"/>
    <w:bookmarkEnd w:id="187"/>
    <w:bookmarkEnd w:id="188"/>
    <w:bookmarkStart w:id="245" w:name="exploring-16s-rrna-data-with-phyloseq"/>
    <w:p>
      <w:pPr>
        <w:pStyle w:val="Heading1"/>
      </w:pPr>
      <w:r>
        <w:rPr>
          <w:rStyle w:val="SectionNumber"/>
        </w:rPr>
        <w:t xml:space="preserve">4</w:t>
      </w:r>
      <w:r>
        <w:tab/>
      </w:r>
      <w:r>
        <w:t xml:space="preserve">Exploring 16S rRNA Data with phyloseq</w:t>
      </w:r>
    </w:p>
    <w:bookmarkStart w:id="189" w:name="exploring-16s-rrna-data-with-phyloseq-1"/>
    <w:p>
      <w:pPr>
        <w:pStyle w:val="Heading2"/>
      </w:pPr>
      <w:r>
        <w:rPr>
          <w:rStyle w:val="SectionNumber"/>
        </w:rPr>
        <w:t xml:space="preserve">4.1</w:t>
      </w:r>
      <w:r>
        <w:tab/>
      </w:r>
      <w:r>
        <w:t xml:space="preserve">Exploring 16S rRNA Data with phyloseq</w:t>
      </w:r>
    </w:p>
    <w:bookmarkEnd w:id="189"/>
    <w:bookmarkStart w:id="194" w:name="Xfcffbdcf25bedde438c04e8687daab58b4477b9"/>
    <w:p>
      <w:pPr>
        <w:pStyle w:val="Heading2"/>
      </w:pPr>
      <w:r>
        <w:rPr>
          <w:rStyle w:val="SectionNumber"/>
        </w:rPr>
        <w:t xml:space="preserve">4.2</w:t>
      </w:r>
      <w:r>
        <w:tab/>
      </w:r>
      <w:r>
        <w:t xml:space="preserve">Lecture - Exploring 16S rRNA Data with phyloseq</w:t>
      </w:r>
    </w:p>
    <w:p>
      <w:pPr>
        <w:pStyle w:val="FirstParagraph"/>
      </w:pPr>
      <w:r>
        <w:rPr>
          <w:iCs/>
          <w:i/>
        </w:rPr>
        <w:t xml:space="preserve">Estimated time:</w:t>
      </w:r>
      <w:r>
        <w:rPr>
          <w:iCs/>
          <w:i/>
        </w:rPr>
        <w:t xml:space="preserve"> </w:t>
      </w:r>
    </w:p>
    <w:p>
      <w:pPr>
        <w:pStyle w:val="BodyText"/>
      </w:pPr>
      <w:r>
        <w:drawing>
          <wp:inline>
            <wp:extent cx="5334000" cy="3000375"/>
            <wp:effectExtent b="0" l="0" r="0" t="0"/>
            <wp:docPr descr="" title="" id="191" name="Picture"/>
            <a:graphic>
              <a:graphicData uri="http://schemas.openxmlformats.org/drawingml/2006/picture">
                <pic:pic>
                  <pic:nvPicPr>
                    <pic:cNvPr descr="explore-phyloseq_files/figure-docx//15tv_IS177gF_px3JYKcQZmOsJg2d-GkjVXi7a-Skgs8_g35f391192_00.png" id="192" name="Picture"/>
                    <pic:cNvPicPr>
                      <a:picLocks noChangeArrowheads="1" noChangeAspect="1"/>
                    </pic:cNvPicPr>
                  </pic:nvPicPr>
                  <pic:blipFill>
                    <a:blip r:embed="rId19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93">
        <w:r>
          <w:rPr>
            <w:rStyle w:val="Hyperlink"/>
          </w:rPr>
          <w:t xml:space="preserve">Lecture</w:t>
        </w:r>
      </w:hyperlink>
    </w:p>
    <w:bookmarkEnd w:id="194"/>
    <w:bookmarkStart w:id="210" w:name="X3e9a8c427ff3d180216de2316d0bc005457f816"/>
    <w:p>
      <w:pPr>
        <w:pStyle w:val="Heading2"/>
      </w:pPr>
      <w:r>
        <w:rPr>
          <w:rStyle w:val="SectionNumber"/>
        </w:rPr>
        <w:t xml:space="preserve">4.3</w:t>
      </w:r>
      <w:r>
        <w:tab/>
      </w:r>
      <w:r>
        <w:t xml:space="preserve">Activity - Exploring 16S rRNA Data with phyloseq</w:t>
      </w:r>
    </w:p>
    <w:bookmarkStart w:id="195" w:name="purpose-7"/>
    <w:p>
      <w:pPr>
        <w:pStyle w:val="Heading4"/>
      </w:pPr>
      <w:r>
        <w:rPr>
          <w:rStyle w:val="SectionNumber"/>
        </w:rPr>
        <w:t xml:space="preserve">4.3.0.1</w:t>
      </w:r>
      <w:r>
        <w:tab/>
      </w:r>
      <w:r>
        <w:t xml:space="preserve">Purpose</w:t>
      </w:r>
    </w:p>
    <w:p>
      <w:pPr>
        <w:pStyle w:val="FirstParagraph"/>
      </w:pPr>
      <w:r>
        <w:t xml:space="preserve">To explore bacterial diversity based on 16S rRNA gene sequencing using data from the</w:t>
      </w:r>
      <w:r>
        <w:t xml:space="preserve"> </w:t>
      </w:r>
      <w:r>
        <w:t xml:space="preserve">“</w:t>
      </w:r>
      <w:r>
        <w:t xml:space="preserve">Impact of a 7-day homogeneous diet on interpersonal variation in human gut microbiomes and metabolomes</w:t>
      </w:r>
      <w:r>
        <w:t xml:space="preserve">”</w:t>
      </w:r>
      <w:r>
        <w:t xml:space="preserve"> </w:t>
      </w:r>
      <w:r>
        <w:t xml:space="preserve">by Guthrie et al., 2023. This study is also referred to as the MISO study for</w:t>
      </w:r>
      <w:r>
        <w:t xml:space="preserve"> </w:t>
      </w:r>
      <w:r>
        <w:t xml:space="preserve">“</w:t>
      </w:r>
      <w:r>
        <w:t xml:space="preserve">Microbiome Individuality and Stability Over Time</w:t>
      </w:r>
      <w:r>
        <w:t xml:space="preserve">”</w:t>
      </w:r>
      <w:r>
        <w:t xml:space="preserve"> </w:t>
      </w:r>
      <w:r>
        <w:t xml:space="preserve">because the study aims to understand variation (or stability) of microbiomes across individuals.</w:t>
      </w:r>
    </w:p>
    <w:p>
      <w:pPr>
        <w:pStyle w:val="BodyText"/>
      </w:pPr>
      <w:r>
        <w:t xml:space="preserve">This activity aims to explore and profile the metagenomic diversity using the R/Bioconductor package phyloseq which leverages various R-based tools to produce publication-quality taxonomy profiling and analysis graphics.</w:t>
      </w:r>
    </w:p>
    <w:bookmarkEnd w:id="195"/>
    <w:bookmarkStart w:id="196" w:name="learning-objectives-6"/>
    <w:p>
      <w:pPr>
        <w:pStyle w:val="Heading3"/>
      </w:pPr>
      <w:r>
        <w:rPr>
          <w:rStyle w:val="SectionNumber"/>
        </w:rPr>
        <w:t xml:space="preserve">4.3.1</w:t>
      </w:r>
      <w:r>
        <w:tab/>
      </w:r>
      <w:r>
        <w:t xml:space="preserve">Learning objectives</w:t>
      </w:r>
    </w:p>
    <w:p>
      <w:pPr>
        <w:numPr>
          <w:ilvl w:val="0"/>
          <w:numId w:val="1085"/>
        </w:numPr>
        <w:pStyle w:val="Compact"/>
      </w:pPr>
      <w:r>
        <w:t xml:space="preserve">Use phyloseq to explore data associated with Amplicon Sequence Variants (ASVs).</w:t>
      </w:r>
    </w:p>
    <w:p>
      <w:pPr>
        <w:numPr>
          <w:ilvl w:val="0"/>
          <w:numId w:val="1085"/>
        </w:numPr>
        <w:pStyle w:val="Compact"/>
      </w:pPr>
      <w:r>
        <w:t xml:space="preserve">In phyloseq, subset data based on metadata and taxonomy.</w:t>
      </w:r>
    </w:p>
    <w:p>
      <w:pPr>
        <w:numPr>
          <w:ilvl w:val="0"/>
          <w:numId w:val="1085"/>
        </w:numPr>
        <w:pStyle w:val="Compact"/>
      </w:pPr>
      <w:r>
        <w:t xml:space="preserve">In phyloseq, profile and plot taxonomy.</w:t>
      </w:r>
    </w:p>
    <w:bookmarkEnd w:id="196"/>
    <w:bookmarkStart w:id="197" w:name="introduction-7"/>
    <w:p>
      <w:pPr>
        <w:pStyle w:val="Heading3"/>
      </w:pPr>
      <w:r>
        <w:rPr>
          <w:rStyle w:val="SectionNumber"/>
        </w:rPr>
        <w:t xml:space="preserve">4.3.2</w:t>
      </w:r>
      <w:r>
        <w:tab/>
      </w:r>
      <w:r>
        <w:t xml:space="preserve">Introduction</w:t>
      </w:r>
    </w:p>
    <w:p>
      <w:pPr>
        <w:pStyle w:val="FirstParagraph"/>
      </w:pPr>
      <w:r>
        <w:t xml:space="preserve">The most popular sequencing technique for the analysis of bacterial diversity is targeted sequencing, or sequencing of a specific gene (or region of a gene, e.g. a hypervariable region of the bacterial 16S ribosomal rRNA gene) using polymerase chain reaction (PCR) to create sequences called amplicons. Sequence variation in the resulting amplicons creates amplicon sequence variants (ASVs). ASVs varying from as little as one single nucleotide can be defined as separate ASVs, which can be further clustered into OTUs (Operational Taxonomic Units) based on sequence similarity; e.g. as ASVs within 1% sequence difference can clustered into the same species/OTU.</w:t>
      </w:r>
    </w:p>
    <w:bookmarkEnd w:id="197"/>
    <w:bookmarkStart w:id="198" w:name="Xe45af9acbb28abccd6a23dcf034e37d37ee88bd"/>
    <w:p>
      <w:pPr>
        <w:pStyle w:val="Heading3"/>
      </w:pPr>
      <w:r>
        <w:rPr>
          <w:rStyle w:val="SectionNumber"/>
        </w:rPr>
        <w:t xml:space="preserve">4.3.3</w:t>
      </w:r>
      <w:r>
        <w:tab/>
      </w:r>
      <w:r>
        <w:t xml:space="preserve">Activity 1 – Explore 16S rRNA Data with phyloseq tutorial</w:t>
      </w:r>
    </w:p>
    <w:p>
      <w:pPr>
        <w:pStyle w:val="FirstParagraph"/>
      </w:pPr>
      <w:r>
        <w:rPr>
          <w:iCs/>
          <w:i/>
        </w:rPr>
        <w:t xml:space="preserve">Estimated time: 25 min</w:t>
      </w:r>
    </w:p>
    <w:p>
      <w:pPr>
        <w:pStyle w:val="BodyText"/>
      </w:pPr>
      <w:r>
        <w:t xml:space="preserve">Explore a phyloseq object through the</w:t>
      </w:r>
      <w:r>
        <w:t xml:space="preserve"> </w:t>
      </w:r>
      <w:r>
        <w:t xml:space="preserve">“</w:t>
      </w:r>
      <w:r>
        <w:t xml:space="preserve">Explore 16S rRNA Data with phyloseq</w:t>
      </w:r>
      <w:r>
        <w:t xml:space="preserve">”</w:t>
      </w:r>
      <w:r>
        <w:t xml:space="preserve"> </w:t>
      </w:r>
      <w:r>
        <w:t xml:space="preserve">tutorial on SciServer.</w:t>
      </w:r>
    </w:p>
    <w:p>
      <w:pPr>
        <w:pStyle w:val="BodyText"/>
      </w:pPr>
      <w:r>
        <w:t xml:space="preserve">Log into SciServer, click on compute, and create a new C-MOOR LearnR container. When creating a container, remember to:</w:t>
      </w:r>
    </w:p>
    <w:p>
      <w:pPr>
        <w:numPr>
          <w:ilvl w:val="0"/>
          <w:numId w:val="1086"/>
        </w:numPr>
        <w:pStyle w:val="Compact"/>
      </w:pPr>
      <w:r>
        <w:t xml:space="preserve">Access the C-MOOR Tutorials</w:t>
      </w:r>
    </w:p>
    <w:p>
      <w:pPr>
        <w:numPr>
          <w:ilvl w:val="0"/>
          <w:numId w:val="1087"/>
        </w:numPr>
      </w:pPr>
      <w:r>
        <w:t xml:space="preserve">If you are using SciServer, log into SciServer, click on compute and open your</w:t>
      </w:r>
      <w:r>
        <w:t xml:space="preserve"> </w:t>
      </w:r>
      <w:r>
        <w:t xml:space="preserve">“</w:t>
      </w:r>
      <w:r>
        <w:t xml:space="preserve">C-MOOR LearnR</w:t>
      </w:r>
      <w:r>
        <w:t xml:space="preserve">”</w:t>
      </w:r>
      <w:r>
        <w:t xml:space="preserve"> </w:t>
      </w:r>
      <w:r>
        <w:t xml:space="preserve">container. Visit SciServer Guides and FAQs if you need to jog your memory on how to do this.</w:t>
      </w:r>
    </w:p>
    <w:p>
      <w:pPr>
        <w:numPr>
          <w:ilvl w:val="0"/>
          <w:numId w:val="1087"/>
        </w:numPr>
      </w:pPr>
      <w:r>
        <w:t xml:space="preserve">If you are using AnVIL, log into AnVIL, navigate to your class Workspace, start up an RStudio Cloud Environment, and open RStudio. Visit the AnVIL Guides and FAQs if you need to jog your memory on how to do this. This module can be found in the</w:t>
      </w:r>
      <w:r>
        <w:t xml:space="preserve"> </w:t>
      </w:r>
      <w:r>
        <w:t xml:space="preserve">“</w:t>
      </w:r>
      <w:r>
        <w:t xml:space="preserve">1-explore-ps</w:t>
      </w:r>
      <w:r>
        <w:t xml:space="preserve">”</w:t>
      </w:r>
      <w:r>
        <w:t xml:space="preserve"> </w:t>
      </w:r>
      <w:r>
        <w:t xml:space="preserve">folder of the</w:t>
      </w:r>
      <w:r>
        <w:t xml:space="preserve"> </w:t>
      </w:r>
      <w:r>
        <w:t xml:space="preserve">“</w:t>
      </w:r>
      <w:r>
        <w:t xml:space="preserve">16s</w:t>
      </w:r>
      <w:r>
        <w:t xml:space="preserve">”</w:t>
      </w:r>
      <w:r>
        <w:t xml:space="preserve"> </w:t>
      </w:r>
      <w:r>
        <w:t xml:space="preserve">curriculum folder.</w:t>
      </w:r>
    </w:p>
    <w:p>
      <w:pPr>
        <w:numPr>
          <w:ilvl w:val="0"/>
          <w:numId w:val="1087"/>
        </w:numPr>
      </w:pPr>
      <w:r>
        <w:t xml:space="preserve">If you are using an alternative setup, follow the instructions provided by your instructor.</w:t>
      </w:r>
    </w:p>
    <w:p>
      <w:pPr>
        <w:numPr>
          <w:ilvl w:val="0"/>
          <w:numId w:val="1088"/>
        </w:numPr>
        <w:pStyle w:val="Compact"/>
      </w:pPr>
      <w:r>
        <w:t xml:space="preserve">Start the</w:t>
      </w:r>
      <w:r>
        <w:t xml:space="preserve"> </w:t>
      </w:r>
      <w:r>
        <w:t xml:space="preserve">“</w:t>
      </w:r>
      <w:r>
        <w:t xml:space="preserve">Explore 16S rRNA Data with phyloseq</w:t>
      </w:r>
      <w:r>
        <w:t xml:space="preserve">”</w:t>
      </w:r>
      <w:r>
        <w:t xml:space="preserve"> </w:t>
      </w:r>
      <w:r>
        <w:t xml:space="preserve">tutorial. Visit SciServer Guides and FAQs. If you need assistance accessing the tutorial.</w:t>
      </w:r>
    </w:p>
    <w:p>
      <w:pPr>
        <w:numPr>
          <w:ilvl w:val="0"/>
          <w:numId w:val="1088"/>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p>
      <w:pPr>
        <w:numPr>
          <w:ilvl w:val="0"/>
          <w:numId w:val="1088"/>
        </w:numPr>
        <w:pStyle w:val="Compact"/>
      </w:pPr>
      <w:r>
        <w:t xml:space="preserve">This tutorial has small boxes in which you can enter and run short lines of code to analyze the data.</w:t>
      </w:r>
    </w:p>
    <w:p>
      <w:pPr>
        <w:numPr>
          <w:ilvl w:val="0"/>
          <w:numId w:val="1088"/>
        </w:numPr>
        <w:pStyle w:val="Compact"/>
      </w:pPr>
      <w:r>
        <w:t xml:space="preserve">As you work through the tutorial, take snapshots of your work and paste your answers in the grey boxes below: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 OTU_table section – Take a snapshot and paste your code and the output for the following question in the tutorial:</w:t>
            </w:r>
            <w:r>
              <w:rPr>
                <w:bCs/>
                <w:b/>
              </w:rPr>
              <w:t xml:space="preserve"> </w:t>
            </w:r>
            <w:r>
              <w:rPr>
                <w:bCs/>
                <w:b/>
              </w:rPr>
              <w:t xml:space="preserve">“</w:t>
            </w:r>
            <w:r>
              <w:rPr>
                <w:bCs/>
                <w:b/>
              </w:rPr>
              <w:t xml:space="preserve">What is the normalized count for ASV115 in sample 10?</w:t>
            </w:r>
            <w:r>
              <w:rPr>
                <w:bCs/>
                <w:b/>
              </w:rPr>
              <w:t xml:space="preserve">”</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1-2. Visualizing Taxonomy section – Take a snapshot and paste your code and the output for the following question in the tutorial:</w:t>
            </w:r>
            <w:r>
              <w:rPr>
                <w:bCs/>
                <w:b/>
              </w:rPr>
              <w:t xml:space="preserve"> </w:t>
            </w:r>
            <w:r>
              <w:rPr>
                <w:bCs/>
                <w:b/>
              </w:rPr>
              <w:t xml:space="preserve">“</w:t>
            </w:r>
            <w:r>
              <w:rPr>
                <w:bCs/>
                <w:b/>
              </w:rPr>
              <w:t xml:space="preserve">What timepoint has the lowest proportion of phylum Verrucomicrobia?</w:t>
            </w:r>
            <w:r>
              <w:rPr>
                <w:bCs/>
                <w:b/>
              </w:rPr>
              <w:t xml:space="preserve">”</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Using subset_taxa() section – Take a snapshot and paste your code and the output for the following question in the tutorial:</w:t>
            </w:r>
            <w:r>
              <w:rPr>
                <w:bCs/>
                <w:b/>
              </w:rPr>
              <w:t xml:space="preserve"> </w:t>
            </w:r>
            <w:r>
              <w:rPr>
                <w:bCs/>
                <w:b/>
              </w:rPr>
              <w:t xml:space="preserve">“</w:t>
            </w:r>
            <w:r>
              <w:rPr>
                <w:bCs/>
                <w:b/>
              </w:rPr>
              <w:t xml:space="preserve">What are the 2 most abundant orders in the class Gammaproteobacteria?</w:t>
            </w:r>
            <w:r>
              <w:rPr>
                <w:bCs/>
                <w:b/>
              </w:rPr>
              <w:t xml:space="preserve">”</w:t>
            </w:r>
          </w:p>
        </w:tc>
      </w:tr>
      <w:tr>
        <w:tc>
          <w:tcPr/>
          <w:p>
            <w:pPr>
              <w:pStyle w:val="Compact"/>
              <w:jc w:val="left"/>
            </w:pPr>
          </w:p>
        </w:tc>
      </w:tr>
    </w:tbl>
    <w:p>
      <w:pPr>
        <w:pStyle w:val="BodyText"/>
      </w:pPr>
    </w:p>
    <w:bookmarkEnd w:id="198"/>
    <w:bookmarkStart w:id="203" w:name="activity-2-try-it-out-questions"/>
    <w:p>
      <w:pPr>
        <w:pStyle w:val="Heading3"/>
      </w:pPr>
      <w:r>
        <w:rPr>
          <w:rStyle w:val="SectionNumber"/>
        </w:rPr>
        <w:t xml:space="preserve">4.3.4</w:t>
      </w:r>
      <w:r>
        <w:tab/>
      </w:r>
      <w:r>
        <w:t xml:space="preserve">Activity 2 – Try it out questions</w:t>
      </w:r>
    </w:p>
    <w:p>
      <w:pPr>
        <w:pStyle w:val="FirstParagraph"/>
      </w:pPr>
      <w:r>
        <w:rPr>
          <w:iCs/>
          <w:i/>
        </w:rPr>
        <w:t xml:space="preserve">Estimated time: 60 min</w:t>
      </w:r>
    </w:p>
    <w:p>
      <w:pPr>
        <w:pStyle w:val="BodyText"/>
      </w:pPr>
      <w:r>
        <w:t xml:space="preserve">With your group, perform some exploratory data analysis selecting from one of the four questions below or coming up with your own question. Each question has its own section with code templates for you to use below. Select a question here, then go to the page specific to your question.</w:t>
      </w:r>
    </w:p>
    <w:bookmarkStart w:id="199" w:name="X3970f89dd765a83559f7ef93a84d5c8174de857"/>
    <w:p>
      <w:pPr>
        <w:pStyle w:val="Heading4"/>
      </w:pPr>
      <w:r>
        <w:rPr>
          <w:rStyle w:val="SectionNumber"/>
        </w:rPr>
        <w:t xml:space="preserve">4.3.4.1</w:t>
      </w:r>
      <w:r>
        <w:tab/>
      </w:r>
      <w:r>
        <w:t xml:space="preserve">Question 1. What has more impact on human microbial variation, diet or individuality?</w:t>
      </w:r>
    </w:p>
    <w:p>
      <w:pPr>
        <w:pStyle w:val="FirstParagraph"/>
      </w:pPr>
      <w:r>
        <w:t xml:space="preserve">Diet is suggested to play an important role in shaping the human gut microbiome. However, other factors that are specific to an individual such as their physical fitness, metabolism, and genotype are also suspected to play a strong role. Here we will explore the impact of diet and individuality on human gut microbiome.</w:t>
      </w:r>
    </w:p>
    <w:p>
      <w:pPr>
        <w:pStyle w:val="BodyText"/>
      </w:pPr>
      <w:r>
        <w:t xml:space="preserve">Approach: Examine high-level (Phylum) taxonomy for 5 timepoints and 21 individuals and evaluate if the change of diet or inter-individual differences have more impact on microbe variation.</w:t>
      </w:r>
    </w:p>
    <w:p>
      <w:pPr>
        <w:numPr>
          <w:ilvl w:val="0"/>
          <w:numId w:val="1089"/>
        </w:numPr>
        <w:pStyle w:val="Compact"/>
      </w:pPr>
      <w:r>
        <w:t xml:space="preserve">Evaluate the effect of diet – Plot the three dietary groups BD, HD, and WO corresponding to 5 experimental timepoints (where timepoints 1 and 2 are BD, timepoints 3 and 4 are HD and timepoint 5 is WO).</w:t>
      </w:r>
    </w:p>
    <w:p>
      <w:pPr>
        <w:numPr>
          <w:ilvl w:val="0"/>
          <w:numId w:val="1089"/>
        </w:numPr>
        <w:pStyle w:val="Compact"/>
      </w:pPr>
      <w:r>
        <w:t xml:space="preserve">Evaluate the effect of individuality – Plot the microbiome for all 21 individuals but focus on just the HD timepointgroup (where diet is the same).</w:t>
      </w:r>
    </w:p>
    <w:bookmarkEnd w:id="199"/>
    <w:bookmarkStart w:id="200" w:name="Xff240a2d483d54ced52f51f9c4c7d07d2360700"/>
    <w:p>
      <w:pPr>
        <w:pStyle w:val="Heading4"/>
      </w:pPr>
      <w:r>
        <w:rPr>
          <w:rStyle w:val="SectionNumber"/>
        </w:rPr>
        <w:t xml:space="preserve">4.3.4.2</w:t>
      </w:r>
      <w:r>
        <w:tab/>
      </w:r>
      <w:r>
        <w:t xml:space="preserve">Question 2. What are some of the most abundant microbes when viewed at different taxonomic resolutions?</w:t>
      </w:r>
    </w:p>
    <w:p>
      <w:pPr>
        <w:pStyle w:val="FirstParagraph"/>
      </w:pPr>
      <w:r>
        <w:t xml:space="preserve">Microbes within the core microbiome - the most common and abundant species across samples in a given group - are likely to be involved in key functions of the holobiont. Here we will explore some of the most common microbes at increasing levels of taxonomic resolution.</w:t>
      </w:r>
    </w:p>
    <w:p>
      <w:pPr>
        <w:pStyle w:val="BodyText"/>
      </w:pPr>
      <w:r>
        <w:t xml:space="preserve">Approach: Examine microbial composition for most abundant taxonomic ranks in the human gut of the 21 individuals. To do so, you will use progressive sub-setting of the most abundant taxonomic ranks ranging from Phylum down to Species.</w:t>
      </w:r>
    </w:p>
    <w:p>
      <w:pPr>
        <w:numPr>
          <w:ilvl w:val="0"/>
          <w:numId w:val="1090"/>
        </w:numPr>
        <w:pStyle w:val="Compact"/>
      </w:pPr>
      <w:r>
        <w:t xml:space="preserve">Plot all the Phyla and identify the most abundant Phylum</w:t>
      </w:r>
    </w:p>
    <w:p>
      <w:pPr>
        <w:numPr>
          <w:ilvl w:val="0"/>
          <w:numId w:val="1090"/>
        </w:numPr>
        <w:pStyle w:val="Compact"/>
      </w:pPr>
      <w:r>
        <w:t xml:space="preserve">Subset the most abundant Phylum, and plot all the Orders</w:t>
      </w:r>
    </w:p>
    <w:p>
      <w:pPr>
        <w:numPr>
          <w:ilvl w:val="0"/>
          <w:numId w:val="1090"/>
        </w:numPr>
        <w:pStyle w:val="Compact"/>
      </w:pPr>
      <w:r>
        <w:t xml:space="preserve">Subset the most abundant Order, and plot all the Families</w:t>
      </w:r>
    </w:p>
    <w:p>
      <w:pPr>
        <w:numPr>
          <w:ilvl w:val="0"/>
          <w:numId w:val="1090"/>
        </w:numPr>
        <w:pStyle w:val="Compact"/>
      </w:pPr>
      <w:r>
        <w:t xml:space="preserve">Subset the most abundant Family, and plot all the Genera</w:t>
      </w:r>
    </w:p>
    <w:p>
      <w:pPr>
        <w:numPr>
          <w:ilvl w:val="0"/>
          <w:numId w:val="1090"/>
        </w:numPr>
        <w:pStyle w:val="Compact"/>
      </w:pPr>
      <w:r>
        <w:t xml:space="preserve">Subset the most abundant Genus, and plot all the Species</w:t>
      </w:r>
    </w:p>
    <w:bookmarkEnd w:id="200"/>
    <w:bookmarkStart w:id="201" w:name="Xceaa160192ac623c0852540bd90f0b232ee8573"/>
    <w:p>
      <w:pPr>
        <w:pStyle w:val="Heading4"/>
      </w:pPr>
      <w:r>
        <w:rPr>
          <w:rStyle w:val="SectionNumber"/>
        </w:rPr>
        <w:t xml:space="preserve">4.3.4.3</w:t>
      </w:r>
      <w:r>
        <w:tab/>
      </w:r>
      <w:r>
        <w:t xml:space="preserve">Question 3. Does gender have an impact on the human gut microbiome?</w:t>
      </w:r>
    </w:p>
    <w:p>
      <w:pPr>
        <w:pStyle w:val="FirstParagraph"/>
      </w:pPr>
      <w:r>
        <w:t xml:space="preserve">The biological sex of the host has been suggested to help shape or influence its gut microbiome. Some candidate microbes have been implicated in sex differences. Here we will explore the potential gender-based differences in the human gut microbiome.</w:t>
      </w:r>
    </w:p>
    <w:p>
      <w:pPr>
        <w:pStyle w:val="BodyText"/>
      </w:pPr>
      <w:r>
        <w:t xml:space="preserve">Approach: Test if Phyla and/or species vary based on gender. First you will survey the differences between male and female subjects in the composition of their Phylum and species. Then you will select some candidate microbes of interest to examine in further detail.</w:t>
      </w:r>
    </w:p>
    <w:p>
      <w:pPr>
        <w:numPr>
          <w:ilvl w:val="0"/>
          <w:numId w:val="1091"/>
        </w:numPr>
        <w:pStyle w:val="Compact"/>
      </w:pPr>
      <w:r>
        <w:t xml:space="preserve">Survey differences in phylum and species composition by gender.</w:t>
      </w:r>
    </w:p>
    <w:p>
      <w:pPr>
        <w:numPr>
          <w:ilvl w:val="0"/>
          <w:numId w:val="1091"/>
        </w:numPr>
        <w:pStyle w:val="Compact"/>
      </w:pPr>
      <w:r>
        <w:t xml:space="preserve">Plot differences in species for a high abundance phylum by gender.</w:t>
      </w:r>
    </w:p>
    <w:p>
      <w:pPr>
        <w:numPr>
          <w:ilvl w:val="0"/>
          <w:numId w:val="1091"/>
        </w:numPr>
        <w:pStyle w:val="Compact"/>
      </w:pPr>
      <w:r>
        <w:t xml:space="preserve">Plot differences in species for a low abundance phylum by gender.</w:t>
      </w:r>
    </w:p>
    <w:p>
      <w:pPr>
        <w:numPr>
          <w:ilvl w:val="0"/>
          <w:numId w:val="1091"/>
        </w:numPr>
        <w:pStyle w:val="Compact"/>
      </w:pPr>
      <w:r>
        <w:t xml:space="preserve">Plot two candidate microbes reported in the literature to vary with gender.</w:t>
      </w:r>
    </w:p>
    <w:bookmarkEnd w:id="201"/>
    <w:bookmarkStart w:id="202" w:name="X1ad1701246c1eca43dcadb7b5da61951b044c41"/>
    <w:p>
      <w:pPr>
        <w:pStyle w:val="Heading4"/>
      </w:pPr>
      <w:r>
        <w:rPr>
          <w:rStyle w:val="SectionNumber"/>
        </w:rPr>
        <w:t xml:space="preserve">4.3.4.4</w:t>
      </w:r>
      <w:r>
        <w:tab/>
      </w:r>
      <w:r>
        <w:t xml:space="preserve">Question 4. Does age have an impact on human gut microbiomes?</w:t>
      </w:r>
    </w:p>
    <w:p>
      <w:pPr>
        <w:pStyle w:val="FirstParagraph"/>
      </w:pPr>
      <w:r>
        <w:t xml:space="preserve">The human gut microbiome has been associated with age-related disease states, immune-system changes, and metabolic function. Here we will explore the potential microbiome changes associated with aging.</w:t>
      </w:r>
    </w:p>
    <w:p>
      <w:pPr>
        <w:pStyle w:val="BodyText"/>
      </w:pPr>
      <w:r>
        <w:t xml:space="preserve">Approach: Test if Phylum and/or species composition differs by age across the dataset. First you will plot the relationship between age and phylum; we will see that age is a more challenging variable to work with than our categorical variables. You will collapse and transform the data to fix this issue to create a final plot for your interpretation.</w:t>
      </w:r>
    </w:p>
    <w:p>
      <w:pPr>
        <w:numPr>
          <w:ilvl w:val="0"/>
          <w:numId w:val="1092"/>
        </w:numPr>
        <w:pStyle w:val="Compact"/>
      </w:pPr>
      <w:r>
        <w:t xml:space="preserve">Plot all Phyla based on age.</w:t>
      </w:r>
    </w:p>
    <w:p>
      <w:pPr>
        <w:numPr>
          <w:ilvl w:val="0"/>
          <w:numId w:val="1092"/>
        </w:numPr>
        <w:pStyle w:val="Compact"/>
      </w:pPr>
      <w:r>
        <w:t xml:space="preserve">Normalize age that includes multiple individuals to avoid overestimation (e.g., 2 individuals are of age 27, 46 and 58, and 3 individuals are 54).</w:t>
      </w:r>
    </w:p>
    <w:p>
      <w:pPr>
        <w:numPr>
          <w:ilvl w:val="0"/>
          <w:numId w:val="1092"/>
        </w:numPr>
        <w:pStyle w:val="Compact"/>
      </w:pPr>
      <w:r>
        <w:t xml:space="preserve">Profile candidate Phyla Firmicutes based on age.</w:t>
      </w:r>
    </w:p>
    <w:p>
      <w:pPr>
        <w:numPr>
          <w:ilvl w:val="0"/>
          <w:numId w:val="1092"/>
        </w:numPr>
        <w:pStyle w:val="Compact"/>
      </w:pPr>
      <w:r>
        <w:t xml:space="preserve">Profile candidate Phyla Bacteroidetes based on age.</w:t>
      </w:r>
    </w:p>
    <w:bookmarkEnd w:id="202"/>
    <w:bookmarkEnd w:id="203"/>
    <w:bookmarkStart w:id="204" w:name="grading-criteria-3"/>
    <w:p>
      <w:pPr>
        <w:pStyle w:val="Heading3"/>
      </w:pPr>
      <w:r>
        <w:rPr>
          <w:rStyle w:val="SectionNumber"/>
        </w:rPr>
        <w:t xml:space="preserve">4.3.5</w:t>
      </w:r>
      <w:r>
        <w:tab/>
      </w:r>
      <w:r>
        <w:t xml:space="preserve">Grading criteria</w:t>
      </w:r>
    </w:p>
    <w:p>
      <w:pPr>
        <w:numPr>
          <w:ilvl w:val="0"/>
          <w:numId w:val="1093"/>
        </w:numPr>
        <w:pStyle w:val="Compact"/>
      </w:pPr>
      <w:r>
        <w:t xml:space="preserve">Download the assignment to your local computer as a .docx, complete it, and upload the assignment to your LMS (Blackboard, Canvas, Google Classroom).</w:t>
      </w:r>
    </w:p>
    <w:bookmarkEnd w:id="204"/>
    <w:bookmarkStart w:id="209" w:name="footnotes-7"/>
    <w:p>
      <w:pPr>
        <w:pStyle w:val="Heading3"/>
      </w:pPr>
      <w:r>
        <w:rPr>
          <w:rStyle w:val="SectionNumber"/>
        </w:rPr>
        <w:t xml:space="preserve">4.3.6</w:t>
      </w:r>
      <w:r>
        <w:tab/>
      </w:r>
      <w:r>
        <w:t xml:space="preserve">Footnotes</w:t>
      </w:r>
    </w:p>
    <w:bookmarkStart w:id="207" w:name="resources-11"/>
    <w:p>
      <w:pPr>
        <w:pStyle w:val="Heading4"/>
      </w:pPr>
      <w:r>
        <w:rPr>
          <w:rStyle w:val="SectionNumber"/>
        </w:rPr>
        <w:t xml:space="preserve">4.3.6.1</w:t>
      </w:r>
      <w:r>
        <w:tab/>
      </w:r>
      <w:r>
        <w:t xml:space="preserve">Resources</w:t>
      </w:r>
    </w:p>
    <w:p>
      <w:pPr>
        <w:numPr>
          <w:ilvl w:val="0"/>
          <w:numId w:val="1094"/>
        </w:numPr>
        <w:pStyle w:val="Compact"/>
      </w:pPr>
      <w:hyperlink r:id="rId205">
        <w:r>
          <w:rPr>
            <w:rStyle w:val="Hyperlink"/>
          </w:rPr>
          <w:t xml:space="preserve">Google Doc</w:t>
        </w:r>
      </w:hyperlink>
    </w:p>
    <w:p>
      <w:pPr>
        <w:numPr>
          <w:ilvl w:val="0"/>
          <w:numId w:val="1094"/>
        </w:numPr>
        <w:pStyle w:val="Compact"/>
      </w:pPr>
      <w:hyperlink r:id="rId206">
        <w:r>
          <w:rPr>
            <w:rStyle w:val="Hyperlink"/>
          </w:rPr>
          <w:t xml:space="preserve">16S rRNA R Quick Reference</w:t>
        </w:r>
      </w:hyperlink>
    </w:p>
    <w:bookmarkEnd w:id="207"/>
    <w:bookmarkStart w:id="208" w:name="contributions-and-affiliations-7"/>
    <w:p>
      <w:pPr>
        <w:pStyle w:val="Heading4"/>
      </w:pPr>
      <w:r>
        <w:rPr>
          <w:rStyle w:val="SectionNumber"/>
        </w:rPr>
        <w:t xml:space="preserve">4.3.6.2</w:t>
      </w:r>
      <w:r>
        <w:tab/>
      </w:r>
      <w:r>
        <w:t xml:space="preserve">Contributions and affiliations</w:t>
      </w:r>
    </w:p>
    <w:p>
      <w:pPr>
        <w:numPr>
          <w:ilvl w:val="0"/>
          <w:numId w:val="1095"/>
        </w:numPr>
        <w:pStyle w:val="Compact"/>
      </w:pPr>
      <w:r>
        <w:t xml:space="preserve">Valeriya Gaysinskaya, Johns Hopkins University</w:t>
      </w:r>
    </w:p>
    <w:p>
      <w:pPr>
        <w:numPr>
          <w:ilvl w:val="0"/>
          <w:numId w:val="1095"/>
        </w:numPr>
        <w:pStyle w:val="Compact"/>
      </w:pPr>
      <w:r>
        <w:t xml:space="preserve">Gauri Paul, Clovis Community College</w:t>
      </w:r>
    </w:p>
    <w:p>
      <w:pPr>
        <w:numPr>
          <w:ilvl w:val="0"/>
          <w:numId w:val="1095"/>
        </w:numPr>
        <w:pStyle w:val="Compact"/>
      </w:pPr>
      <w:r>
        <w:t xml:space="preserve">Frederick Tan, Johns Hopkins University</w:t>
      </w:r>
    </w:p>
    <w:p>
      <w:pPr>
        <w:numPr>
          <w:ilvl w:val="0"/>
          <w:numId w:val="1095"/>
        </w:numPr>
        <w:pStyle w:val="Compact"/>
      </w:pPr>
      <w:r>
        <w:t xml:space="preserve">Sayumi York, Notre Dame of Maryland University</w:t>
      </w:r>
    </w:p>
    <w:bookmarkEnd w:id="208"/>
    <w:bookmarkEnd w:id="209"/>
    <w:bookmarkEnd w:id="210"/>
    <w:bookmarkStart w:id="217" w:name="X4d4ca1b452e7987c69de277e9ce95c54822fb0d"/>
    <w:p>
      <w:pPr>
        <w:pStyle w:val="Heading2"/>
      </w:pPr>
      <w:r>
        <w:rPr>
          <w:rStyle w:val="SectionNumber"/>
        </w:rPr>
        <w:t xml:space="preserve">4.4</w:t>
      </w:r>
      <w:r>
        <w:tab/>
      </w:r>
      <w:r>
        <w:t xml:space="preserve">Try it Question 1 - What has more impact on human microbial variation, diet or individuality</w:t>
      </w:r>
    </w:p>
    <w:p>
      <w:pPr>
        <w:pStyle w:val="FirstParagraph"/>
      </w:pPr>
      <w:r>
        <w:t xml:space="preserve">Diet is suggested to play an important role in shaping the human gut microbiome. However, other factors that are specific to an individual such as their physical fitness, metabolism, and genotype are also suspected to play a strong role. Here we will explore the impact of diet and individuality on the human gut microbiome.</w:t>
      </w:r>
    </w:p>
    <w:p>
      <w:pPr>
        <w:pStyle w:val="BodyText"/>
      </w:pPr>
      <w:r>
        <w:t xml:space="preserve">Approach: Plot high level taxa (Phyla) for all timepoints and subjects and compare the plots to determine which factor has a stronger effect on microbiome composition.</w:t>
      </w:r>
    </w:p>
    <w:bookmarkStart w:id="211" w:name="Xc42490a7e52876b0cf8b34ba878c458ecf6c0d4"/>
    <w:p>
      <w:pPr>
        <w:pStyle w:val="Heading3"/>
      </w:pPr>
      <w:r>
        <w:rPr>
          <w:rStyle w:val="SectionNumber"/>
        </w:rPr>
        <w:t xml:space="preserve">4.4.1</w:t>
      </w:r>
      <w:r>
        <w:tab/>
      </w:r>
      <w:r>
        <w:t xml:space="preserve">Step 1A: Plot high-level taxonomy (Phylum level) for each timepoint using the plot_bar() function.** Specifically, your plot should show Phyla diversity across all 5 timepoints.</w:t>
      </w:r>
    </w:p>
    <w:p>
      <w:pPr>
        <w:numPr>
          <w:ilvl w:val="0"/>
          <w:numId w:val="1096"/>
        </w:numPr>
        <w:pStyle w:val="Compact"/>
      </w:pPr>
      <w:r>
        <w:t xml:space="preserve">Refer to the</w:t>
      </w:r>
      <w:r>
        <w:t xml:space="preserve"> </w:t>
      </w:r>
      <w:r>
        <w:t xml:space="preserve">“</w:t>
      </w:r>
      <w:r>
        <w:t xml:space="preserve">Explore 16S rRNA Data with phyloseq</w:t>
      </w:r>
      <w:r>
        <w:t xml:space="preserve">”</w:t>
      </w:r>
      <w:r>
        <w:t xml:space="preserve"> </w:t>
      </w:r>
      <w:r>
        <w:t xml:space="preserve">tutorial for help using the plot_bar() function.</w:t>
      </w:r>
    </w:p>
    <w:p>
      <w:pPr>
        <w:numPr>
          <w:ilvl w:val="0"/>
          <w:numId w:val="1096"/>
        </w:numPr>
        <w:pStyle w:val="Compact"/>
      </w:pPr>
      <w:r>
        <w:t xml:space="preserve">Ensure your plot has a title</w:t>
      </w:r>
    </w:p>
    <w:p>
      <w:pPr>
        <w:numPr>
          <w:ilvl w:val="0"/>
          <w:numId w:val="1096"/>
        </w:numPr>
        <w:pStyle w:val="Compact"/>
      </w:pPr>
      <w:r>
        <w:t xml:space="preserve">Remember, the BD diet includes timepoints 1 and 2, the HD diet includes timepoints 3 and 4, and the WO diet includes timepoint 5.</w:t>
      </w:r>
    </w:p>
    <w:p>
      <w:pPr>
        <w:numPr>
          <w:ilvl w:val="0"/>
          <w:numId w:val="1096"/>
        </w:numPr>
        <w:pStyle w:val="Compact"/>
      </w:pPr>
      <w:r>
        <w:t xml:space="preserve">Use the following code as a template:</w:t>
      </w:r>
    </w:p>
    <w:p>
      <w:pPr>
        <w:pStyle w:val="SourceCode"/>
      </w:pPr>
      <w:r>
        <w:rPr>
          <w:rStyle w:val="FunctionTok"/>
        </w:rPr>
        <w:t xml:space="preserve">plot_bar</w:t>
      </w:r>
      <w:r>
        <w:rPr>
          <w:rStyle w:val="NormalTok"/>
        </w:rPr>
        <w:t xml:space="preserve">(miso,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1A-1. Paste figure 1A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1A-2. Does the gut microbiome at the phyla-level look similar for the two samples within the baseline diet treatment (timepoints 1&amp;2)?</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1A-3. Does the gut microbiome at the phyla-level look similar for the two samples within the homogenous diet treatment (timepoints 3&amp;4)?</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1A-4. Does the gut microbiome at the phyla-level look different between diet treatments (timepoints 1 &amp; 2 vs. 3 &amp; 4 vs 5?)</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1A-5 Based on what you wrote above, conclude the effect of diet on the gut microbiome at the level of phylum.</w:t>
            </w:r>
          </w:p>
        </w:tc>
      </w:tr>
      <w:tr>
        <w:tc>
          <w:tcPr/>
          <w:p>
            <w:pPr>
              <w:pStyle w:val="Compact"/>
              <w:jc w:val="left"/>
            </w:pPr>
          </w:p>
        </w:tc>
      </w:tr>
    </w:tbl>
    <w:p>
      <w:pPr>
        <w:pStyle w:val="BodyText"/>
      </w:pPr>
    </w:p>
    <w:bookmarkEnd w:id="211"/>
    <w:bookmarkStart w:id="212" w:name="X2d4d82d780c68e758a74280799ee71fc953bd97"/>
    <w:p>
      <w:pPr>
        <w:pStyle w:val="Heading3"/>
      </w:pPr>
      <w:r>
        <w:rPr>
          <w:rStyle w:val="SectionNumber"/>
        </w:rPr>
        <w:t xml:space="preserve">4.4.2</w:t>
      </w:r>
      <w:r>
        <w:tab/>
      </w:r>
      <w:r>
        <w:t xml:space="preserve">Step 1B: Plot high-level taxonomy (Phylum level) for each individual, using only normalized homogenized diet</w:t>
      </w:r>
      <w:r>
        <w:t xml:space="preserve"> </w:t>
      </w:r>
      <w:r>
        <w:t xml:space="preserve">“</w:t>
      </w:r>
      <w:r>
        <w:t xml:space="preserve">HD</w:t>
      </w:r>
      <w:r>
        <w:t xml:space="preserve">”</w:t>
      </w:r>
      <w:r>
        <w:t xml:space="preserve"> </w:t>
      </w:r>
      <w:r>
        <w:t xml:space="preserve">timepoints to minimize contribution of diet to the analysis using the plot_bar() function.</w:t>
      </w:r>
    </w:p>
    <w:p>
      <w:pPr>
        <w:pStyle w:val="SourceCode"/>
      </w:pPr>
      <w:r>
        <w:rPr>
          <w:rStyle w:val="NormalTok"/>
        </w:rPr>
        <w:t xml:space="preserve">misoHD </w:t>
      </w:r>
      <w:r>
        <w:rPr>
          <w:rStyle w:val="OtherTok"/>
        </w:rPr>
        <w:t xml:space="preserve">=</w:t>
      </w:r>
      <w:r>
        <w:rPr>
          <w:rStyle w:val="NormalTok"/>
        </w:rPr>
        <w:t xml:space="preserve"> </w:t>
      </w:r>
      <w:r>
        <w:rPr>
          <w:rStyle w:val="FunctionTok"/>
        </w:rPr>
        <w:t xml:space="preserve">subset_samples</w:t>
      </w:r>
      <w:r>
        <w:rPr>
          <w:rStyle w:val="NormalTok"/>
        </w:rPr>
        <w:t xml:space="preserve">(miso, diet </w:t>
      </w:r>
      <w:r>
        <w:rPr>
          <w:rStyle w:val="SpecialCharTok"/>
        </w:rPr>
        <w:t xml:space="preserve">==</w:t>
      </w:r>
      <w:r>
        <w:rPr>
          <w:rStyle w:val="NormalTok"/>
        </w:rPr>
        <w:t xml:space="preserve"> </w:t>
      </w:r>
      <w:r>
        <w:rPr>
          <w:rStyle w:val="StringTok"/>
        </w:rPr>
        <w:t xml:space="preserve">"HD"</w:t>
      </w:r>
      <w:r>
        <w:rPr>
          <w:rStyle w:val="NormalTok"/>
        </w:rPr>
        <w:t xml:space="preserve">)</w:t>
      </w:r>
      <w:r>
        <w:br/>
      </w:r>
      <w:r>
        <w:rPr>
          <w:rStyle w:val="FunctionTok"/>
        </w:rPr>
        <w:t xml:space="preserve">plot_bar</w:t>
      </w:r>
      <w:r>
        <w:rPr>
          <w:rStyle w:val="NormalTok"/>
        </w:rPr>
        <w:t xml:space="preserve">(misoHD,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p>
      <w:pPr>
        <w:numPr>
          <w:ilvl w:val="0"/>
          <w:numId w:val="1097"/>
        </w:numPr>
        <w:pStyle w:val="Compact"/>
      </w:pPr>
      <w:r>
        <w:t xml:space="preserve">Specifically, your plot should show Phyla diversity across all 21 individuals at HD timepoints.</w:t>
      </w:r>
    </w:p>
    <w:p>
      <w:pPr>
        <w:numPr>
          <w:ilvl w:val="0"/>
          <w:numId w:val="1097"/>
        </w:numPr>
        <w:pStyle w:val="Compact"/>
      </w:pPr>
      <w:r>
        <w:t xml:space="preserve">Refer to the</w:t>
      </w:r>
      <w:r>
        <w:t xml:space="preserve"> </w:t>
      </w:r>
      <w:r>
        <w:t xml:space="preserve">“</w:t>
      </w:r>
      <w:r>
        <w:t xml:space="preserve">Explore 16S rRNA Data with phyloseq</w:t>
      </w:r>
      <w:r>
        <w:t xml:space="preserve">”</w:t>
      </w:r>
      <w:r>
        <w:t xml:space="preserve"> </w:t>
      </w:r>
      <w:r>
        <w:t xml:space="preserve">tutorial for help using the plot_bar() function.</w:t>
      </w:r>
    </w:p>
    <w:p>
      <w:pPr>
        <w:numPr>
          <w:ilvl w:val="0"/>
          <w:numId w:val="1097"/>
        </w:numPr>
        <w:pStyle w:val="Compact"/>
      </w:pPr>
      <w:r>
        <w:t xml:space="preserve">Check that your plot has a title</w:t>
      </w:r>
    </w:p>
    <w:p>
      <w:pPr>
        <w:numPr>
          <w:ilvl w:val="0"/>
          <w:numId w:val="1097"/>
        </w:numPr>
        <w:pStyle w:val="Compact"/>
      </w:pPr>
      <w:r>
        <w:t xml:space="preserve">Use the command below to create a phyloseq object with only</w:t>
      </w:r>
      <w:r>
        <w:t xml:space="preserve"> </w:t>
      </w:r>
      <w:r>
        <w:t xml:space="preserve">“</w:t>
      </w:r>
      <w:r>
        <w:t xml:space="preserve">HD</w:t>
      </w:r>
      <w:r>
        <w:t xml:space="preserve">”</w:t>
      </w:r>
      <w:r>
        <w:t xml:space="preserve"> </w:t>
      </w:r>
      <w:r>
        <w:t xml:space="preserve">timepoints and fill in the template code to make your plot.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1B-1. Paste your Figure 1B below:</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1B-2. How different is the gut microbiome between subjects?</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1B-3. Based on this figure, what is the effect of the individual on the gut microbiome composition at the level of phylum?</w:t>
            </w:r>
            <w:r>
              <w:t xml:space="preserve"> </w:t>
            </w:r>
            <w:r>
              <w:t xml:space="preserve">Remember, this figure contains data for subjects who were all eating the same homogenized diet. So, the effect of diet is controlled for here and we can see the effect of the individual, which encompasses their lifestyle, genetic factors, age, and unique biology.</w:t>
            </w:r>
          </w:p>
        </w:tc>
      </w:tr>
      <w:tr>
        <w:tc>
          <w:tcPr/>
          <w:p>
            <w:pPr>
              <w:pStyle w:val="Compact"/>
              <w:jc w:val="left"/>
            </w:pPr>
          </w:p>
        </w:tc>
      </w:tr>
    </w:tbl>
    <w:p>
      <w:pPr>
        <w:pStyle w:val="BodyText"/>
      </w:pPr>
    </w:p>
    <w:bookmarkEnd w:id="212"/>
    <w:bookmarkStart w:id="213" w:name="grading-criteria-4"/>
    <w:p>
      <w:pPr>
        <w:pStyle w:val="Heading3"/>
      </w:pPr>
      <w:r>
        <w:rPr>
          <w:rStyle w:val="SectionNumber"/>
        </w:rPr>
        <w:t xml:space="preserve">4.4.3</w:t>
      </w:r>
      <w:r>
        <w:tab/>
      </w:r>
      <w:r>
        <w:t xml:space="preserve">Grading criteria</w:t>
      </w:r>
    </w:p>
    <w:p>
      <w:pPr>
        <w:numPr>
          <w:ilvl w:val="0"/>
          <w:numId w:val="1098"/>
        </w:numPr>
        <w:pStyle w:val="Compact"/>
      </w:pPr>
      <w:r>
        <w:t xml:space="preserve">Download the assignment to your local computer as a .docx, complete it, and upload the assignment to your LMS (Blackboard, Canvas, Google Classroom).</w:t>
      </w:r>
    </w:p>
    <w:bookmarkEnd w:id="213"/>
    <w:bookmarkStart w:id="216" w:name="footnotes-8"/>
    <w:p>
      <w:pPr>
        <w:pStyle w:val="Heading3"/>
      </w:pPr>
      <w:r>
        <w:rPr>
          <w:rStyle w:val="SectionNumber"/>
        </w:rPr>
        <w:t xml:space="preserve">4.4.4</w:t>
      </w:r>
      <w:r>
        <w:tab/>
      </w:r>
      <w:r>
        <w:t xml:space="preserve">Footnotes</w:t>
      </w:r>
    </w:p>
    <w:bookmarkStart w:id="214" w:name="resources-12"/>
    <w:p>
      <w:pPr>
        <w:pStyle w:val="Heading4"/>
      </w:pPr>
      <w:r>
        <w:rPr>
          <w:rStyle w:val="SectionNumber"/>
        </w:rPr>
        <w:t xml:space="preserve">4.4.4.1</w:t>
      </w:r>
      <w:r>
        <w:tab/>
      </w:r>
      <w:r>
        <w:t xml:space="preserve">Resources</w:t>
      </w:r>
    </w:p>
    <w:p>
      <w:pPr>
        <w:numPr>
          <w:ilvl w:val="0"/>
          <w:numId w:val="1099"/>
        </w:numPr>
        <w:pStyle w:val="Compact"/>
      </w:pPr>
      <w:hyperlink r:id="rId205">
        <w:r>
          <w:rPr>
            <w:rStyle w:val="Hyperlink"/>
          </w:rPr>
          <w:t xml:space="preserve">Google Doc</w:t>
        </w:r>
      </w:hyperlink>
    </w:p>
    <w:p>
      <w:pPr>
        <w:numPr>
          <w:ilvl w:val="0"/>
          <w:numId w:val="1099"/>
        </w:numPr>
        <w:pStyle w:val="Compact"/>
      </w:pPr>
      <w:hyperlink r:id="rId206">
        <w:r>
          <w:rPr>
            <w:rStyle w:val="Hyperlink"/>
          </w:rPr>
          <w:t xml:space="preserve">16S rRNA R Quick Reference</w:t>
        </w:r>
      </w:hyperlink>
    </w:p>
    <w:bookmarkEnd w:id="214"/>
    <w:bookmarkStart w:id="215" w:name="contributions-and-affiliations-8"/>
    <w:p>
      <w:pPr>
        <w:pStyle w:val="Heading4"/>
      </w:pPr>
      <w:r>
        <w:rPr>
          <w:rStyle w:val="SectionNumber"/>
        </w:rPr>
        <w:t xml:space="preserve">4.4.4.2</w:t>
      </w:r>
      <w:r>
        <w:tab/>
      </w:r>
      <w:r>
        <w:t xml:space="preserve">Contributions and affiliations</w:t>
      </w:r>
    </w:p>
    <w:p>
      <w:pPr>
        <w:numPr>
          <w:ilvl w:val="0"/>
          <w:numId w:val="1100"/>
        </w:numPr>
        <w:pStyle w:val="Compact"/>
      </w:pPr>
      <w:r>
        <w:t xml:space="preserve">Valeriya Gaysinskaya, Johns Hopkins University</w:t>
      </w:r>
    </w:p>
    <w:p>
      <w:pPr>
        <w:numPr>
          <w:ilvl w:val="0"/>
          <w:numId w:val="1100"/>
        </w:numPr>
        <w:pStyle w:val="Compact"/>
      </w:pPr>
      <w:r>
        <w:t xml:space="preserve">Gauri Paul, Clovis Community College</w:t>
      </w:r>
    </w:p>
    <w:p>
      <w:pPr>
        <w:numPr>
          <w:ilvl w:val="0"/>
          <w:numId w:val="1100"/>
        </w:numPr>
        <w:pStyle w:val="Compact"/>
      </w:pPr>
      <w:r>
        <w:t xml:space="preserve">Frederick Tan, Johns Hopkins University</w:t>
      </w:r>
    </w:p>
    <w:p>
      <w:pPr>
        <w:numPr>
          <w:ilvl w:val="0"/>
          <w:numId w:val="1100"/>
        </w:numPr>
        <w:pStyle w:val="Compact"/>
      </w:pPr>
      <w:r>
        <w:t xml:space="preserve">Sayumi York, Notre Dame of Maryland University</w:t>
      </w:r>
    </w:p>
    <w:bookmarkEnd w:id="215"/>
    <w:bookmarkEnd w:id="216"/>
    <w:bookmarkEnd w:id="217"/>
    <w:bookmarkStart w:id="227" w:name="X52620bebbd61fa8f7bc585afe2b70105c561004"/>
    <w:p>
      <w:pPr>
        <w:pStyle w:val="Heading2"/>
      </w:pPr>
      <w:r>
        <w:rPr>
          <w:rStyle w:val="SectionNumber"/>
        </w:rPr>
        <w:t xml:space="preserve">4.5</w:t>
      </w:r>
      <w:r>
        <w:tab/>
      </w:r>
      <w:r>
        <w:t xml:space="preserve">Try it Question 2 - What are some of the most abundant microbes when viewed at different taxonomic resolutions</w:t>
      </w:r>
    </w:p>
    <w:p>
      <w:pPr>
        <w:pStyle w:val="FirstParagraph"/>
      </w:pPr>
      <w:r>
        <w:t xml:space="preserve">Microbes within the core microbiome - the most common and abundant species across samples in a given group - are likely to be involved in key functions of the holobiont. Here we will explore some of the most common microbes at increasing levels of taxonomic resolution.</w:t>
      </w:r>
    </w:p>
    <w:p>
      <w:pPr>
        <w:pStyle w:val="BodyText"/>
      </w:pPr>
      <w:r>
        <w:t xml:space="preserve">Approach: Plot progressively lower level taxa for all individuals, subsetting most abundant from each rank.</w:t>
      </w:r>
    </w:p>
    <w:bookmarkStart w:id="218" w:name="X7b48b8da6143e29cbbda40ca37a070df2933ae3"/>
    <w:p>
      <w:pPr>
        <w:pStyle w:val="Heading3"/>
      </w:pPr>
      <w:r>
        <w:rPr>
          <w:rStyle w:val="SectionNumber"/>
        </w:rPr>
        <w:t xml:space="preserve">4.5.1</w:t>
      </w:r>
      <w:r>
        <w:tab/>
      </w:r>
      <w:r>
        <w:t xml:space="preserve">Step 2A. Plot Phyla across all subjects and identify the most abundant Phyla. Specifically, your plot should show Phyla diversity across all 21 individuals.</w:t>
      </w:r>
    </w:p>
    <w:p>
      <w:pPr>
        <w:numPr>
          <w:ilvl w:val="0"/>
          <w:numId w:val="1101"/>
        </w:numPr>
      </w:pPr>
      <w:r>
        <w:t xml:space="preserve">Refer to the</w:t>
      </w:r>
      <w:r>
        <w:t xml:space="preserve"> </w:t>
      </w:r>
      <w:r>
        <w:t xml:space="preserve">“</w:t>
      </w:r>
      <w:r>
        <w:t xml:space="preserve">Explore 16S rRNA Data with phyloseq</w:t>
      </w:r>
      <w:r>
        <w:t xml:space="preserve">”</w:t>
      </w:r>
      <w:r>
        <w:t xml:space="preserve"> </w:t>
      </w:r>
      <w:r>
        <w:t xml:space="preserve">tutorial for help using the plot_bar() function.</w:t>
      </w:r>
    </w:p>
    <w:p>
      <w:pPr>
        <w:numPr>
          <w:ilvl w:val="0"/>
          <w:numId w:val="1101"/>
        </w:numPr>
      </w:pPr>
      <w:r>
        <w:t xml:space="preserve">Use the following code as a template:</w:t>
      </w:r>
    </w:p>
    <w:p>
      <w:pPr>
        <w:pStyle w:val="SourceCode"/>
      </w:pPr>
      <w:r>
        <w:rPr>
          <w:rStyle w:val="FunctionTok"/>
        </w:rPr>
        <w:t xml:space="preserve">plot_bar</w:t>
      </w:r>
      <w:r>
        <w:rPr>
          <w:rStyle w:val="NormalTok"/>
        </w:rPr>
        <w:t xml:space="preserve">(miso,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2A-1. Insert the resulting plot below:</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2A-2. Enter the name of the most abundant Phyla below:</w:t>
            </w:r>
          </w:p>
        </w:tc>
      </w:tr>
      <w:tr>
        <w:tc>
          <w:tcPr/>
          <w:p>
            <w:pPr>
              <w:pStyle w:val="Compact"/>
              <w:jc w:val="left"/>
            </w:pPr>
          </w:p>
        </w:tc>
      </w:tr>
    </w:tbl>
    <w:p>
      <w:pPr>
        <w:pStyle w:val="BodyText"/>
      </w:pPr>
    </w:p>
    <w:bookmarkEnd w:id="218"/>
    <w:bookmarkStart w:id="222" w:name="X7139f1be24f956f0f40afe6682cc8c0c7c9716b"/>
    <w:p>
      <w:pPr>
        <w:pStyle w:val="Heading3"/>
      </w:pPr>
      <w:r>
        <w:rPr>
          <w:rStyle w:val="SectionNumber"/>
        </w:rPr>
        <w:t xml:space="preserve">4.5.2</w:t>
      </w:r>
      <w:r>
        <w:tab/>
      </w:r>
      <w:r>
        <w:t xml:space="preserve">Step 2B. Subset the most abundant Phyla, and plot Order (Skip Class)</w:t>
      </w:r>
    </w:p>
    <w:p>
      <w:pPr>
        <w:numPr>
          <w:ilvl w:val="0"/>
          <w:numId w:val="1102"/>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02"/>
        </w:numPr>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Phylum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"subject"</w:t>
      </w:r>
      <w:r>
        <w:rPr>
          <w:rStyle w:val="NormalTok"/>
        </w:rPr>
        <w:t xml:space="preserve">, </w:t>
      </w:r>
      <w:r>
        <w:rPr>
          <w:rStyle w:val="AttributeTok"/>
        </w:rPr>
        <w:t xml:space="preserve">fill =</w:t>
      </w:r>
      <w:r>
        <w:rPr>
          <w:rStyle w:val="NormalTok"/>
        </w:rPr>
        <w:t xml:space="preserve"> </w:t>
      </w:r>
      <w:r>
        <w:rPr>
          <w:rStyle w:val="StringTok"/>
        </w:rPr>
        <w:t xml:space="preserve">"Order"</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2B-1. Insert the resulting plot below. Your plot’s abundance should be more varied and less than all the previous plots you have made so far, as it is only including a subset of the overall dataset.</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2B-2. Enter the name of the most abundant Order of your chosen phylum below:</w:t>
            </w:r>
          </w:p>
        </w:tc>
      </w:tr>
      <w:tr>
        <w:tc>
          <w:tcPr/>
          <w:p>
            <w:pPr>
              <w:pStyle w:val="Compact"/>
              <w:jc w:val="left"/>
            </w:pPr>
          </w:p>
        </w:tc>
      </w:tr>
    </w:tbl>
    <w:p>
      <w:pPr>
        <w:pStyle w:val="BodyText"/>
      </w:pPr>
    </w:p>
    <w:bookmarkStart w:id="219" w:name="Xabbdf55606f58d7d6fafd9bc2edb7defe600b03"/>
    <w:p>
      <w:pPr>
        <w:pStyle w:val="Heading4"/>
      </w:pPr>
      <w:r>
        <w:rPr>
          <w:rStyle w:val="SectionNumber"/>
        </w:rPr>
        <w:t xml:space="preserve">4.5.2.1</w:t>
      </w:r>
      <w:r>
        <w:tab/>
      </w:r>
      <w:r>
        <w:t xml:space="preserve">Step 2C. Subset the most abundant Order, and plot associated Family</w:t>
      </w:r>
    </w:p>
    <w:p>
      <w:pPr>
        <w:numPr>
          <w:ilvl w:val="0"/>
          <w:numId w:val="1103"/>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03"/>
        </w:numPr>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Order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"subject"</w:t>
      </w:r>
      <w:r>
        <w:rPr>
          <w:rStyle w:val="NormalTok"/>
        </w:rPr>
        <w:t xml:space="preserve">, </w:t>
      </w:r>
      <w:r>
        <w:rPr>
          <w:rStyle w:val="AttributeTok"/>
        </w:rPr>
        <w:t xml:space="preserve">fill =</w:t>
      </w:r>
      <w:r>
        <w:rPr>
          <w:rStyle w:val="NormalTok"/>
        </w:rPr>
        <w:t xml:space="preserve"> </w:t>
      </w:r>
      <w:r>
        <w:rPr>
          <w:rStyle w:val="StringTok"/>
        </w:rPr>
        <w:t xml:space="preserve">"Family"</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2C-1. Insert the resulting plot below:</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2C-2. Enter the name of the most abundant Family below:</w:t>
            </w:r>
          </w:p>
        </w:tc>
      </w:tr>
      <w:tr>
        <w:tc>
          <w:tcPr/>
          <w:p>
            <w:pPr>
              <w:pStyle w:val="Compact"/>
              <w:jc w:val="left"/>
            </w:pPr>
          </w:p>
        </w:tc>
      </w:tr>
    </w:tbl>
    <w:p>
      <w:pPr>
        <w:pStyle w:val="BodyText"/>
      </w:pPr>
    </w:p>
    <w:bookmarkEnd w:id="219"/>
    <w:bookmarkStart w:id="220" w:name="X8503efb866327a0b909fbc74abc6bbf2b7abd54"/>
    <w:p>
      <w:pPr>
        <w:pStyle w:val="Heading4"/>
      </w:pPr>
      <w:r>
        <w:rPr>
          <w:rStyle w:val="SectionNumber"/>
        </w:rPr>
        <w:t xml:space="preserve">4.5.2.2</w:t>
      </w:r>
      <w:r>
        <w:tab/>
      </w:r>
      <w:r>
        <w:t xml:space="preserve">Step 2D. Subset most abundant Family, and plot associated Genus</w:t>
      </w:r>
    </w:p>
    <w:p>
      <w:pPr>
        <w:numPr>
          <w:ilvl w:val="0"/>
          <w:numId w:val="1104"/>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04"/>
        </w:numPr>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Family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"subject"</w:t>
      </w:r>
      <w:r>
        <w:rPr>
          <w:rStyle w:val="NormalTok"/>
        </w:rPr>
        <w:t xml:space="preserve">, </w:t>
      </w:r>
      <w:r>
        <w:rPr>
          <w:rStyle w:val="AttributeTok"/>
        </w:rPr>
        <w:t xml:space="preserve">fill =</w:t>
      </w:r>
      <w:r>
        <w:rPr>
          <w:rStyle w:val="NormalTok"/>
        </w:rPr>
        <w:t xml:space="preserve"> </w:t>
      </w:r>
      <w:r>
        <w:rPr>
          <w:rStyle w:val="StringTok"/>
        </w:rPr>
        <w:t xml:space="preserve">"Genus"</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2D-1. Insert the resulting plot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2D-2. Enter the name of the most abundant Genus of your chosen Family below:</w:t>
            </w:r>
          </w:p>
        </w:tc>
      </w:tr>
      <w:tr>
        <w:tc>
          <w:tcPr/>
          <w:p>
            <w:pPr>
              <w:pStyle w:val="Compact"/>
              <w:jc w:val="left"/>
            </w:pPr>
          </w:p>
        </w:tc>
      </w:tr>
    </w:tbl>
    <w:p>
      <w:pPr>
        <w:pStyle w:val="BodyText"/>
      </w:pPr>
    </w:p>
    <w:bookmarkEnd w:id="220"/>
    <w:bookmarkStart w:id="221" w:name="X297f878056c0b28dc2a46fdbf7aa111b883b0b1"/>
    <w:p>
      <w:pPr>
        <w:pStyle w:val="Heading4"/>
      </w:pPr>
      <w:r>
        <w:rPr>
          <w:rStyle w:val="SectionNumber"/>
        </w:rPr>
        <w:t xml:space="preserve">4.5.2.3</w:t>
      </w:r>
      <w:r>
        <w:tab/>
      </w:r>
      <w:r>
        <w:t xml:space="preserve">Step 2E. Subset the most abundant Genus, and plot associated Species</w:t>
      </w:r>
    </w:p>
    <w:p>
      <w:pPr>
        <w:numPr>
          <w:ilvl w:val="0"/>
          <w:numId w:val="1105"/>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05"/>
        </w:numPr>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Genus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"subject"</w:t>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r>
        <w:rPr>
          <w:rStyle w:val="SpecialCharTok"/>
        </w:rPr>
        <w:t xml:space="preserve">+</w:t>
      </w:r>
      <w:r>
        <w:br/>
      </w:r>
      <w:r>
        <w:rPr>
          <w:rStyle w:val="FunctionTok"/>
        </w:rPr>
        <w:t xml:space="preserve">theme</w:t>
      </w:r>
      <w:r>
        <w:rPr>
          <w:rStyle w:val="NormalTok"/>
        </w:rPr>
        <w:t xml:space="preserve">(</w:t>
      </w:r>
      <w:r>
        <w:rPr>
          <w:rStyle w:val="AttributeTok"/>
        </w:rPr>
        <w:t xml:space="preserve">legend.text=</w:t>
      </w:r>
      <w:r>
        <w:rPr>
          <w:rStyle w:val="FunctionTok"/>
        </w:rPr>
        <w:t xml:space="preserve">element_text</w:t>
      </w:r>
      <w:r>
        <w:rPr>
          <w:rStyle w:val="NormalTok"/>
        </w:rPr>
        <w:t xml:space="preserve">(</w:t>
      </w:r>
      <w:r>
        <w:rPr>
          <w:rStyle w:val="AttributeTok"/>
        </w:rPr>
        <w:t xml:space="preserve">size=</w:t>
      </w:r>
      <w:r>
        <w:rPr>
          <w:rStyle w:val="DecValTok"/>
        </w:rPr>
        <w:t xml:space="preserve">6</w:t>
      </w:r>
      <w:r>
        <w:rPr>
          <w:rStyle w:val="NormalTok"/>
        </w:rPr>
        <w:t xml:space="preserve">)) </w:t>
      </w:r>
      <w:r>
        <w:rPr>
          <w:rStyle w:val="SpecialCharTok"/>
        </w:rPr>
        <w:t xml:space="preserve">+</w:t>
      </w:r>
      <w:r>
        <w:rPr>
          <w:rStyle w:val="NormalTok"/>
        </w:rPr>
        <w:t xml:space="preserve"> </w:t>
      </w:r>
      <w:r>
        <w:br/>
      </w:r>
      <w:r>
        <w:rPr>
          <w:rStyle w:val="FunctionTok"/>
        </w:rPr>
        <w:t xml:space="preserve">theme</w:t>
      </w:r>
      <w:r>
        <w:rPr>
          <w:rStyle w:val="NormalTok"/>
        </w:rPr>
        <w:t xml:space="preserve">(</w:t>
      </w:r>
      <w:r>
        <w:rPr>
          <w:rStyle w:val="AttributeTok"/>
        </w:rPr>
        <w:t xml:space="preserve">legend.key.size =</w:t>
      </w:r>
      <w:r>
        <w:rPr>
          <w:rStyle w:val="NormalTok"/>
        </w:rPr>
        <w:t xml:space="preserve"> </w:t>
      </w:r>
      <w:r>
        <w:rPr>
          <w:rStyle w:val="FunctionTok"/>
        </w:rPr>
        <w:t xml:space="preserve">unit</w:t>
      </w:r>
      <w:r>
        <w:rPr>
          <w:rStyle w:val="NormalTok"/>
        </w:rPr>
        <w:t xml:space="preserve">(</w:t>
      </w:r>
      <w:r>
        <w:rPr>
          <w:rStyle w:val="DecValTok"/>
        </w:rPr>
        <w:t xml:space="preserve">6</w:t>
      </w:r>
      <w:r>
        <w:rPr>
          <w:rStyle w:val="NormalTok"/>
        </w:rPr>
        <w:t xml:space="preserve">, </w:t>
      </w:r>
      <w:r>
        <w:rPr>
          <w:rStyle w:val="StringTok"/>
        </w:rPr>
        <w:t xml:space="preserve">"pt"</w:t>
      </w:r>
      <w:r>
        <w:rPr>
          <w:rStyle w:val="NormalTok"/>
        </w:rPr>
        <w:t xml:space="preserve">))</w:t>
      </w:r>
    </w:p>
    <w:p>
      <w:pPr>
        <w:numPr>
          <w:ilvl w:val="0"/>
          <w:numId w:val="1106"/>
        </w:numPr>
        <w:pStyle w:val="Compact"/>
      </w:pPr>
      <w:r>
        <w:t xml:space="preserve">Note, given the many different Species associated with an abundant Genus, we may need to reduce the legend text and key size in order to visualize the plot better. We have added some code above to help see the legend.</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2E-1. Insert the resulting plot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2E-2. Enter the name of the some of the most abundant species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2E-3. After looking through all your plots, summarize your conclusion regarding individual microbiome composition diversity. Explain what reasoning led you to your conclusion.</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2E-4. If an ASV is listed as NA at a given taxonomic rank, it means taxonomic information is not available at that level for that microbe. Are there are lot of ASVs with NA annotations across different levels?</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2E-5. Look up one of the species you found. How might it serve a function in the gut microbiome?</w:t>
            </w:r>
          </w:p>
        </w:tc>
      </w:tr>
      <w:tr>
        <w:tc>
          <w:tcPr/>
          <w:p>
            <w:pPr>
              <w:pStyle w:val="Compact"/>
              <w:jc w:val="left"/>
            </w:pPr>
          </w:p>
        </w:tc>
      </w:tr>
    </w:tbl>
    <w:p>
      <w:pPr>
        <w:pStyle w:val="BodyText"/>
      </w:pPr>
    </w:p>
    <w:bookmarkEnd w:id="221"/>
    <w:bookmarkEnd w:id="222"/>
    <w:bookmarkStart w:id="223" w:name="grading-criteria-5"/>
    <w:p>
      <w:pPr>
        <w:pStyle w:val="Heading3"/>
      </w:pPr>
      <w:r>
        <w:rPr>
          <w:rStyle w:val="SectionNumber"/>
        </w:rPr>
        <w:t xml:space="preserve">4.5.3</w:t>
      </w:r>
      <w:r>
        <w:tab/>
      </w:r>
      <w:r>
        <w:t xml:space="preserve">Grading criteria</w:t>
      </w:r>
    </w:p>
    <w:p>
      <w:pPr>
        <w:numPr>
          <w:ilvl w:val="0"/>
          <w:numId w:val="1107"/>
        </w:numPr>
        <w:pStyle w:val="Compact"/>
      </w:pPr>
      <w:r>
        <w:t xml:space="preserve">Download the assignment to your local computer as a .docx, complete it, and upload the assignment to your LMS (Blackboard, Canvas, Google Classroom).</w:t>
      </w:r>
    </w:p>
    <w:bookmarkEnd w:id="223"/>
    <w:bookmarkStart w:id="226" w:name="footnotes-9"/>
    <w:p>
      <w:pPr>
        <w:pStyle w:val="Heading3"/>
      </w:pPr>
      <w:r>
        <w:rPr>
          <w:rStyle w:val="SectionNumber"/>
        </w:rPr>
        <w:t xml:space="preserve">4.5.4</w:t>
      </w:r>
      <w:r>
        <w:tab/>
      </w:r>
      <w:r>
        <w:t xml:space="preserve">Footnotes</w:t>
      </w:r>
    </w:p>
    <w:bookmarkStart w:id="224" w:name="resources-13"/>
    <w:p>
      <w:pPr>
        <w:pStyle w:val="Heading4"/>
      </w:pPr>
      <w:r>
        <w:rPr>
          <w:rStyle w:val="SectionNumber"/>
        </w:rPr>
        <w:t xml:space="preserve">4.5.4.1</w:t>
      </w:r>
      <w:r>
        <w:tab/>
      </w:r>
      <w:r>
        <w:t xml:space="preserve">Resources</w:t>
      </w:r>
    </w:p>
    <w:p>
      <w:pPr>
        <w:numPr>
          <w:ilvl w:val="0"/>
          <w:numId w:val="1108"/>
        </w:numPr>
        <w:pStyle w:val="Compact"/>
      </w:pPr>
      <w:hyperlink r:id="rId205">
        <w:r>
          <w:rPr>
            <w:rStyle w:val="Hyperlink"/>
          </w:rPr>
          <w:t xml:space="preserve">Google Doc</w:t>
        </w:r>
      </w:hyperlink>
    </w:p>
    <w:p>
      <w:pPr>
        <w:numPr>
          <w:ilvl w:val="0"/>
          <w:numId w:val="1108"/>
        </w:numPr>
        <w:pStyle w:val="Compact"/>
      </w:pPr>
      <w:hyperlink r:id="rId206">
        <w:r>
          <w:rPr>
            <w:rStyle w:val="Hyperlink"/>
          </w:rPr>
          <w:t xml:space="preserve">16S rRNA R Quick Reference</w:t>
        </w:r>
      </w:hyperlink>
    </w:p>
    <w:bookmarkEnd w:id="224"/>
    <w:bookmarkStart w:id="225" w:name="contributions-and-affiliations-9"/>
    <w:p>
      <w:pPr>
        <w:pStyle w:val="Heading4"/>
      </w:pPr>
      <w:r>
        <w:rPr>
          <w:rStyle w:val="SectionNumber"/>
        </w:rPr>
        <w:t xml:space="preserve">4.5.4.2</w:t>
      </w:r>
      <w:r>
        <w:tab/>
      </w:r>
      <w:r>
        <w:t xml:space="preserve">Contributions and affiliations</w:t>
      </w:r>
    </w:p>
    <w:p>
      <w:pPr>
        <w:numPr>
          <w:ilvl w:val="0"/>
          <w:numId w:val="1109"/>
        </w:numPr>
        <w:pStyle w:val="Compact"/>
      </w:pPr>
      <w:r>
        <w:t xml:space="preserve">Valeriya Gaysinskaya, Johns Hopkins University</w:t>
      </w:r>
    </w:p>
    <w:p>
      <w:pPr>
        <w:numPr>
          <w:ilvl w:val="0"/>
          <w:numId w:val="1109"/>
        </w:numPr>
        <w:pStyle w:val="Compact"/>
      </w:pPr>
      <w:r>
        <w:t xml:space="preserve">Gauri Paul, Clovis Community College</w:t>
      </w:r>
    </w:p>
    <w:p>
      <w:pPr>
        <w:numPr>
          <w:ilvl w:val="0"/>
          <w:numId w:val="1109"/>
        </w:numPr>
        <w:pStyle w:val="Compact"/>
      </w:pPr>
      <w:r>
        <w:t xml:space="preserve">Frederick Tan, Johns Hopkins University</w:t>
      </w:r>
    </w:p>
    <w:p>
      <w:pPr>
        <w:numPr>
          <w:ilvl w:val="0"/>
          <w:numId w:val="1109"/>
        </w:numPr>
        <w:pStyle w:val="Compact"/>
      </w:pPr>
      <w:r>
        <w:t xml:space="preserve">Sayumi York, Notre Dame of Maryland University</w:t>
      </w:r>
    </w:p>
    <w:bookmarkEnd w:id="225"/>
    <w:bookmarkEnd w:id="226"/>
    <w:bookmarkEnd w:id="227"/>
    <w:bookmarkStart w:id="236" w:name="Xf07bdb27473f6c68d614de5835bcfe771092cc5"/>
    <w:p>
      <w:pPr>
        <w:pStyle w:val="Heading2"/>
      </w:pPr>
      <w:r>
        <w:rPr>
          <w:rStyle w:val="SectionNumber"/>
        </w:rPr>
        <w:t xml:space="preserve">4.6</w:t>
      </w:r>
      <w:r>
        <w:tab/>
      </w:r>
      <w:r>
        <w:t xml:space="preserve">Try it Question 3 - Does gender contribute to individual microbiome variation</w:t>
      </w:r>
    </w:p>
    <w:p>
      <w:pPr>
        <w:pStyle w:val="FirstParagraph"/>
      </w:pPr>
      <w:r>
        <w:t xml:space="preserve">The biological sex of the host has been suggested to help shape or influence its gut microbiome. Some candidate microbes have been implicated in sex differences. Here we will explore the potential sex-based differences in the human gut microbiome.</w:t>
      </w:r>
    </w:p>
    <w:p>
      <w:pPr>
        <w:pStyle w:val="BodyText"/>
      </w:pPr>
      <w:r>
        <w:t xml:space="preserve">Approach: First survey the differences in microbiome across gender at the level of phyla and species, and identify potential candidates that may differ between males and females. Then, plot your candidates of interest and additional candidate microbes previously associated with gender-based variation.</w:t>
      </w:r>
    </w:p>
    <w:bookmarkStart w:id="228" w:name="X30c62400bcd05f0224a1b73321b93f9cca6d687"/>
    <w:p>
      <w:pPr>
        <w:pStyle w:val="Heading4"/>
      </w:pPr>
      <w:r>
        <w:rPr>
          <w:rStyle w:val="SectionNumber"/>
        </w:rPr>
        <w:t xml:space="preserve">4.6.0.1</w:t>
      </w:r>
      <w:r>
        <w:tab/>
      </w:r>
      <w:r>
        <w:t xml:space="preserve">Step 3A. Perform an initial survey to see if there are any differences in phyla and species composition between genders.</w:t>
      </w:r>
    </w:p>
    <w:p>
      <w:pPr>
        <w:pStyle w:val="FirstParagraph"/>
      </w:pPr>
      <w:r>
        <w:t xml:space="preserve">Specifically, your plot should show phyla diversity within male and female groups.</w:t>
      </w:r>
    </w:p>
    <w:p>
      <w:pPr>
        <w:numPr>
          <w:ilvl w:val="0"/>
          <w:numId w:val="1110"/>
        </w:numPr>
      </w:pPr>
      <w:r>
        <w:t xml:space="preserve">Refer to the</w:t>
      </w:r>
      <w:r>
        <w:t xml:space="preserve"> </w:t>
      </w:r>
      <w:r>
        <w:t xml:space="preserve">“</w:t>
      </w:r>
      <w:r>
        <w:t xml:space="preserve">Explore 16S rRNA Data with phyloseq</w:t>
      </w:r>
      <w:r>
        <w:t xml:space="preserve">”</w:t>
      </w:r>
      <w:r>
        <w:t xml:space="preserve"> </w:t>
      </w:r>
      <w:r>
        <w:t xml:space="preserve">tutorial for help using the plot_bar() function.</w:t>
      </w:r>
    </w:p>
    <w:p>
      <w:pPr>
        <w:numPr>
          <w:ilvl w:val="0"/>
          <w:numId w:val="1110"/>
        </w:numPr>
      </w:pPr>
      <w:r>
        <w:t xml:space="preserve">Use the following code as a template:</w:t>
      </w:r>
    </w:p>
    <w:p>
      <w:pPr>
        <w:pStyle w:val="SourceCode"/>
      </w:pPr>
      <w:r>
        <w:rPr>
          <w:rStyle w:val="FunctionTok"/>
        </w:rPr>
        <w:t xml:space="preserve">plot_bar</w:t>
      </w:r>
      <w:r>
        <w:rPr>
          <w:rStyle w:val="NormalTok"/>
        </w:rPr>
        <w:t xml:space="preserve">(miso,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3A-1. Insert the resulting plot below:</w:t>
            </w:r>
          </w:p>
        </w:tc>
      </w:tr>
      <w:tr>
        <w:tc>
          <w:tcPr/>
          <w:p>
            <w:pPr>
              <w:pStyle w:val="Compact"/>
              <w:jc w:val="left"/>
            </w:pPr>
          </w:p>
        </w:tc>
      </w:tr>
    </w:tbl>
    <w:p>
      <w:pPr>
        <w:pStyle w:val="BodyText"/>
      </w:pPr>
    </w:p>
    <w:p>
      <w:pPr>
        <w:pStyle w:val="BodyText"/>
      </w:pPr>
      <w:r>
        <w:t xml:space="preserve">Consider any initial differences you see, then choose one high-abundant and one low-abundant candidate Phylum that shows hints of being differentially abundant between genders.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3A-2. Record the phylum you chose:</w:t>
            </w:r>
          </w:p>
        </w:tc>
      </w:tr>
      <w:tr>
        <w:tc>
          <w:tcPr/>
          <w:p>
            <w:pPr>
              <w:pStyle w:val="Compact"/>
              <w:jc w:val="left"/>
            </w:pPr>
          </w:p>
        </w:tc>
      </w:tr>
    </w:tbl>
    <w:p>
      <w:pPr>
        <w:pStyle w:val="BodyText"/>
      </w:pPr>
    </w:p>
    <w:bookmarkEnd w:id="228"/>
    <w:bookmarkStart w:id="229" w:name="X489b42404d1e8570eb5f41cc0ab48400a0c8e3f"/>
    <w:p>
      <w:pPr>
        <w:pStyle w:val="Heading4"/>
      </w:pPr>
      <w:r>
        <w:rPr>
          <w:rStyle w:val="SectionNumber"/>
        </w:rPr>
        <w:t xml:space="preserve">4.6.0.2</w:t>
      </w:r>
      <w:r>
        <w:tab/>
      </w:r>
      <w:r>
        <w:t xml:space="preserve">Step 3B. Test gender-based difference in Species for the high abundant phylum you selected. Specifically, your plot should show species diversity within male and female groups for only your phylum of choice.</w:t>
      </w:r>
    </w:p>
    <w:p>
      <w:pPr>
        <w:numPr>
          <w:ilvl w:val="0"/>
          <w:numId w:val="1111"/>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11"/>
        </w:numPr>
      </w:pPr>
      <w:r>
        <w:t xml:space="preserve">Use the following code as a starter:</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Phylum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br/>
      </w:r>
      <w:r>
        <w:rPr>
          <w:rStyle w:val="FunctionTok"/>
        </w:rPr>
        <w:t xml:space="preserve">plot_bar</w:t>
      </w:r>
      <w:r>
        <w:rPr>
          <w:rStyle w:val="NormalTok"/>
        </w:rPr>
        <w:t xml:space="preserve">(subset,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r>
        <w:rPr>
          <w:rStyle w:val="SpecialCharTok"/>
        </w:rPr>
        <w:t xml:space="preserve">+</w:t>
      </w:r>
      <w:r>
        <w:br/>
      </w:r>
      <w:r>
        <w:rPr>
          <w:rStyle w:val="FunctionTok"/>
        </w:rPr>
        <w:t xml:space="preserve">theme</w:t>
      </w:r>
      <w:r>
        <w:rPr>
          <w:rStyle w:val="NormalTok"/>
        </w:rPr>
        <w:t xml:space="preserve">(</w:t>
      </w:r>
      <w:r>
        <w:rPr>
          <w:rStyle w:val="AttributeTok"/>
        </w:rPr>
        <w:t xml:space="preserve">legend.text=</w:t>
      </w:r>
      <w:r>
        <w:rPr>
          <w:rStyle w:val="FunctionTok"/>
        </w:rPr>
        <w:t xml:space="preserve">element_text</w:t>
      </w:r>
      <w:r>
        <w:rPr>
          <w:rStyle w:val="NormalTok"/>
        </w:rPr>
        <w:t xml:space="preserve">(</w:t>
      </w:r>
      <w:r>
        <w:rPr>
          <w:rStyle w:val="AttributeTok"/>
        </w:rPr>
        <w:t xml:space="preserve">size=</w:t>
      </w:r>
      <w:r>
        <w:rPr>
          <w:rStyle w:val="DecValTok"/>
        </w:rPr>
        <w:t xml:space="preserve">6</w:t>
      </w:r>
      <w:r>
        <w:rPr>
          <w:rStyle w:val="NormalTok"/>
        </w:rPr>
        <w:t xml:space="preserve">)) </w:t>
      </w:r>
      <w:r>
        <w:rPr>
          <w:rStyle w:val="SpecialCharTok"/>
        </w:rPr>
        <w:t xml:space="preserve">+</w:t>
      </w:r>
      <w:r>
        <w:rPr>
          <w:rStyle w:val="NormalTok"/>
        </w:rPr>
        <w:t xml:space="preserve"> </w:t>
      </w:r>
      <w:r>
        <w:br/>
      </w:r>
      <w:r>
        <w:rPr>
          <w:rStyle w:val="FunctionTok"/>
        </w:rPr>
        <w:t xml:space="preserve">theme</w:t>
      </w:r>
      <w:r>
        <w:rPr>
          <w:rStyle w:val="NormalTok"/>
        </w:rPr>
        <w:t xml:space="preserve">(</w:t>
      </w:r>
      <w:r>
        <w:rPr>
          <w:rStyle w:val="AttributeTok"/>
        </w:rPr>
        <w:t xml:space="preserve">legend.key.size =</w:t>
      </w:r>
      <w:r>
        <w:rPr>
          <w:rStyle w:val="NormalTok"/>
        </w:rPr>
        <w:t xml:space="preserve"> </w:t>
      </w:r>
      <w:r>
        <w:rPr>
          <w:rStyle w:val="FunctionTok"/>
        </w:rPr>
        <w:t xml:space="preserve">unit</w:t>
      </w:r>
      <w:r>
        <w:rPr>
          <w:rStyle w:val="NormalTok"/>
        </w:rPr>
        <w:t xml:space="preserve">(</w:t>
      </w:r>
      <w:r>
        <w:rPr>
          <w:rStyle w:val="DecValTok"/>
        </w:rPr>
        <w:t xml:space="preserve">6</w:t>
      </w:r>
      <w:r>
        <w:rPr>
          <w:rStyle w:val="NormalTok"/>
        </w:rPr>
        <w:t xml:space="preserve">, </w:t>
      </w:r>
      <w:r>
        <w:rPr>
          <w:rStyle w:val="StringTok"/>
        </w:rPr>
        <w:t xml:space="preserve">"pt"</w:t>
      </w:r>
      <w:r>
        <w:rPr>
          <w:rStyle w:val="NormalTok"/>
        </w:rPr>
        <w:t xml:space="preserve">))</w:t>
      </w:r>
    </w:p>
    <w:p>
      <w:pPr>
        <w:numPr>
          <w:ilvl w:val="0"/>
          <w:numId w:val="1112"/>
        </w:numPr>
        <w:pStyle w:val="Compact"/>
      </w:pPr>
      <w:r>
        <w:t xml:space="preserve">We may need to reduce the legend text and key size in order to visualize the plot better. We have added some code above to help see the legend.</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3B-1. Insert the resulting plot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3B-2. Do you observe any differences in species based on gender within your highly abundant phylum?</w:t>
            </w:r>
          </w:p>
        </w:tc>
      </w:tr>
      <w:tr>
        <w:tc>
          <w:tcPr/>
          <w:p>
            <w:pPr>
              <w:pStyle w:val="Compact"/>
              <w:jc w:val="left"/>
            </w:pPr>
          </w:p>
        </w:tc>
      </w:tr>
    </w:tbl>
    <w:p>
      <w:pPr>
        <w:pStyle w:val="BodyText"/>
      </w:pPr>
    </w:p>
    <w:bookmarkEnd w:id="229"/>
    <w:bookmarkStart w:id="230" w:name="Xb894903059dcddb99417701dd118a39d26ae795"/>
    <w:p>
      <w:pPr>
        <w:pStyle w:val="Heading3"/>
      </w:pPr>
      <w:r>
        <w:rPr>
          <w:rStyle w:val="SectionNumber"/>
        </w:rPr>
        <w:t xml:space="preserve">4.6.1</w:t>
      </w:r>
      <w:r>
        <w:tab/>
      </w:r>
      <w:r>
        <w:t xml:space="preserve">Step 3C. Test gender-based difference in Species for the low abundant phylum you selected.** Specifically, your plot should show species diversity within male and female groups for only your phylum of choice.</w:t>
      </w:r>
    </w:p>
    <w:p>
      <w:pPr>
        <w:numPr>
          <w:ilvl w:val="0"/>
          <w:numId w:val="1113"/>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13"/>
        </w:numPr>
      </w:pPr>
      <w:r>
        <w:t xml:space="preserve">Use the code you used in Step 3B as a template for your code</w:t>
      </w:r>
    </w:p>
    <w:p>
      <w:pPr>
        <w:numPr>
          <w:ilvl w:val="0"/>
          <w:numId w:val="1113"/>
        </w:numPr>
      </w:pPr>
      <w:r>
        <w:t xml:space="preserve">You may receive an error if you chose a phylum that has no species data (all NA). Please choose a new low abundant phylum and try again.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3C-1. Insert the resulting plot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3C-2. Do you observe any differences in species based on gender within your low abundant phylum?</w:t>
            </w:r>
          </w:p>
        </w:tc>
      </w:tr>
      <w:tr>
        <w:tc>
          <w:tcPr/>
          <w:p>
            <w:pPr>
              <w:pStyle w:val="Compact"/>
              <w:jc w:val="left"/>
            </w:pPr>
          </w:p>
        </w:tc>
      </w:tr>
    </w:tbl>
    <w:p>
      <w:pPr>
        <w:pStyle w:val="BodyText"/>
      </w:pPr>
    </w:p>
    <w:bookmarkEnd w:id="230"/>
    <w:bookmarkStart w:id="231" w:name="X5f70ddfa74df22de0026f05f7ad8eac7deb90ee"/>
    <w:p>
      <w:pPr>
        <w:pStyle w:val="Heading3"/>
      </w:pPr>
      <w:r>
        <w:rPr>
          <w:rStyle w:val="SectionNumber"/>
        </w:rPr>
        <w:t xml:space="preserve">4.6.2</w:t>
      </w:r>
      <w:r>
        <w:tab/>
      </w:r>
      <w:r>
        <w:t xml:space="preserve">Step 3D: Plot the individual abundance of 2 candidate microbes for gender differences based on your analysis above, and/or the curated menu of microbes below (previously associated with gender variation), with color denoting gender.</w:t>
      </w:r>
    </w:p>
    <w:p>
      <w:pPr>
        <w:numPr>
          <w:ilvl w:val="0"/>
          <w:numId w:val="1114"/>
        </w:numPr>
      </w:pPr>
      <w:r>
        <w:t xml:space="preserve">Specifically, your plot should show the chosen microbial group across 21 subjects with the bars colored by gender.</w:t>
      </w:r>
    </w:p>
    <w:p>
      <w:pPr>
        <w:numPr>
          <w:ilvl w:val="0"/>
          <w:numId w:val="1114"/>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14"/>
        </w:numPr>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Phylum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"subject"</w:t>
      </w:r>
      <w:r>
        <w:rPr>
          <w:rStyle w:val="NormalTok"/>
        </w:rPr>
        <w:t xml:space="preserve">, </w:t>
      </w:r>
      <w:r>
        <w:rPr>
          <w:rStyle w:val="AttributeTok"/>
        </w:rPr>
        <w:t xml:space="preserve">fill =</w:t>
      </w:r>
      <w:r>
        <w:rPr>
          <w:rStyle w:val="NormalTok"/>
        </w:rPr>
        <w:t xml:space="preserve"> </w:t>
      </w:r>
      <w:r>
        <w:rPr>
          <w:rStyle w:val="StringTok"/>
        </w:rPr>
        <w:t xml:space="preserve">"gender"</w:t>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gender, </w:t>
      </w:r>
      <w:r>
        <w:rPr>
          <w:rStyle w:val="AttributeTok"/>
        </w:rPr>
        <w:t xml:space="preserve">fill =</w:t>
      </w:r>
      <w:r>
        <w:rPr>
          <w:rStyle w:val="NormalTok"/>
        </w:rPr>
        <w:t xml:space="preserve"> gender),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p>
      <w:pPr>
        <w:pStyle w:val="FirstParagraph"/>
      </w:pPr>
      <w:r>
        <w:t xml:space="preserve">Here is the candidate list of different microbes previously implicated in gender-based variation.</w:t>
      </w:r>
    </w:p>
    <w:p>
      <w:pPr>
        <w:numPr>
          <w:ilvl w:val="0"/>
          <w:numId w:val="1115"/>
        </w:numPr>
        <w:pStyle w:val="Compact"/>
      </w:pPr>
      <w:r>
        <w:t xml:space="preserve">Phylum: Proteobacteria</w:t>
      </w:r>
    </w:p>
    <w:p>
      <w:pPr>
        <w:numPr>
          <w:ilvl w:val="0"/>
          <w:numId w:val="1115"/>
        </w:numPr>
        <w:pStyle w:val="Compact"/>
      </w:pPr>
      <w:r>
        <w:t xml:space="preserve">Order: Clostridiales</w:t>
      </w:r>
    </w:p>
    <w:p>
      <w:pPr>
        <w:numPr>
          <w:ilvl w:val="0"/>
          <w:numId w:val="1115"/>
        </w:numPr>
        <w:pStyle w:val="Compact"/>
      </w:pPr>
      <w:r>
        <w:t xml:space="preserve">Family: Ruminococcaceae</w:t>
      </w:r>
    </w:p>
    <w:p>
      <w:pPr>
        <w:numPr>
          <w:ilvl w:val="0"/>
          <w:numId w:val="1115"/>
        </w:numPr>
        <w:pStyle w:val="Compact"/>
      </w:pPr>
      <w:r>
        <w:t xml:space="preserve">Genus: Prevotella</w:t>
      </w:r>
    </w:p>
    <w:p>
      <w:pPr>
        <w:numPr>
          <w:ilvl w:val="0"/>
          <w:numId w:val="1115"/>
        </w:numPr>
        <w:pStyle w:val="Compact"/>
      </w:pPr>
      <w:r>
        <w:t xml:space="preserve">Genus: Fusobacterium</w:t>
      </w:r>
    </w:p>
    <w:p>
      <w:pPr>
        <w:numPr>
          <w:ilvl w:val="0"/>
          <w:numId w:val="1115"/>
        </w:numPr>
        <w:pStyle w:val="Compact"/>
      </w:pPr>
      <w:r>
        <w:t xml:space="preserve">Species: muciniphila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3D-1. Insert the plot from your first chosen microbial group below. Your plot should have subjects on the x-axis, with each subject denoted as male or female by a colored bar. The height of the bars will vary.</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3D-2. Insert the plot from your second chosen microbial group below: Your plot should have subjects on the x-axis, with each subject denoted as male or female by a colored bar. The height of the bars will vary.</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3D-3. Based on the all graphs you made, did you identify any candidate Phylum or Species that may differ between genders?</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3D-4. Based on the graphs you made, what conclusion can you make about microbiome differences between genders? Do you think gender is connected to a difference in the gut microbiome?</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3D-5. Which seems to have more effect on microbial compositions? Gender or individual subject? Are there bigger differences between genders or between individuals of the same gender?</w:t>
            </w:r>
          </w:p>
        </w:tc>
      </w:tr>
      <w:tr>
        <w:tc>
          <w:tcPr/>
          <w:p>
            <w:pPr>
              <w:pStyle w:val="Compact"/>
              <w:jc w:val="left"/>
            </w:pPr>
          </w:p>
        </w:tc>
      </w:tr>
    </w:tbl>
    <w:p>
      <w:pPr>
        <w:pStyle w:val="BodyText"/>
      </w:pPr>
    </w:p>
    <w:bookmarkEnd w:id="231"/>
    <w:bookmarkStart w:id="232" w:name="grading-criteria-6"/>
    <w:p>
      <w:pPr>
        <w:pStyle w:val="Heading3"/>
      </w:pPr>
      <w:r>
        <w:rPr>
          <w:rStyle w:val="SectionNumber"/>
        </w:rPr>
        <w:t xml:space="preserve">4.6.3</w:t>
      </w:r>
      <w:r>
        <w:tab/>
      </w:r>
      <w:r>
        <w:t xml:space="preserve">Grading criteria</w:t>
      </w:r>
    </w:p>
    <w:p>
      <w:pPr>
        <w:numPr>
          <w:ilvl w:val="0"/>
          <w:numId w:val="1116"/>
        </w:numPr>
        <w:pStyle w:val="Compact"/>
      </w:pPr>
      <w:r>
        <w:t xml:space="preserve">Download the assignment to your local computer as a .docx, complete it, and upload the assignment to your LMS (Blackboard, Canvas, Google Classroom).</w:t>
      </w:r>
    </w:p>
    <w:bookmarkEnd w:id="232"/>
    <w:bookmarkStart w:id="235" w:name="footnotes-10"/>
    <w:p>
      <w:pPr>
        <w:pStyle w:val="Heading3"/>
      </w:pPr>
      <w:r>
        <w:rPr>
          <w:rStyle w:val="SectionNumber"/>
        </w:rPr>
        <w:t xml:space="preserve">4.6.4</w:t>
      </w:r>
      <w:r>
        <w:tab/>
      </w:r>
      <w:r>
        <w:t xml:space="preserve">Footnotes</w:t>
      </w:r>
    </w:p>
    <w:bookmarkStart w:id="233" w:name="resources-14"/>
    <w:p>
      <w:pPr>
        <w:pStyle w:val="Heading4"/>
      </w:pPr>
      <w:r>
        <w:rPr>
          <w:rStyle w:val="SectionNumber"/>
        </w:rPr>
        <w:t xml:space="preserve">4.6.4.1</w:t>
      </w:r>
      <w:r>
        <w:tab/>
      </w:r>
      <w:r>
        <w:t xml:space="preserve">Resources</w:t>
      </w:r>
    </w:p>
    <w:p>
      <w:pPr>
        <w:numPr>
          <w:ilvl w:val="0"/>
          <w:numId w:val="1117"/>
        </w:numPr>
        <w:pStyle w:val="Compact"/>
      </w:pPr>
      <w:hyperlink r:id="rId205">
        <w:r>
          <w:rPr>
            <w:rStyle w:val="Hyperlink"/>
          </w:rPr>
          <w:t xml:space="preserve">Google Doc</w:t>
        </w:r>
      </w:hyperlink>
    </w:p>
    <w:p>
      <w:pPr>
        <w:numPr>
          <w:ilvl w:val="0"/>
          <w:numId w:val="1117"/>
        </w:numPr>
        <w:pStyle w:val="Compact"/>
      </w:pPr>
      <w:hyperlink r:id="rId206">
        <w:r>
          <w:rPr>
            <w:rStyle w:val="Hyperlink"/>
          </w:rPr>
          <w:t xml:space="preserve">16S rRNA R Quick Reference</w:t>
        </w:r>
      </w:hyperlink>
    </w:p>
    <w:bookmarkEnd w:id="233"/>
    <w:bookmarkStart w:id="234" w:name="contributions-and-affiliations-10"/>
    <w:p>
      <w:pPr>
        <w:pStyle w:val="Heading4"/>
      </w:pPr>
      <w:r>
        <w:rPr>
          <w:rStyle w:val="SectionNumber"/>
        </w:rPr>
        <w:t xml:space="preserve">4.6.4.2</w:t>
      </w:r>
      <w:r>
        <w:tab/>
      </w:r>
      <w:r>
        <w:t xml:space="preserve">Contributions and affiliations</w:t>
      </w:r>
    </w:p>
    <w:p>
      <w:pPr>
        <w:numPr>
          <w:ilvl w:val="0"/>
          <w:numId w:val="1118"/>
        </w:numPr>
        <w:pStyle w:val="Compact"/>
      </w:pPr>
      <w:r>
        <w:t xml:space="preserve">Valeriya Gaysinskaya, Johns Hopkins University</w:t>
      </w:r>
    </w:p>
    <w:p>
      <w:pPr>
        <w:numPr>
          <w:ilvl w:val="0"/>
          <w:numId w:val="1118"/>
        </w:numPr>
        <w:pStyle w:val="Compact"/>
      </w:pPr>
      <w:r>
        <w:t xml:space="preserve">Gauri Paul, Clovis Community College</w:t>
      </w:r>
    </w:p>
    <w:p>
      <w:pPr>
        <w:numPr>
          <w:ilvl w:val="0"/>
          <w:numId w:val="1118"/>
        </w:numPr>
        <w:pStyle w:val="Compact"/>
      </w:pPr>
      <w:r>
        <w:t xml:space="preserve">Frederick Tan, Johns Hopkins University</w:t>
      </w:r>
    </w:p>
    <w:p>
      <w:pPr>
        <w:numPr>
          <w:ilvl w:val="0"/>
          <w:numId w:val="1118"/>
        </w:numPr>
        <w:pStyle w:val="Compact"/>
      </w:pPr>
      <w:r>
        <w:t xml:space="preserve">Sayumi York, Notre Dame of Maryland University</w:t>
      </w:r>
    </w:p>
    <w:bookmarkEnd w:id="234"/>
    <w:bookmarkEnd w:id="235"/>
    <w:bookmarkEnd w:id="236"/>
    <w:bookmarkStart w:id="244" w:name="X5ffbbefb093f912e8383b28a8f1ea2e66a65dbd"/>
    <w:p>
      <w:pPr>
        <w:pStyle w:val="Heading2"/>
      </w:pPr>
      <w:r>
        <w:rPr>
          <w:rStyle w:val="SectionNumber"/>
        </w:rPr>
        <w:t xml:space="preserve">4.7</w:t>
      </w:r>
      <w:r>
        <w:tab/>
      </w:r>
      <w:r>
        <w:t xml:space="preserve">Try it Question 4 - Does age contribute to individual microbiome variation</w:t>
      </w:r>
    </w:p>
    <w:p>
      <w:pPr>
        <w:pStyle w:val="FirstParagraph"/>
      </w:pPr>
      <w:r>
        <w:t xml:space="preserve">The human gut microbiome has been associated with age-related disease states, immune-system changes, and metabolic function. Here we will explore the potential microbiome changes associated with aging.</w:t>
      </w:r>
    </w:p>
    <w:p>
      <w:pPr>
        <w:pStyle w:val="BodyText"/>
      </w:pPr>
      <w:r>
        <w:t xml:space="preserve">Approach: Survey the differences in microbiome across age, refining the plot to accommodate a continuous variable (age) and unequal sample sizes (some individuals in the study are the same age). Then, test if there is a shift in microbiome abundance of phyla Firmicutes and Bacteroidetes, two phyla suggested previously to change with age.</w:t>
      </w:r>
    </w:p>
    <w:bookmarkStart w:id="237" w:name="X2622e4cbd51e6b50ddd7c4fe93f1862f3f7f850"/>
    <w:p>
      <w:pPr>
        <w:pStyle w:val="Heading3"/>
      </w:pPr>
      <w:r>
        <w:rPr>
          <w:rStyle w:val="SectionNumber"/>
        </w:rPr>
        <w:t xml:space="preserve">4.7.1</w:t>
      </w:r>
      <w:r>
        <w:tab/>
      </w:r>
      <w:r>
        <w:t xml:space="preserve">Step 4A. Perform an initial survey to see if there are any differences in phyla related to age.</w:t>
      </w:r>
    </w:p>
    <w:p>
      <w:pPr>
        <w:pStyle w:val="FirstParagraph"/>
      </w:pPr>
      <w:r>
        <w:t xml:space="preserve">Specifically, your plot should show the relationship phyla diversity and age of an individual.</w:t>
      </w:r>
    </w:p>
    <w:p>
      <w:pPr>
        <w:numPr>
          <w:ilvl w:val="0"/>
          <w:numId w:val="1119"/>
        </w:numPr>
        <w:pStyle w:val="Compact"/>
      </w:pPr>
      <w:r>
        <w:t xml:space="preserve">Refer to the</w:t>
      </w:r>
      <w:r>
        <w:t xml:space="preserve"> </w:t>
      </w:r>
      <w:r>
        <w:t xml:space="preserve">“</w:t>
      </w:r>
      <w:r>
        <w:t xml:space="preserve">Explore 16S rRNA Data with phyloseq</w:t>
      </w:r>
      <w:r>
        <w:t xml:space="preserve">”</w:t>
      </w:r>
      <w:r>
        <w:t xml:space="preserve"> </w:t>
      </w:r>
      <w:r>
        <w:t xml:space="preserve">tutorial for help using the plot_bar() function.</w:t>
      </w:r>
    </w:p>
    <w:p>
      <w:pPr>
        <w:numPr>
          <w:ilvl w:val="0"/>
          <w:numId w:val="1119"/>
        </w:numPr>
        <w:pStyle w:val="Compact"/>
      </w:pPr>
      <w:r>
        <w:t xml:space="preserve">Use the following code as a template</w:t>
      </w:r>
      <w:r>
        <w:t xml:space="preserve"> </w:t>
      </w:r>
      <w:r>
        <w:t xml:space="preserve">plot_bar(miso,</w:t>
      </w:r>
      <w:r>
        <w:t xml:space="preserve"> </w:t>
      </w:r>
      <w:r>
        <w:t xml:space="preserve">“</w:t>
      </w:r>
      <w:r>
        <w:t xml:space="preserve">fill in the blank</w:t>
      </w:r>
      <w:r>
        <w:t xml:space="preserve">”</w:t>
      </w:r>
      <w:r>
        <w:t xml:space="preserve">, fill =</w:t>
      </w:r>
      <w:r>
        <w:t xml:space="preserve"> </w:t>
      </w:r>
      <w:r>
        <w:t xml:space="preserve">“</w:t>
      </w:r>
      <w:r>
        <w:t xml:space="preserve">fill in the blank</w:t>
      </w:r>
      <w:r>
        <w:t xml:space="preserve">”</w:t>
      </w:r>
      <w:r>
        <w:t xml:space="preserve">, title =</w:t>
      </w:r>
      <w:r>
        <w:t xml:space="preserve"> </w:t>
      </w:r>
      <w:r>
        <w:t xml:space="preserve">“</w:t>
      </w:r>
      <w:r>
        <w:t xml:space="preserve">fill in the blank</w:t>
      </w:r>
      <w:r>
        <w:t xml:space="preserve">”</w:t>
      </w:r>
      <w:r>
        <w:t xml:space="preserve">) +</w:t>
      </w:r>
      <w:r>
        <w:t xml:space="preserve"> </w:t>
      </w:r>
      <w:r>
        <w:t xml:space="preserve">geom_bar(aes(color = fill in the blank, fill = fill in the blank), stat =</w:t>
      </w:r>
      <w:r>
        <w:t xml:space="preserve"> </w:t>
      </w:r>
      <w:r>
        <w:t xml:space="preserve">“</w:t>
      </w:r>
      <w:r>
        <w:t xml:space="preserve">identity</w:t>
      </w:r>
      <w:r>
        <w:t xml:space="preserve">”</w:t>
      </w:r>
      <w:r>
        <w:t xml:space="preserve">, position =</w:t>
      </w:r>
      <w:r>
        <w:t xml:space="preserve"> </w:t>
      </w:r>
      <w:r>
        <w:t xml:space="preserve">“</w:t>
      </w:r>
      <w:r>
        <w:t xml:space="preserve">stack</w:t>
      </w:r>
      <w:r>
        <w:t xml:space="preserve">”</w:t>
      </w:r>
      <w:r>
        <w:t xml:space="preserve">)</w:t>
      </w:r>
    </w:p>
    <w:p>
      <w:pPr>
        <w:pStyle w:val="SourceCode"/>
      </w:pPr>
      <w:r>
        <w:rPr>
          <w:rStyle w:val="FunctionTok"/>
        </w:rPr>
        <w:t xml:space="preserve">plot_bar</w:t>
      </w:r>
      <w:r>
        <w:rPr>
          <w:rStyle w:val="NormalTok"/>
        </w:rPr>
        <w:t xml:space="preserve">(miso,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4A-1. Insert the resulting plot below: It will be a very unusual looking graph!</w:t>
            </w:r>
          </w:p>
        </w:tc>
      </w:tr>
      <w:tr>
        <w:tc>
          <w:tcPr/>
          <w:p>
            <w:pPr>
              <w:pStyle w:val="Compact"/>
              <w:jc w:val="left"/>
            </w:pPr>
          </w:p>
        </w:tc>
      </w:tr>
    </w:tbl>
    <w:p>
      <w:pPr>
        <w:pStyle w:val="BodyText"/>
      </w:pPr>
    </w:p>
    <w:p>
      <w:pPr>
        <w:numPr>
          <w:ilvl w:val="0"/>
          <w:numId w:val="1120"/>
        </w:numPr>
        <w:pStyle w:val="Compact"/>
      </w:pPr>
      <w:r>
        <w:t xml:space="preserve">You probably found it difficult to discern any differences.</w:t>
      </w:r>
    </w:p>
    <w:p>
      <w:pPr>
        <w:numPr>
          <w:ilvl w:val="0"/>
          <w:numId w:val="1120"/>
        </w:numPr>
        <w:pStyle w:val="Compact"/>
      </w:pPr>
      <w:r>
        <w:t xml:space="preserve">Abundance is additive, so having more samples of the same age will result in adding the abundances together, so if there are say 2 samples with age 27 (as is the case), the abundance of the bar will be much higher than other ages that have only one individual.</w:t>
      </w:r>
    </w:p>
    <w:bookmarkEnd w:id="237"/>
    <w:bookmarkStart w:id="238" w:name="X4d702404d7626cb25beef07571773745b349ee9"/>
    <w:p>
      <w:pPr>
        <w:pStyle w:val="Heading3"/>
      </w:pPr>
      <w:r>
        <w:rPr>
          <w:rStyle w:val="SectionNumber"/>
        </w:rPr>
        <w:t xml:space="preserve">4.7.2</w:t>
      </w:r>
      <w:r>
        <w:tab/>
      </w:r>
      <w:r>
        <w:t xml:space="preserve">Step 4B. Merge samples by age, then re-normalize and finally re-plot Phyla by age.</w:t>
      </w:r>
    </w:p>
    <w:p>
      <w:pPr>
        <w:numPr>
          <w:ilvl w:val="0"/>
          <w:numId w:val="1121"/>
        </w:numPr>
        <w:pStyle w:val="Compact"/>
      </w:pPr>
      <w:r>
        <w:t xml:space="preserve">Merge samples of the same age, saving the resulting phyloseq object as</w:t>
      </w:r>
      <w:r>
        <w:t xml:space="preserve"> </w:t>
      </w:r>
      <w:r>
        <w:t xml:space="preserve">‘</w:t>
      </w:r>
      <w:r>
        <w:t xml:space="preserve">merge</w:t>
      </w:r>
      <w:r>
        <w:t xml:space="preserve">’</w:t>
      </w:r>
      <w:r>
        <w:t xml:space="preserve">. You will probably get a warning message letting you know</w:t>
      </w:r>
      <w:r>
        <w:t xml:space="preserve"> </w:t>
      </w:r>
      <w:r>
        <w:t xml:space="preserve">“</w:t>
      </w:r>
      <w:r>
        <w:t xml:space="preserve">NAs were introduced by coercion.</w:t>
      </w:r>
      <w:r>
        <w:t xml:space="preserve">”</w:t>
      </w:r>
      <w:r>
        <w:t xml:space="preserve"> </w:t>
      </w:r>
      <w:r>
        <w:t xml:space="preserve">That is OK.</w:t>
      </w:r>
    </w:p>
    <w:p>
      <w:pPr>
        <w:pStyle w:val="SourceCode"/>
      </w:pPr>
      <w:r>
        <w:rPr>
          <w:rStyle w:val="NormalTok"/>
        </w:rPr>
        <w:t xml:space="preserve">merge </w:t>
      </w:r>
      <w:r>
        <w:rPr>
          <w:rStyle w:val="OtherTok"/>
        </w:rPr>
        <w:t xml:space="preserve">&lt;-</w:t>
      </w:r>
      <w:r>
        <w:rPr>
          <w:rStyle w:val="NormalTok"/>
        </w:rPr>
        <w:t xml:space="preserve"> </w:t>
      </w:r>
      <w:r>
        <w:rPr>
          <w:rStyle w:val="FunctionTok"/>
        </w:rPr>
        <w:t xml:space="preserve">merge_samples</w:t>
      </w:r>
      <w:r>
        <w:rPr>
          <w:rStyle w:val="NormalTok"/>
        </w:rPr>
        <w:t xml:space="preserve">(miso, </w:t>
      </w:r>
      <w:r>
        <w:rPr>
          <w:rStyle w:val="StringTok"/>
        </w:rPr>
        <w:t xml:space="preserve">"age"</w:t>
      </w:r>
      <w:r>
        <w:rPr>
          <w:rStyle w:val="NormalTok"/>
        </w:rPr>
        <w:t xml:space="preserve">)</w:t>
      </w:r>
    </w:p>
    <w:p>
      <w:pPr>
        <w:numPr>
          <w:ilvl w:val="0"/>
          <w:numId w:val="1122"/>
        </w:numPr>
        <w:pStyle w:val="Compact"/>
      </w:pPr>
      <w:r>
        <w:t xml:space="preserve">Check your merged phyloseq object. Your new</w:t>
      </w:r>
      <w:r>
        <w:t xml:space="preserve"> </w:t>
      </w:r>
      <w:r>
        <w:t xml:space="preserve">‘</w:t>
      </w:r>
      <w:r>
        <w:t xml:space="preserve">merge</w:t>
      </w:r>
      <w:r>
        <w:t xml:space="preserve">’</w:t>
      </w:r>
      <w:r>
        <w:t xml:space="preserve"> </w:t>
      </w:r>
      <w:r>
        <w:t xml:space="preserve">object should have 16 samples corresponding to 16 unique ages in the MISO dataset.</w:t>
      </w:r>
    </w:p>
    <w:p>
      <w:pPr>
        <w:pStyle w:val="SourceCode"/>
      </w:pPr>
      <w:r>
        <w:rPr>
          <w:rStyle w:val="NormalTok"/>
        </w:rPr>
        <w:t xml:space="preserve">merge</w:t>
      </w:r>
      <w:r>
        <w:br/>
      </w:r>
      <w:r>
        <w:br/>
      </w:r>
      <w:r>
        <w:rPr>
          <w:rStyle w:val="NormalTok"/>
        </w:rPr>
        <w:t xml:space="preserve">phyloseq</w:t>
      </w:r>
      <w:r>
        <w:rPr>
          <w:rStyle w:val="SpecialCharTok"/>
        </w:rPr>
        <w:t xml:space="preserve">-</w:t>
      </w:r>
      <w:r>
        <w:rPr>
          <w:rStyle w:val="NormalTok"/>
        </w:rPr>
        <w:t xml:space="preserve">class experiment</w:t>
      </w:r>
      <w:r>
        <w:rPr>
          <w:rStyle w:val="SpecialCharTok"/>
        </w:rPr>
        <w:t xml:space="preserve">-</w:t>
      </w:r>
      <w:r>
        <w:rPr>
          <w:rStyle w:val="NormalTok"/>
        </w:rPr>
        <w:t xml:space="preserve">level object</w:t>
      </w:r>
      <w:r>
        <w:br/>
      </w:r>
      <w:r>
        <w:rPr>
          <w:rStyle w:val="FunctionTok"/>
        </w:rPr>
        <w:t xml:space="preserve">otu_table</w:t>
      </w:r>
      <w:r>
        <w:rPr>
          <w:rStyle w:val="NormalTok"/>
        </w:rPr>
        <w:t xml:space="preserve">()   OTU Table</w:t>
      </w:r>
      <w:r>
        <w:rPr>
          <w:rStyle w:val="SpecialCharTok"/>
        </w:rPr>
        <w:t xml:space="preserve">:</w:t>
      </w:r>
      <w:r>
        <w:rPr>
          <w:rStyle w:val="NormalTok"/>
        </w:rPr>
        <w:t xml:space="preserve">         [ </w:t>
      </w:r>
      <w:r>
        <w:rPr>
          <w:rStyle w:val="DecValTok"/>
        </w:rPr>
        <w:t xml:space="preserve">1702</w:t>
      </w:r>
      <w:r>
        <w:rPr>
          <w:rStyle w:val="NormalTok"/>
        </w:rPr>
        <w:t xml:space="preserve"> taxa and </w:t>
      </w:r>
      <w:r>
        <w:rPr>
          <w:rStyle w:val="DecValTok"/>
        </w:rPr>
        <w:t xml:space="preserve">16</w:t>
      </w:r>
      <w:r>
        <w:rPr>
          <w:rStyle w:val="NormalTok"/>
        </w:rPr>
        <w:t xml:space="preserve"> samples ]</w:t>
      </w:r>
      <w:r>
        <w:br/>
      </w:r>
      <w:r>
        <w:rPr>
          <w:rStyle w:val="FunctionTok"/>
        </w:rPr>
        <w:t xml:space="preserve">sample_data</w:t>
      </w:r>
      <w:r>
        <w:rPr>
          <w:rStyle w:val="NormalTok"/>
        </w:rPr>
        <w:t xml:space="preserve">() Sample Data</w:t>
      </w:r>
      <w:r>
        <w:rPr>
          <w:rStyle w:val="SpecialCharTok"/>
        </w:rPr>
        <w:t xml:space="preserve">:</w:t>
      </w:r>
      <w:r>
        <w:rPr>
          <w:rStyle w:val="NormalTok"/>
        </w:rPr>
        <w:t xml:space="preserve">       [ </w:t>
      </w:r>
      <w:r>
        <w:rPr>
          <w:rStyle w:val="DecValTok"/>
        </w:rPr>
        <w:t xml:space="preserve">16</w:t>
      </w:r>
      <w:r>
        <w:rPr>
          <w:rStyle w:val="NormalTok"/>
        </w:rPr>
        <w:t xml:space="preserve"> samples by </w:t>
      </w:r>
      <w:r>
        <w:rPr>
          <w:rStyle w:val="DecValTok"/>
        </w:rPr>
        <w:t xml:space="preserve">32</w:t>
      </w:r>
      <w:r>
        <w:rPr>
          <w:rStyle w:val="NormalTok"/>
        </w:rPr>
        <w:t xml:space="preserve"> sample variables ]</w:t>
      </w:r>
      <w:r>
        <w:br/>
      </w:r>
      <w:r>
        <w:rPr>
          <w:rStyle w:val="FunctionTok"/>
        </w:rPr>
        <w:t xml:space="preserve">tax_table</w:t>
      </w:r>
      <w:r>
        <w:rPr>
          <w:rStyle w:val="NormalTok"/>
        </w:rPr>
        <w:t xml:space="preserve">()   Taxonomy Table</w:t>
      </w:r>
      <w:r>
        <w:rPr>
          <w:rStyle w:val="SpecialCharTok"/>
        </w:rPr>
        <w:t xml:space="preserve">:</w:t>
      </w:r>
      <w:r>
        <w:rPr>
          <w:rStyle w:val="NormalTok"/>
        </w:rPr>
        <w:t xml:space="preserve">    [ </w:t>
      </w:r>
      <w:r>
        <w:rPr>
          <w:rStyle w:val="DecValTok"/>
        </w:rPr>
        <w:t xml:space="preserve">1702</w:t>
      </w:r>
      <w:r>
        <w:rPr>
          <w:rStyle w:val="NormalTok"/>
        </w:rPr>
        <w:t xml:space="preserve"> taxa by </w:t>
      </w:r>
      <w:r>
        <w:rPr>
          <w:rStyle w:val="DecValTok"/>
        </w:rPr>
        <w:t xml:space="preserve">9</w:t>
      </w:r>
      <w:r>
        <w:rPr>
          <w:rStyle w:val="NormalTok"/>
        </w:rPr>
        <w:t xml:space="preserve"> taxonomic ranks ]</w:t>
      </w:r>
    </w:p>
    <w:p>
      <w:pPr>
        <w:numPr>
          <w:ilvl w:val="0"/>
          <w:numId w:val="1123"/>
        </w:numPr>
        <w:pStyle w:val="Compact"/>
      </w:pPr>
      <w:r>
        <w:t xml:space="preserve">Normalize the sample counts using the function transform_sample_counts. Our function, (100* x/sum(x)) will transform all the samples into proportions.</w:t>
      </w:r>
    </w:p>
    <w:p>
      <w:pPr>
        <w:pStyle w:val="SourceCode"/>
      </w:pPr>
      <w:r>
        <w:rPr>
          <w:rStyle w:val="NormalTok"/>
        </w:rPr>
        <w:t xml:space="preserve">merge </w:t>
      </w:r>
      <w:r>
        <w:rPr>
          <w:rStyle w:val="OtherTok"/>
        </w:rPr>
        <w:t xml:space="preserve">&lt;-</w:t>
      </w:r>
      <w:r>
        <w:rPr>
          <w:rStyle w:val="NormalTok"/>
        </w:rPr>
        <w:t xml:space="preserve"> </w:t>
      </w:r>
      <w:r>
        <w:rPr>
          <w:rStyle w:val="FunctionTok"/>
        </w:rPr>
        <w:t xml:space="preserve">transform_sample_counts</w:t>
      </w:r>
      <w:r>
        <w:rPr>
          <w:rStyle w:val="NormalTok"/>
        </w:rPr>
        <w:t xml:space="preserve">(merge, </w:t>
      </w:r>
      <w:r>
        <w:rPr>
          <w:rStyle w:val="ControlFlowTok"/>
        </w:rPr>
        <w:t xml:space="preserve">function</w:t>
      </w:r>
      <w:r>
        <w:rPr>
          <w:rStyle w:val="NormalTok"/>
        </w:rPr>
        <w:t xml:space="preserve">(x) </w:t>
      </w:r>
      <w:r>
        <w:rPr>
          <w:rStyle w:val="DecValTok"/>
        </w:rPr>
        <w:t xml:space="preserve">100</w:t>
      </w:r>
      <w:r>
        <w:rPr>
          <w:rStyle w:val="NormalTok"/>
        </w:rPr>
        <w:t xml:space="preserve"> </w:t>
      </w:r>
      <w:r>
        <w:rPr>
          <w:rStyle w:val="SpecialCharTok"/>
        </w:rPr>
        <w:t xml:space="preserve">*</w:t>
      </w:r>
      <w:r>
        <w:rPr>
          <w:rStyle w:val="NormalTok"/>
        </w:rPr>
        <w:t xml:space="preserve"> x</w:t>
      </w:r>
      <w:r>
        <w:rPr>
          <w:rStyle w:val="SpecialCharTok"/>
        </w:rPr>
        <w:t xml:space="preserve">/</w:t>
      </w:r>
      <w:r>
        <w:rPr>
          <w:rStyle w:val="FunctionTok"/>
        </w:rPr>
        <w:t xml:space="preserve">sum</w:t>
      </w:r>
      <w:r>
        <w:rPr>
          <w:rStyle w:val="NormalTok"/>
        </w:rPr>
        <w:t xml:space="preserve">(x))</w:t>
      </w:r>
    </w:p>
    <w:p>
      <w:pPr>
        <w:numPr>
          <w:ilvl w:val="0"/>
          <w:numId w:val="1124"/>
        </w:numPr>
        <w:pStyle w:val="Compact"/>
      </w:pPr>
      <w:r>
        <w:t xml:space="preserve">Re-plot Phyla by age.</w:t>
      </w:r>
    </w:p>
    <w:p>
      <w:pPr>
        <w:pStyle w:val="SourceCode"/>
      </w:pPr>
      <w:r>
        <w:rPr>
          <w:rStyle w:val="FunctionTok"/>
        </w:rPr>
        <w:t xml:space="preserve">plot_bar</w:t>
      </w:r>
      <w:r>
        <w:rPr>
          <w:rStyle w:val="NormalTok"/>
        </w:rPr>
        <w:t xml:space="preserve">(merge, </w:t>
      </w:r>
      <w:r>
        <w:rPr>
          <w:rStyle w:val="AttributeTok"/>
        </w:rPr>
        <w:t xml:space="preserve">x=</w:t>
      </w:r>
      <w:r>
        <w:rPr>
          <w:rStyle w:val="NormalTok"/>
        </w:rPr>
        <w:t xml:space="preserve"> </w:t>
      </w:r>
      <w:r>
        <w:rPr>
          <w:rStyle w:val="StringTok"/>
        </w:rPr>
        <w:t xml:space="preserve">"age"</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r>
        <w:rPr>
          <w:rStyle w:val="SpecialCharTok"/>
        </w:rPr>
        <w:t xml:space="preserve">+</w:t>
      </w:r>
      <w:r>
        <w:br/>
      </w:r>
      <w:r>
        <w:rPr>
          <w:rStyle w:val="FunctionTok"/>
        </w:rPr>
        <w:t xml:space="preserve">theme</w:t>
      </w:r>
      <w:r>
        <w:rPr>
          <w:rStyle w:val="NormalTok"/>
        </w:rPr>
        <w:t xml:space="preserve">(</w:t>
      </w:r>
      <w:r>
        <w:rPr>
          <w:rStyle w:val="AttributeTok"/>
        </w:rPr>
        <w:t xml:space="preserve">legend.text=</w:t>
      </w:r>
      <w:r>
        <w:rPr>
          <w:rStyle w:val="FunctionTok"/>
        </w:rPr>
        <w:t xml:space="preserve">element_text</w:t>
      </w:r>
      <w:r>
        <w:rPr>
          <w:rStyle w:val="NormalTok"/>
        </w:rPr>
        <w:t xml:space="preserve">(</w:t>
      </w:r>
      <w:r>
        <w:rPr>
          <w:rStyle w:val="AttributeTok"/>
        </w:rPr>
        <w:t xml:space="preserve">size=</w:t>
      </w:r>
      <w:r>
        <w:rPr>
          <w:rStyle w:val="DecValTok"/>
        </w:rPr>
        <w:t xml:space="preserve">6</w:t>
      </w:r>
      <w:r>
        <w:rPr>
          <w:rStyle w:val="NormalTok"/>
        </w:rPr>
        <w:t xml:space="preserve">)) </w:t>
      </w:r>
      <w:r>
        <w:rPr>
          <w:rStyle w:val="SpecialCharTok"/>
        </w:rPr>
        <w:t xml:space="preserve">+</w:t>
      </w:r>
      <w:r>
        <w:rPr>
          <w:rStyle w:val="NormalTok"/>
        </w:rPr>
        <w:t xml:space="preserve"> </w:t>
      </w:r>
      <w:r>
        <w:br/>
      </w:r>
      <w:r>
        <w:rPr>
          <w:rStyle w:val="FunctionTok"/>
        </w:rPr>
        <w:t xml:space="preserve">theme</w:t>
      </w:r>
      <w:r>
        <w:rPr>
          <w:rStyle w:val="NormalTok"/>
        </w:rPr>
        <w:t xml:space="preserve">(</w:t>
      </w:r>
      <w:r>
        <w:rPr>
          <w:rStyle w:val="AttributeTok"/>
        </w:rPr>
        <w:t xml:space="preserve">legend.key.size =</w:t>
      </w:r>
      <w:r>
        <w:rPr>
          <w:rStyle w:val="NormalTok"/>
        </w:rPr>
        <w:t xml:space="preserve"> </w:t>
      </w:r>
      <w:r>
        <w:rPr>
          <w:rStyle w:val="FunctionTok"/>
        </w:rPr>
        <w:t xml:space="preserve">unit</w:t>
      </w:r>
      <w:r>
        <w:rPr>
          <w:rStyle w:val="NormalTok"/>
        </w:rPr>
        <w:t xml:space="preserve">(</w:t>
      </w:r>
      <w:r>
        <w:rPr>
          <w:rStyle w:val="DecValTok"/>
        </w:rPr>
        <w:t xml:space="preserve">6</w:t>
      </w:r>
      <w:r>
        <w:rPr>
          <w:rStyle w:val="NormalTok"/>
        </w:rPr>
        <w:t xml:space="preserve">, </w:t>
      </w:r>
      <w:r>
        <w:rPr>
          <w:rStyle w:val="StringTok"/>
        </w:rPr>
        <w:t xml:space="preserve">"pt"</w:t>
      </w:r>
      <w:r>
        <w:rPr>
          <w:rStyle w:val="NormalTok"/>
        </w:rPr>
        <w:t xml:space="preserve">))</w:t>
      </w:r>
    </w:p>
    <w:p>
      <w:pPr>
        <w:numPr>
          <w:ilvl w:val="0"/>
          <w:numId w:val="1125"/>
        </w:numPr>
      </w:pPr>
      <w:r>
        <w:t xml:space="preserve">We may need to reduce the legend text and key size in order to visualize the plot better. We have added some code above in light blue to help see the legend.</w:t>
      </w:r>
    </w:p>
    <w:p>
      <w:pPr>
        <w:numPr>
          <w:ilvl w:val="0"/>
          <w:numId w:val="1125"/>
        </w:numPr>
      </w:pPr>
      <w:r>
        <w:t xml:space="preserve">You will need to run all the commands in the same code chunk to produce the plot.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4B-1. Insert the resulting plot below:</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4B-2. Do you observe any candidate Phyla that changes with age?</w:t>
            </w:r>
          </w:p>
        </w:tc>
      </w:tr>
      <w:tr>
        <w:tc>
          <w:tcPr/>
          <w:p>
            <w:pPr>
              <w:pStyle w:val="Compact"/>
              <w:jc w:val="left"/>
            </w:pPr>
          </w:p>
        </w:tc>
      </w:tr>
    </w:tbl>
    <w:p>
      <w:pPr>
        <w:pStyle w:val="BodyText"/>
      </w:pPr>
    </w:p>
    <w:bookmarkEnd w:id="238"/>
    <w:bookmarkStart w:id="239" w:name="X16359a43e1e27634430b0117a20c2f824be564f"/>
    <w:p>
      <w:pPr>
        <w:pStyle w:val="Heading3"/>
      </w:pPr>
      <w:r>
        <w:rPr>
          <w:rStyle w:val="SectionNumber"/>
        </w:rPr>
        <w:t xml:space="preserve">4.7.3</w:t>
      </w:r>
      <w:r>
        <w:tab/>
      </w:r>
      <w:r>
        <w:t xml:space="preserve">Step 4C. Candidate Phyla implicated in age variation include Firmicutes and Bacteroidetes. Plot these specific phyla on their own, separately, to observe any shift that occurs with age.</w:t>
      </w:r>
    </w:p>
    <w:p>
      <w:pPr>
        <w:numPr>
          <w:ilvl w:val="0"/>
          <w:numId w:val="1126"/>
        </w:numPr>
        <w:pStyle w:val="Compact"/>
      </w:pPr>
      <w:r>
        <w:t xml:space="preserve">Use your new merged and normalized</w:t>
      </w:r>
      <w:r>
        <w:t xml:space="preserve"> </w:t>
      </w:r>
      <w:r>
        <w:t xml:space="preserve">‘</w:t>
      </w:r>
      <w:r>
        <w:t xml:space="preserve">merge</w:t>
      </w:r>
      <w:r>
        <w:t xml:space="preserve">’</w:t>
      </w:r>
      <w:r>
        <w:t xml:space="preserve"> </w:t>
      </w:r>
      <w:r>
        <w:t xml:space="preserve">phyloseq object as input. This means the new code must be placed in the same code block as the previous and run together.</w:t>
      </w:r>
    </w:p>
    <w:p>
      <w:pPr>
        <w:numPr>
          <w:ilvl w:val="0"/>
          <w:numId w:val="1126"/>
        </w:numPr>
        <w:pStyle w:val="Compact"/>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26"/>
        </w:numPr>
        <w:pStyle w:val="Compact"/>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(merge,  Phylum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"age"</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4C-1. Insert the plot that graphs the relationship of age to the Phylum Firmicutes below: The graph should have age on the axis, and just one color of bar that varies in height.</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4C-2. Do you observe any changes in Firmicutes based on age?</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4C-3. Insert the plot that graphs the relationship of age to the Phylum Bacteroidetes below: The graph should have age on the axis, and just one color of bar that varies in height.</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4C-4 Do you observe any changes in Bacteroidetes based on age?</w:t>
            </w:r>
          </w:p>
        </w:tc>
      </w:tr>
      <w:tr>
        <w:tc>
          <w:tcPr/>
          <w:p>
            <w:pPr>
              <w:pStyle w:val="Compact"/>
              <w:jc w:val="left"/>
            </w:pPr>
          </w:p>
        </w:tc>
      </w:tr>
    </w:tbl>
    <w:p>
      <w:pPr>
        <w:pStyle w:val="BodyText"/>
      </w:pPr>
    </w:p>
    <w:bookmarkEnd w:id="239"/>
    <w:bookmarkStart w:id="240" w:name="grading-criteria-7"/>
    <w:p>
      <w:pPr>
        <w:pStyle w:val="Heading3"/>
      </w:pPr>
      <w:r>
        <w:rPr>
          <w:rStyle w:val="SectionNumber"/>
        </w:rPr>
        <w:t xml:space="preserve">4.7.4</w:t>
      </w:r>
      <w:r>
        <w:tab/>
      </w:r>
      <w:r>
        <w:t xml:space="preserve">Grading criteria</w:t>
      </w:r>
    </w:p>
    <w:p>
      <w:pPr>
        <w:numPr>
          <w:ilvl w:val="0"/>
          <w:numId w:val="1127"/>
        </w:numPr>
        <w:pStyle w:val="Compact"/>
      </w:pPr>
      <w:r>
        <w:t xml:space="preserve">Download the assignment to your local computer as a .docx, complete it, and upload the assignment to your LMS (Blackboard, Canvas, Google Classroom).</w:t>
      </w:r>
    </w:p>
    <w:bookmarkEnd w:id="240"/>
    <w:bookmarkStart w:id="243" w:name="footnotes-11"/>
    <w:p>
      <w:pPr>
        <w:pStyle w:val="Heading3"/>
      </w:pPr>
      <w:r>
        <w:rPr>
          <w:rStyle w:val="SectionNumber"/>
        </w:rPr>
        <w:t xml:space="preserve">4.7.5</w:t>
      </w:r>
      <w:r>
        <w:tab/>
      </w:r>
      <w:r>
        <w:t xml:space="preserve">Footnotes</w:t>
      </w:r>
    </w:p>
    <w:bookmarkStart w:id="241" w:name="resources-15"/>
    <w:p>
      <w:pPr>
        <w:pStyle w:val="Heading4"/>
      </w:pPr>
      <w:r>
        <w:rPr>
          <w:rStyle w:val="SectionNumber"/>
        </w:rPr>
        <w:t xml:space="preserve">4.7.5.1</w:t>
      </w:r>
      <w:r>
        <w:tab/>
      </w:r>
      <w:r>
        <w:t xml:space="preserve">Resources</w:t>
      </w:r>
    </w:p>
    <w:p>
      <w:pPr>
        <w:numPr>
          <w:ilvl w:val="0"/>
          <w:numId w:val="1128"/>
        </w:numPr>
        <w:pStyle w:val="Compact"/>
      </w:pPr>
      <w:hyperlink r:id="rId205">
        <w:r>
          <w:rPr>
            <w:rStyle w:val="Hyperlink"/>
          </w:rPr>
          <w:t xml:space="preserve">Google Doc</w:t>
        </w:r>
      </w:hyperlink>
    </w:p>
    <w:p>
      <w:pPr>
        <w:numPr>
          <w:ilvl w:val="0"/>
          <w:numId w:val="1128"/>
        </w:numPr>
        <w:pStyle w:val="Compact"/>
      </w:pPr>
      <w:hyperlink r:id="rId206">
        <w:r>
          <w:rPr>
            <w:rStyle w:val="Hyperlink"/>
          </w:rPr>
          <w:t xml:space="preserve">16S rRNA R Quick Reference</w:t>
        </w:r>
      </w:hyperlink>
    </w:p>
    <w:bookmarkEnd w:id="241"/>
    <w:bookmarkStart w:id="242" w:name="contributions-and-affiliations-11"/>
    <w:p>
      <w:pPr>
        <w:pStyle w:val="Heading4"/>
      </w:pPr>
      <w:r>
        <w:rPr>
          <w:rStyle w:val="SectionNumber"/>
        </w:rPr>
        <w:t xml:space="preserve">4.7.5.2</w:t>
      </w:r>
      <w:r>
        <w:tab/>
      </w:r>
      <w:r>
        <w:t xml:space="preserve">Contributions and affiliations</w:t>
      </w:r>
    </w:p>
    <w:p>
      <w:pPr>
        <w:numPr>
          <w:ilvl w:val="0"/>
          <w:numId w:val="1129"/>
        </w:numPr>
        <w:pStyle w:val="Compact"/>
      </w:pPr>
      <w:r>
        <w:t xml:space="preserve">Valeriya Gaysinskaya, Johns Hopkins University</w:t>
      </w:r>
    </w:p>
    <w:p>
      <w:pPr>
        <w:numPr>
          <w:ilvl w:val="0"/>
          <w:numId w:val="1129"/>
        </w:numPr>
        <w:pStyle w:val="Compact"/>
      </w:pPr>
      <w:r>
        <w:t xml:space="preserve">Gauri Paul, Clovis Community College</w:t>
      </w:r>
    </w:p>
    <w:p>
      <w:pPr>
        <w:numPr>
          <w:ilvl w:val="0"/>
          <w:numId w:val="1129"/>
        </w:numPr>
        <w:pStyle w:val="Compact"/>
      </w:pPr>
      <w:r>
        <w:t xml:space="preserve">Frederick Tan, Johns Hopkins University</w:t>
      </w:r>
    </w:p>
    <w:p>
      <w:pPr>
        <w:numPr>
          <w:ilvl w:val="0"/>
          <w:numId w:val="1129"/>
        </w:numPr>
        <w:pStyle w:val="Compact"/>
      </w:pPr>
      <w:r>
        <w:t xml:space="preserve">Sayumi York, Notre Dame of Maryland University</w:t>
      </w:r>
    </w:p>
    <w:bookmarkEnd w:id="242"/>
    <w:bookmarkEnd w:id="243"/>
    <w:bookmarkEnd w:id="244"/>
    <w:bookmarkEnd w:id="245"/>
    <w:bookmarkStart w:id="299" w:name="analyzing-16s-rrna-data-with-phyloseq"/>
    <w:p>
      <w:pPr>
        <w:pStyle w:val="Heading1"/>
      </w:pPr>
      <w:r>
        <w:rPr>
          <w:rStyle w:val="SectionNumber"/>
        </w:rPr>
        <w:t xml:space="preserve">5</w:t>
      </w:r>
      <w:r>
        <w:tab/>
      </w:r>
      <w:r>
        <w:t xml:space="preserve">Analyzing 16S rRNA Data with phyloseq</w:t>
      </w:r>
    </w:p>
    <w:bookmarkStart w:id="247" w:name="analyzing-16s-rrna-data-with-phyloseq-1"/>
    <w:p>
      <w:pPr>
        <w:pStyle w:val="Heading2"/>
      </w:pPr>
      <w:r>
        <w:rPr>
          <w:rStyle w:val="SectionNumber"/>
        </w:rPr>
        <w:t xml:space="preserve">5.1</w:t>
      </w:r>
      <w:r>
        <w:tab/>
      </w:r>
      <w:r>
        <w:t xml:space="preserve">Analyzing 16S rRNA Data with phyloseq</w:t>
      </w:r>
    </w:p>
    <w:p>
      <w:pPr>
        <w:pStyle w:val="FirstParagraph"/>
      </w:pPr>
      <w:r>
        <w:t xml:space="preserve">In this section we will do more advanced analyses in phyloseq. These include:</w:t>
      </w:r>
    </w:p>
    <w:p>
      <w:pPr>
        <w:numPr>
          <w:ilvl w:val="0"/>
          <w:numId w:val="1130"/>
        </w:numPr>
        <w:pStyle w:val="Compact"/>
      </w:pPr>
      <w:r>
        <w:t xml:space="preserve">Profiling biodiveristy of sample through alpha diversity</w:t>
      </w:r>
    </w:p>
    <w:p>
      <w:pPr>
        <w:numPr>
          <w:ilvl w:val="0"/>
          <w:numId w:val="1130"/>
        </w:numPr>
        <w:pStyle w:val="Compact"/>
      </w:pPr>
      <w:r>
        <w:t xml:space="preserve">Plotting samples in a multidimensional plot which will allow us to easily see similarities between samples</w:t>
      </w:r>
    </w:p>
    <w:p>
      <w:pPr>
        <w:numPr>
          <w:ilvl w:val="0"/>
          <w:numId w:val="1130"/>
        </w:numPr>
        <w:pStyle w:val="Compact"/>
      </w:pPr>
      <w:r>
        <w:t xml:space="preserve">Performing a differential abundance analysis to compare the abundance of microbes between two conditions</w:t>
      </w:r>
    </w:p>
    <w:p>
      <w:pPr>
        <w:numPr>
          <w:ilvl w:val="0"/>
          <w:numId w:val="1130"/>
        </w:numPr>
        <w:pStyle w:val="Compact"/>
      </w:pPr>
      <w:r>
        <w:t xml:space="preserve">Relating all the above to different metadata variables in our datasets such as subject, age, and gender</w:t>
      </w:r>
    </w:p>
    <w:p>
      <w:pPr>
        <w:pStyle w:val="FirstParagraph"/>
      </w:pPr>
      <w:r>
        <w:t xml:space="preserve">These analyses are slightly more complex to run and interpret, but students who have completed the</w:t>
      </w:r>
      <w:r>
        <w:t xml:space="preserve"> </w:t>
      </w:r>
      <w:hyperlink r:id="rId246">
        <w:r>
          <w:rPr>
            <w:rStyle w:val="Hyperlink"/>
          </w:rPr>
          <w:t xml:space="preserve">chapter on scientific literature</w:t>
        </w:r>
      </w:hyperlink>
      <w:r>
        <w:t xml:space="preserve"> </w:t>
      </w:r>
      <w:r>
        <w:t xml:space="preserve">will have previous exposure to these figures.</w:t>
      </w:r>
    </w:p>
    <w:bookmarkEnd w:id="247"/>
    <w:bookmarkStart w:id="252" w:name="Xc987d52058f3cfdde5814fbc9ed44a17b9bd862"/>
    <w:p>
      <w:pPr>
        <w:pStyle w:val="Heading2"/>
      </w:pPr>
      <w:r>
        <w:rPr>
          <w:rStyle w:val="SectionNumber"/>
        </w:rPr>
        <w:t xml:space="preserve">5.2</w:t>
      </w:r>
      <w:r>
        <w:tab/>
      </w:r>
      <w:r>
        <w:t xml:space="preserve">Lecture - Analyzing 16S rRNA Data with phyloseq</w:t>
      </w:r>
    </w:p>
    <w:p>
      <w:pPr>
        <w:pStyle w:val="FirstParagraph"/>
      </w:pPr>
      <w:r>
        <w:rPr>
          <w:iCs/>
          <w:i/>
        </w:rPr>
        <w:t xml:space="preserve">Estimated time:</w:t>
      </w:r>
      <w:r>
        <w:rPr>
          <w:iCs/>
          <w:i/>
        </w:rPr>
        <w:t xml:space="preserve"> </w:t>
      </w:r>
    </w:p>
    <w:p>
      <w:pPr>
        <w:pStyle w:val="BodyText"/>
      </w:pPr>
      <w:r>
        <w:drawing>
          <wp:inline>
            <wp:extent cx="5334000" cy="3000375"/>
            <wp:effectExtent b="0" l="0" r="0" t="0"/>
            <wp:docPr descr="" title="" id="249" name="Picture"/>
            <a:graphic>
              <a:graphicData uri="http://schemas.openxmlformats.org/drawingml/2006/picture">
                <pic:pic>
                  <pic:nvPicPr>
                    <pic:cNvPr descr="analyze-phyloseq_files/figure-docx//1QZbSBPOGkBeizh1L45C6EaktOxl6pqrTDGNIncHQ5lY_g35f391192_00.png" id="250" name="Picture"/>
                    <pic:cNvPicPr>
                      <a:picLocks noChangeArrowheads="1" noChangeAspect="1"/>
                    </pic:cNvPicPr>
                  </pic:nvPicPr>
                  <pic:blipFill>
                    <a:blip r:embed="rId2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51">
        <w:r>
          <w:rPr>
            <w:rStyle w:val="Hyperlink"/>
          </w:rPr>
          <w:t xml:space="preserve">Lecture</w:t>
        </w:r>
      </w:hyperlink>
    </w:p>
    <w:bookmarkEnd w:id="252"/>
    <w:bookmarkStart w:id="267" w:name="X8f91bb87d0455a3b5505646cf528f27e7ba8c11"/>
    <w:p>
      <w:pPr>
        <w:pStyle w:val="Heading2"/>
      </w:pPr>
      <w:r>
        <w:rPr>
          <w:rStyle w:val="SectionNumber"/>
        </w:rPr>
        <w:t xml:space="preserve">5.3</w:t>
      </w:r>
      <w:r>
        <w:tab/>
      </w:r>
      <w:r>
        <w:t xml:space="preserve">Activity - Exploring 16S rRNA Data with phyloseq</w:t>
      </w:r>
    </w:p>
    <w:bookmarkStart w:id="253" w:name="purpose-8"/>
    <w:p>
      <w:pPr>
        <w:pStyle w:val="Heading3"/>
      </w:pPr>
      <w:r>
        <w:rPr>
          <w:rStyle w:val="SectionNumber"/>
        </w:rPr>
        <w:t xml:space="preserve">5.3.1</w:t>
      </w:r>
      <w:r>
        <w:tab/>
      </w:r>
      <w:r>
        <w:t xml:space="preserve">Purpose</w:t>
      </w:r>
    </w:p>
    <w:p>
      <w:pPr>
        <w:pStyle w:val="FirstParagraph"/>
      </w:pPr>
      <w:r>
        <w:t xml:space="preserve">To analyze bacterial diversity based on 16S rRNA gene sequencing using data from the</w:t>
      </w:r>
      <w:r>
        <w:t xml:space="preserve"> </w:t>
      </w:r>
      <w:r>
        <w:t xml:space="preserve">“</w:t>
      </w:r>
      <w:r>
        <w:t xml:space="preserve">Impact of a 7-day homogeneous diet on interpersonal variation in human gut microbiomes and metabolomes</w:t>
      </w:r>
      <w:r>
        <w:t xml:space="preserve">”</w:t>
      </w:r>
      <w:r>
        <w:t xml:space="preserve"> </w:t>
      </w:r>
      <w:r>
        <w:t xml:space="preserve">by Guthrie et al., 2023. This study is also referred to as the MISO study for</w:t>
      </w:r>
      <w:r>
        <w:t xml:space="preserve"> </w:t>
      </w:r>
      <w:r>
        <w:t xml:space="preserve">“</w:t>
      </w:r>
      <w:r>
        <w:t xml:space="preserve">Microbiome Individuality and Stability Over Time</w:t>
      </w:r>
      <w:r>
        <w:t xml:space="preserve">”</w:t>
      </w:r>
      <w:r>
        <w:t xml:space="preserve"> </w:t>
      </w:r>
      <w:r>
        <w:t xml:space="preserve">because the study aims to understand variation (or stability) of microbiomes across individuals.</w:t>
      </w:r>
    </w:p>
    <w:p>
      <w:pPr>
        <w:pStyle w:val="BodyText"/>
      </w:pPr>
      <w:r>
        <w:t xml:space="preserve">This activity aims to analyze metagenomic diversity using the following R packages:</w:t>
      </w:r>
    </w:p>
    <w:p>
      <w:pPr>
        <w:numPr>
          <w:ilvl w:val="0"/>
          <w:numId w:val="1131"/>
        </w:numPr>
        <w:pStyle w:val="Compact"/>
      </w:pPr>
      <w:r>
        <w:rPr>
          <w:bCs/>
          <w:b/>
        </w:rPr>
        <w:t xml:space="preserve">phyloseq</w:t>
      </w:r>
      <w:r>
        <w:t xml:space="preserve">: A popular package for taxonomy profiling</w:t>
      </w:r>
    </w:p>
    <w:p>
      <w:pPr>
        <w:numPr>
          <w:ilvl w:val="0"/>
          <w:numId w:val="1131"/>
        </w:numPr>
        <w:pStyle w:val="Compact"/>
      </w:pPr>
      <w:r>
        <w:rPr>
          <w:bCs/>
          <w:b/>
        </w:rPr>
        <w:t xml:space="preserve">DESeq2</w:t>
      </w:r>
      <w:r>
        <w:t xml:space="preserve">: A package originally designed for differential expression which we will use for differential abundance</w:t>
      </w:r>
    </w:p>
    <w:p>
      <w:pPr>
        <w:numPr>
          <w:ilvl w:val="0"/>
          <w:numId w:val="1131"/>
        </w:numPr>
        <w:pStyle w:val="Compact"/>
      </w:pPr>
      <w:r>
        <w:rPr>
          <w:bCs/>
          <w:b/>
        </w:rPr>
        <w:t xml:space="preserve">ggplot2</w:t>
      </w:r>
      <w:r>
        <w:t xml:space="preserve">: A tidyverse package that produces high-quality figures</w:t>
      </w:r>
    </w:p>
    <w:bookmarkEnd w:id="253"/>
    <w:bookmarkStart w:id="254" w:name="learning-objectives-7"/>
    <w:p>
      <w:pPr>
        <w:pStyle w:val="Heading3"/>
      </w:pPr>
      <w:r>
        <w:rPr>
          <w:rStyle w:val="SectionNumber"/>
        </w:rPr>
        <w:t xml:space="preserve">5.3.2</w:t>
      </w:r>
      <w:r>
        <w:tab/>
      </w:r>
      <w:r>
        <w:t xml:space="preserve">Learning objectives</w:t>
      </w:r>
    </w:p>
    <w:p>
      <w:pPr>
        <w:numPr>
          <w:ilvl w:val="0"/>
          <w:numId w:val="1132"/>
        </w:numPr>
        <w:pStyle w:val="Compact"/>
      </w:pPr>
      <w:r>
        <w:t xml:space="preserve">Use phyloseq to cluster samples based on the similarity of their microbial compositions using multidimensional scaling methods (NMDS or PCoA)</w:t>
      </w:r>
    </w:p>
    <w:p>
      <w:pPr>
        <w:numPr>
          <w:ilvl w:val="0"/>
          <w:numId w:val="1132"/>
        </w:numPr>
        <w:pStyle w:val="Compact"/>
      </w:pPr>
      <w:r>
        <w:t xml:space="preserve">Use phyloseq to profile alpha diversity (Shannon and Simpson’s indices)</w:t>
      </w:r>
    </w:p>
    <w:p>
      <w:pPr>
        <w:numPr>
          <w:ilvl w:val="0"/>
          <w:numId w:val="1132"/>
        </w:numPr>
        <w:pStyle w:val="Compact"/>
      </w:pPr>
      <w:r>
        <w:t xml:space="preserve">Use DESeq2 to perform differential abundance analysis</w:t>
      </w:r>
    </w:p>
    <w:bookmarkEnd w:id="254"/>
    <w:bookmarkStart w:id="255" w:name="introduction-8"/>
    <w:p>
      <w:pPr>
        <w:pStyle w:val="Heading3"/>
      </w:pPr>
      <w:r>
        <w:rPr>
          <w:rStyle w:val="SectionNumber"/>
        </w:rPr>
        <w:t xml:space="preserve">5.3.3</w:t>
      </w:r>
      <w:r>
        <w:tab/>
      </w:r>
      <w:r>
        <w:t xml:space="preserve">Introduction</w:t>
      </w:r>
    </w:p>
    <w:p>
      <w:pPr>
        <w:pStyle w:val="FirstParagraph"/>
      </w:pPr>
      <w:r>
        <w:t xml:space="preserve">16S data can be manipulated and visualized in a variety of ways. In Google Sheets, we explored the data manually to gain an understanding at the level of 1-10 ASVs. Through phyloseq we collapsed ASVs with the same taxonomic annotation to survey microbial diversity and perform the same exploration across the entire dataset. In this activity, we will use the functions of phyloseq and DESeq2 that are more advanced. These analyses would be extremely difficult and tedious to do manually and will allow us deeper insights into our dataset. We will cluster samples based on similarity of ASV counts, survey alpha diversity, and search for differentially abundant ASVs between different groups.</w:t>
      </w:r>
    </w:p>
    <w:bookmarkEnd w:id="255"/>
    <w:bookmarkStart w:id="256" w:name="X86de0bad542461c14caf91529ba08092a314e92"/>
    <w:p>
      <w:pPr>
        <w:pStyle w:val="Heading3"/>
      </w:pPr>
      <w:r>
        <w:rPr>
          <w:rStyle w:val="SectionNumber"/>
        </w:rPr>
        <w:t xml:space="preserve">5.3.4</w:t>
      </w:r>
      <w:r>
        <w:tab/>
      </w:r>
      <w:r>
        <w:t xml:space="preserve">Activity 1 – Analyze 16S rRNA Data with phyloseq tutorial</w:t>
      </w:r>
    </w:p>
    <w:p>
      <w:pPr>
        <w:pStyle w:val="FirstParagraph"/>
      </w:pPr>
      <w:r>
        <w:rPr>
          <w:iCs/>
          <w:i/>
        </w:rPr>
        <w:t xml:space="preserve">Estimated time: 35 min</w:t>
      </w:r>
    </w:p>
    <w:p>
      <w:pPr>
        <w:pStyle w:val="BodyText"/>
      </w:pPr>
      <w:r>
        <w:rPr>
          <w:bCs/>
          <w:b/>
        </w:rPr>
        <w:t xml:space="preserve">Activity 1. Explore a phyloseq object through the</w:t>
      </w:r>
      <w:r>
        <w:rPr>
          <w:bCs/>
          <w:b/>
        </w:rPr>
        <w:t xml:space="preserve"> </w:t>
      </w:r>
      <w:r>
        <w:rPr>
          <w:bCs/>
          <w:b/>
        </w:rPr>
        <w:t xml:space="preserve">“</w:t>
      </w:r>
      <w:r>
        <w:rPr>
          <w:bCs/>
          <w:b/>
        </w:rPr>
        <w:t xml:space="preserve">Analyze 16S rRNA Data with phyloseq</w:t>
      </w:r>
      <w:r>
        <w:rPr>
          <w:bCs/>
          <w:b/>
        </w:rPr>
        <w:t xml:space="preserve">”</w:t>
      </w:r>
      <w:r>
        <w:rPr>
          <w:bCs/>
          <w:b/>
        </w:rPr>
        <w:t xml:space="preserve"> </w:t>
      </w:r>
      <w:r>
        <w:rPr>
          <w:bCs/>
          <w:b/>
        </w:rPr>
        <w:t xml:space="preserve">tutorial on SciServer.</w:t>
      </w:r>
    </w:p>
    <w:p>
      <w:pPr>
        <w:numPr>
          <w:ilvl w:val="0"/>
          <w:numId w:val="1133"/>
        </w:numPr>
        <w:pStyle w:val="Compact"/>
      </w:pPr>
      <w:r>
        <w:t xml:space="preserve">Access the C-MOOR Tutorials</w:t>
      </w:r>
    </w:p>
    <w:p>
      <w:pPr>
        <w:numPr>
          <w:ilvl w:val="0"/>
          <w:numId w:val="1134"/>
        </w:numPr>
      </w:pPr>
      <w:r>
        <w:t xml:space="preserve">If you are using SciServer, log into SciServer, click on compute and open your</w:t>
      </w:r>
      <w:r>
        <w:t xml:space="preserve"> </w:t>
      </w:r>
      <w:r>
        <w:t xml:space="preserve">“</w:t>
      </w:r>
      <w:r>
        <w:t xml:space="preserve">C-MOOR LearnR</w:t>
      </w:r>
      <w:r>
        <w:t xml:space="preserve">”</w:t>
      </w:r>
      <w:r>
        <w:t xml:space="preserve"> </w:t>
      </w:r>
      <w:r>
        <w:t xml:space="preserve">container. Visit SciServer Guides and FAQs if you need to jog your memory on how to do this.</w:t>
      </w:r>
    </w:p>
    <w:p>
      <w:pPr>
        <w:numPr>
          <w:ilvl w:val="0"/>
          <w:numId w:val="1134"/>
        </w:numPr>
      </w:pPr>
      <w:r>
        <w:t xml:space="preserve">If you are using AnVIL, log into AnVIL, navigate to your class Workspace, start up an RStudio Cloud Environment, and open RStudio. Visit the AnVIL Guides and FAQs if you need to jog your memory on how to do this. This module can be found in the</w:t>
      </w:r>
      <w:r>
        <w:t xml:space="preserve"> </w:t>
      </w:r>
      <w:r>
        <w:t xml:space="preserve">“</w:t>
      </w:r>
      <w:r>
        <w:t xml:space="preserve">2-analyze-ps</w:t>
      </w:r>
      <w:r>
        <w:t xml:space="preserve">”</w:t>
      </w:r>
      <w:r>
        <w:t xml:space="preserve"> </w:t>
      </w:r>
      <w:r>
        <w:t xml:space="preserve">folder of the</w:t>
      </w:r>
      <w:r>
        <w:t xml:space="preserve"> </w:t>
      </w:r>
      <w:r>
        <w:t xml:space="preserve">“</w:t>
      </w:r>
      <w:r>
        <w:t xml:space="preserve">16s</w:t>
      </w:r>
      <w:r>
        <w:t xml:space="preserve">”</w:t>
      </w:r>
      <w:r>
        <w:t xml:space="preserve"> </w:t>
      </w:r>
      <w:r>
        <w:t xml:space="preserve">curriculum folder.</w:t>
      </w:r>
    </w:p>
    <w:p>
      <w:pPr>
        <w:numPr>
          <w:ilvl w:val="0"/>
          <w:numId w:val="1134"/>
        </w:numPr>
      </w:pPr>
      <w:r>
        <w:t xml:space="preserve">If you are using an alternative setup, follow the instructions provided by your instructor.</w:t>
      </w:r>
    </w:p>
    <w:p>
      <w:pPr>
        <w:numPr>
          <w:ilvl w:val="0"/>
          <w:numId w:val="1135"/>
        </w:numPr>
        <w:pStyle w:val="Compact"/>
      </w:pPr>
      <w:r>
        <w:t xml:space="preserve">Start the</w:t>
      </w:r>
      <w:r>
        <w:t xml:space="preserve"> </w:t>
      </w:r>
      <w:r>
        <w:t xml:space="preserve">“</w:t>
      </w:r>
      <w:r>
        <w:t xml:space="preserve">Analyze 16S rRNA Data with phyloseq</w:t>
      </w:r>
      <w:r>
        <w:t xml:space="preserve">”</w:t>
      </w:r>
      <w:r>
        <w:t xml:space="preserve"> </w:t>
      </w:r>
      <w:r>
        <w:t xml:space="preserve">tutorial. Visit SciServer Guides and FAQs. If you need assistance accessing the tutorial.</w:t>
      </w:r>
    </w:p>
    <w:p>
      <w:pPr>
        <w:numPr>
          <w:ilvl w:val="0"/>
          <w:numId w:val="1135"/>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p>
      <w:pPr>
        <w:numPr>
          <w:ilvl w:val="0"/>
          <w:numId w:val="1135"/>
        </w:numPr>
        <w:pStyle w:val="Compact"/>
      </w:pPr>
      <w:r>
        <w:t xml:space="preserve">This tutorial has small boxes in which you can enter and run short lines of code to analyze the data.</w:t>
      </w:r>
    </w:p>
    <w:p>
      <w:pPr>
        <w:numPr>
          <w:ilvl w:val="0"/>
          <w:numId w:val="1135"/>
        </w:numPr>
        <w:pStyle w:val="Compact"/>
      </w:pPr>
      <w:r>
        <w:t xml:space="preserve">As you work through the tutorial, take snapshots of your work and paste your answers in the grey boxes below: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 Alpha diversity section: Take a snapshot and paste the code for an alpha diversity plot (Simpson) from the quiz question: What male subject has the data point for the LOWEST alpha diversity? HINT: Use subset_samples() to subset males, and specify individuals (subject) on x-axis of the alpha diversity plot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1-2. PCoA section: Take a snapshot and paste the code for a PCoA plot from the quiz question: In a PCoA with only data from ASVs with the class Bacteroidia, what is the percent of variance in the dataset explained by principal coordinate 1? HINT: You will need to change the code subsetting phylum and Firmicutes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1-3. Differential abundance: Take a snapshot and paste the code for the differential abundance plot for the quiz question: Which of the following Phylum have ASVs that are differentially abundant between the subject S02 and subject S03?</w:t>
            </w:r>
          </w:p>
        </w:tc>
      </w:tr>
      <w:tr>
        <w:tc>
          <w:tcPr/>
          <w:p>
            <w:pPr>
              <w:pStyle w:val="Compact"/>
              <w:jc w:val="left"/>
            </w:pPr>
          </w:p>
        </w:tc>
      </w:tr>
    </w:tbl>
    <w:bookmarkEnd w:id="256"/>
    <w:bookmarkStart w:id="261" w:name="activity-2-try-it-out-questions-1"/>
    <w:p>
      <w:pPr>
        <w:pStyle w:val="Heading3"/>
      </w:pPr>
      <w:r>
        <w:rPr>
          <w:rStyle w:val="SectionNumber"/>
        </w:rPr>
        <w:t xml:space="preserve">5.3.5</w:t>
      </w:r>
      <w:r>
        <w:tab/>
      </w:r>
      <w:r>
        <w:t xml:space="preserve">Activity 2 – Try it out questions</w:t>
      </w:r>
    </w:p>
    <w:p>
      <w:pPr>
        <w:pStyle w:val="FirstParagraph"/>
      </w:pPr>
      <w:r>
        <w:rPr>
          <w:iCs/>
          <w:i/>
        </w:rPr>
        <w:t xml:space="preserve">Estimated time: 60 min</w:t>
      </w:r>
    </w:p>
    <w:p>
      <w:pPr>
        <w:pStyle w:val="BodyText"/>
      </w:pPr>
      <w:r>
        <w:t xml:space="preserve">With your group, perform some exploratory data analysis selecting from one of the four questions below or coming up with your own question. Each question has its own section with code templates for you to use below. Select a question here, then go to the page specific to your question.</w:t>
      </w:r>
    </w:p>
    <w:bookmarkStart w:id="257" w:name="Xd7fe6c5293c3dabe27f88cf1c7ce09a9de27f08"/>
    <w:p>
      <w:pPr>
        <w:pStyle w:val="Heading4"/>
      </w:pPr>
      <w:r>
        <w:rPr>
          <w:rStyle w:val="SectionNumber"/>
        </w:rPr>
        <w:t xml:space="preserve">5.3.5.1</w:t>
      </w:r>
      <w:r>
        <w:tab/>
      </w:r>
      <w:r>
        <w:t xml:space="preserve">Question 1. How sensitive is microbial diversity to variables like diet, age and gender?</w:t>
      </w:r>
    </w:p>
    <w:p>
      <w:pPr>
        <w:pStyle w:val="FirstParagraph"/>
      </w:pPr>
      <w:r>
        <w:t xml:space="preserve">Alpha diversity is a measure that estimates how the distribution of microbes changes due to a variable (or metadata category). Alpha diversity measures changes in the richness (the number of different organisms or ASVs) and evenness (how evenly are these organisms distributed in terms of their abundance). Using the</w:t>
      </w:r>
      <w:r>
        <w:t xml:space="preserve"> </w:t>
      </w:r>
      <w:r>
        <w:t xml:space="preserve">“</w:t>
      </w:r>
      <w:r>
        <w:t xml:space="preserve">MISO</w:t>
      </w:r>
      <w:r>
        <w:t xml:space="preserve">”</w:t>
      </w:r>
      <w:r>
        <w:t xml:space="preserve"> </w:t>
      </w:r>
      <w:r>
        <w:t xml:space="preserve">study dataset we will use Simpson (or specifically, Gini-Simpson) alpha diversity to evaluate changes in microbial diversity in individuals due to different metadata variables.</w:t>
      </w:r>
    </w:p>
    <w:p>
      <w:pPr>
        <w:pStyle w:val="BodyText"/>
      </w:pPr>
      <w:r>
        <w:t xml:space="preserve">Approach: Plot Simpson alpha diversity using plot_richness() command in phyloseq and assess the impact of different study variables on changes in microbial diversity. Identify variables that impact alpha diversity. Visible shifts in alpha diversity suggest a shift in microbial diversity, and a higher alpha diversity value indicates an increase in alpha diversity (either richness or abundance).</w:t>
      </w:r>
    </w:p>
    <w:p>
      <w:pPr>
        <w:numPr>
          <w:ilvl w:val="0"/>
          <w:numId w:val="1136"/>
        </w:numPr>
        <w:pStyle w:val="Compact"/>
      </w:pPr>
      <w:r>
        <w:t xml:space="preserve">Evaluate the impact of diet on alpha diversity by plotting ASVs based on</w:t>
      </w:r>
      <w:r>
        <w:t xml:space="preserve"> </w:t>
      </w:r>
      <w:r>
        <w:t xml:space="preserve">“</w:t>
      </w:r>
      <w:r>
        <w:t xml:space="preserve">diet</w:t>
      </w:r>
      <w:r>
        <w:t xml:space="preserve">”</w:t>
      </w:r>
      <w:r>
        <w:t xml:space="preserve"> </w:t>
      </w:r>
      <w:r>
        <w:t xml:space="preserve">variable.</w:t>
      </w:r>
    </w:p>
    <w:p>
      <w:pPr>
        <w:numPr>
          <w:ilvl w:val="0"/>
          <w:numId w:val="1136"/>
        </w:numPr>
        <w:pStyle w:val="Compact"/>
      </w:pPr>
      <w:r>
        <w:t xml:space="preserve">Evaluate the impact of individuality on alpha diversity by plotting ASVs based on</w:t>
      </w:r>
      <w:r>
        <w:t xml:space="preserve"> </w:t>
      </w:r>
      <w:r>
        <w:t xml:space="preserve">“</w:t>
      </w:r>
      <w:r>
        <w:t xml:space="preserve">subject</w:t>
      </w:r>
      <w:r>
        <w:t xml:space="preserve">”</w:t>
      </w:r>
      <w:r>
        <w:t xml:space="preserve"> </w:t>
      </w:r>
      <w:r>
        <w:t xml:space="preserve">variable.</w:t>
      </w:r>
    </w:p>
    <w:p>
      <w:pPr>
        <w:numPr>
          <w:ilvl w:val="0"/>
          <w:numId w:val="1136"/>
        </w:numPr>
        <w:pStyle w:val="Compact"/>
      </w:pPr>
      <w:r>
        <w:t xml:space="preserve">Evaluate the impact of gender on alpha diversity by plotting ASVs based on</w:t>
      </w:r>
      <w:r>
        <w:t xml:space="preserve"> </w:t>
      </w:r>
      <w:r>
        <w:t xml:space="preserve">“</w:t>
      </w:r>
      <w:r>
        <w:t xml:space="preserve">age</w:t>
      </w:r>
      <w:r>
        <w:t xml:space="preserve">”</w:t>
      </w:r>
      <w:r>
        <w:t xml:space="preserve"> </w:t>
      </w:r>
      <w:r>
        <w:t xml:space="preserve">variable.</w:t>
      </w:r>
    </w:p>
    <w:p>
      <w:pPr>
        <w:numPr>
          <w:ilvl w:val="0"/>
          <w:numId w:val="1136"/>
        </w:numPr>
        <w:pStyle w:val="Compact"/>
      </w:pPr>
      <w:r>
        <w:t xml:space="preserve">Evaluate the impact of gender on alpha diversity by plotting ASVs based on</w:t>
      </w:r>
      <w:r>
        <w:t xml:space="preserve"> </w:t>
      </w:r>
      <w:r>
        <w:t xml:space="preserve">“</w:t>
      </w:r>
      <w:r>
        <w:t xml:space="preserve">gender</w:t>
      </w:r>
      <w:r>
        <w:t xml:space="preserve">”</w:t>
      </w:r>
      <w:r>
        <w:t xml:space="preserve"> </w:t>
      </w:r>
      <w:r>
        <w:t xml:space="preserve">variable.</w:t>
      </w:r>
    </w:p>
    <w:p>
      <w:pPr>
        <w:numPr>
          <w:ilvl w:val="0"/>
          <w:numId w:val="1136"/>
        </w:numPr>
        <w:pStyle w:val="Compact"/>
      </w:pPr>
      <w:r>
        <w:t xml:space="preserve">Evaluate the impact of gender on alpha diversity by plotting ASVs based on the 5 different levels of metabolites in the study (Creatinine, PCS, IS, HIPP, PAG).</w:t>
      </w:r>
    </w:p>
    <w:bookmarkEnd w:id="257"/>
    <w:bookmarkStart w:id="258" w:name="Xce8ba0af66d77c0493c92044e197fc52f25ceec"/>
    <w:p>
      <w:pPr>
        <w:pStyle w:val="Heading4"/>
      </w:pPr>
      <w:r>
        <w:rPr>
          <w:rStyle w:val="SectionNumber"/>
        </w:rPr>
        <w:t xml:space="preserve">5.3.5.2</w:t>
      </w:r>
      <w:r>
        <w:tab/>
      </w:r>
      <w:r>
        <w:t xml:space="preserve">Question 2. Do diet, age, gender and levels of metabolites correlate with microbe variation between individuals?</w:t>
      </w:r>
    </w:p>
    <w:p>
      <w:pPr>
        <w:pStyle w:val="FirstParagraph"/>
      </w:pPr>
      <w:r>
        <w:t xml:space="preserve">A PCoA plot is a principal coordinate analysis used to represent similarity between samples (sample microbiomes in our case). Using the</w:t>
      </w:r>
      <w:r>
        <w:t xml:space="preserve"> </w:t>
      </w:r>
      <w:r>
        <w:t xml:space="preserve">“</w:t>
      </w:r>
      <w:r>
        <w:t xml:space="preserve">MISO</w:t>
      </w:r>
      <w:r>
        <w:t xml:space="preserve">”</w:t>
      </w:r>
      <w:r>
        <w:t xml:space="preserve"> </w:t>
      </w:r>
      <w:r>
        <w:t xml:space="preserve">study dataset, we will use the PCoA plot to summarize individuals based on ASVs and plot the resulting relationships between individuals. Based on how well color-coding the different variables matches the sample distribution on the PcOA plot, we will aim to help explain potential sources of sample similarity.</w:t>
      </w:r>
    </w:p>
    <w:p>
      <w:pPr>
        <w:pStyle w:val="BodyText"/>
      </w:pPr>
      <w:r>
        <w:t xml:space="preserve">Approach: Perform multidimensional scaling (also known as principal component analysis) to establish a relationship between the samples given multivariate data (metadata variables). Using a PcOA plot (via commands ordinate() and plot_ordination() in phyloseq), you will condense the original high-dimensional data into a low-dimensional one by converting data to distance map (matrix) with 2 dimensions, x and y, that best explain variability in your data. From your PCoA plot you will assess the contribution of different study variables to sample diversity and identify variables that correlate with sample diversity. In a PcOA plot, samples with similar microbial profiles will be plotted close and may appear as groups.</w:t>
      </w:r>
    </w:p>
    <w:p>
      <w:pPr>
        <w:numPr>
          <w:ilvl w:val="0"/>
          <w:numId w:val="1137"/>
        </w:numPr>
        <w:pStyle w:val="Compact"/>
      </w:pPr>
      <w:r>
        <w:t xml:space="preserve">Make a PCoA plot, ordinate on the entire dataset (all ASVs) and color by individual. Investigate the shape of the resulting PCoA plot.</w:t>
      </w:r>
    </w:p>
    <w:p>
      <w:pPr>
        <w:numPr>
          <w:ilvl w:val="0"/>
          <w:numId w:val="1137"/>
        </w:numPr>
        <w:pStyle w:val="Compact"/>
      </w:pPr>
      <w:r>
        <w:t xml:space="preserve">Correlate PCoA plot shape with metadata variables by coloring the PCoA plot with different variables including diet, subject, age and gender. Do any of the variables correlate with the shape of PCoA plot and data groupings?</w:t>
      </w:r>
    </w:p>
    <w:p>
      <w:pPr>
        <w:numPr>
          <w:ilvl w:val="0"/>
          <w:numId w:val="1137"/>
        </w:numPr>
        <w:pStyle w:val="Compact"/>
      </w:pPr>
      <w:r>
        <w:t xml:space="preserve">Correlate PCoA plot shape with the levels of metabolites in the study (Creatinine, PCS, IS, HIPP, PAG). From the color-coding pattern, identify 1. which variables help potentially explain the data groups formed in the PCoA plot.</w:t>
      </w:r>
      <w:r>
        <w:t xml:space="preserve"> </w:t>
      </w:r>
      <w:r>
        <w:t xml:space="preserve">Subset</w:t>
      </w:r>
      <w:r>
        <w:t xml:space="preserve"> </w:t>
      </w:r>
      <w:r>
        <w:t xml:space="preserve">“</w:t>
      </w:r>
      <w:r>
        <w:t xml:space="preserve">HD</w:t>
      </w:r>
      <w:r>
        <w:t xml:space="preserve">”</w:t>
      </w:r>
      <w:r>
        <w:t xml:space="preserve">, ordinate on</w:t>
      </w:r>
      <w:r>
        <w:t xml:space="preserve"> </w:t>
      </w:r>
      <w:r>
        <w:t xml:space="preserve">“</w:t>
      </w:r>
      <w:r>
        <w:t xml:space="preserve">HD</w:t>
      </w:r>
      <w:r>
        <w:t xml:space="preserve">”</w:t>
      </w:r>
      <w:r>
        <w:t xml:space="preserve">, and make a new PCoA plot.</w:t>
      </w:r>
    </w:p>
    <w:bookmarkEnd w:id="258"/>
    <w:bookmarkStart w:id="259" w:name="X42c4a4c2165e20d75f675444fe8cf678c8bf11b"/>
    <w:p>
      <w:pPr>
        <w:pStyle w:val="Heading4"/>
      </w:pPr>
      <w:r>
        <w:rPr>
          <w:rStyle w:val="SectionNumber"/>
        </w:rPr>
        <w:t xml:space="preserve">5.3.5.3</w:t>
      </w:r>
      <w:r>
        <w:tab/>
      </w:r>
      <w:r>
        <w:t xml:space="preserve">Question 3. What microbes (ASVs) differ between males and females, and does age have an impact?</w:t>
      </w:r>
    </w:p>
    <w:p>
      <w:pPr>
        <w:pStyle w:val="FirstParagraph"/>
      </w:pPr>
      <w:r>
        <w:t xml:space="preserve">Approach: Perform DESeq2 differential abundance analysis between females and males and determine how many differentially abundant microbes are there between the sexes. Then examine if age has a further impact on the differential abundance of the microbes between the sexes.</w:t>
      </w:r>
    </w:p>
    <w:p>
      <w:pPr>
        <w:numPr>
          <w:ilvl w:val="0"/>
          <w:numId w:val="1138"/>
        </w:numPr>
        <w:pStyle w:val="Compact"/>
      </w:pPr>
      <w:r>
        <w:t xml:space="preserve">Perform DESeq2 analysis between females and males and identify differences.</w:t>
      </w:r>
    </w:p>
    <w:p>
      <w:pPr>
        <w:numPr>
          <w:ilvl w:val="0"/>
          <w:numId w:val="1138"/>
        </w:numPr>
        <w:pStyle w:val="Compact"/>
      </w:pPr>
      <w:r>
        <w:t xml:space="preserve">Test if younger age contributes to differential microbe abundance between females and males by subsetting younger (&lt; 50 years old) individuals.</w:t>
      </w:r>
    </w:p>
    <w:p>
      <w:pPr>
        <w:numPr>
          <w:ilvl w:val="0"/>
          <w:numId w:val="1138"/>
        </w:numPr>
        <w:pStyle w:val="Compact"/>
      </w:pPr>
      <w:r>
        <w:t xml:space="preserve">Test if older age contributes to differential microbe abundance between females and males by subsetting older (&gt; 50 years old) individuals.</w:t>
      </w:r>
    </w:p>
    <w:bookmarkEnd w:id="259"/>
    <w:bookmarkStart w:id="260" w:name="X589fd5694809ec29780eb6eef5817c774102113"/>
    <w:p>
      <w:pPr>
        <w:pStyle w:val="Heading4"/>
      </w:pPr>
      <w:r>
        <w:rPr>
          <w:rStyle w:val="SectionNumber"/>
        </w:rPr>
        <w:t xml:space="preserve">5.3.5.4</w:t>
      </w:r>
      <w:r>
        <w:tab/>
      </w:r>
      <w:r>
        <w:t xml:space="preserve">Question 4. Is there diet and age interaction and what microbes (ASVs) correlate with changes in diet-age interaction?</w:t>
      </w:r>
    </w:p>
    <w:p>
      <w:pPr>
        <w:pStyle w:val="FirstParagraph"/>
      </w:pPr>
      <w:r>
        <w:t xml:space="preserve">Variables and conditions can interact with each other in complex ways. Here we will try to tease apart the relationship between the gut microbiome, diet, and age. What does an interaction look like? In this example, we’re looking at whether or not a change in diet affects people of different ages in different ways. We might imagine for example that a young person’s gut is more resilient to change than an older person’s or vice versa. Changes at one age group may be different in the other.</w:t>
      </w:r>
    </w:p>
    <w:p>
      <w:pPr>
        <w:pStyle w:val="BodyText"/>
      </w:pPr>
      <w:r>
        <w:t xml:space="preserve">Approach: Use alpha diversity measure and DESeq2 tools to answer this question. Using alpha diversity, determine if there is an interaction between diet and age. Then use DESeq2 to see if any ASVs are associated with changes in die-age interaction. Using Simpson alpha diversity measure (or specifically, Gini-Simpson) evaluate how microbial diversity changes with age and diet in general, or age and BD, HD and WO diet specifically. Then, use DESeq2 to evaluate if younger or older age changes ASVs associated with diet.</w:t>
      </w:r>
    </w:p>
    <w:p>
      <w:pPr>
        <w:numPr>
          <w:ilvl w:val="0"/>
          <w:numId w:val="1139"/>
        </w:numPr>
        <w:pStyle w:val="Compact"/>
      </w:pPr>
      <w:r>
        <w:t xml:space="preserve">Plot alpha diversity based age for the population in general, and then for individuals subsetted for BD, HD and WO diets. Look for shifts in alpha diversity with change in diet.</w:t>
      </w:r>
    </w:p>
    <w:p>
      <w:pPr>
        <w:numPr>
          <w:ilvl w:val="0"/>
          <w:numId w:val="1139"/>
        </w:numPr>
        <w:pStyle w:val="Compact"/>
      </w:pPr>
      <w:r>
        <w:t xml:space="preserve">Perform DESeq2 analysis based on the diet for the population in general, establishing baseline differential abundance between dietary groups HD and BD.</w:t>
      </w:r>
    </w:p>
    <w:p>
      <w:pPr>
        <w:numPr>
          <w:ilvl w:val="0"/>
          <w:numId w:val="1139"/>
        </w:numPr>
        <w:pStyle w:val="Compact"/>
      </w:pPr>
      <w:r>
        <w:t xml:space="preserve">Perform DESeq2 analysis based on the diet for the younger (&lt;= 50 yo) and older (&gt;=50 yo) individuals, evaluating age-associated changes in differential abundance between dietary groups HD and BD.</w:t>
      </w:r>
    </w:p>
    <w:bookmarkEnd w:id="260"/>
    <w:bookmarkEnd w:id="261"/>
    <w:bookmarkStart w:id="262" w:name="grading-criteria-8"/>
    <w:p>
      <w:pPr>
        <w:pStyle w:val="Heading3"/>
      </w:pPr>
      <w:r>
        <w:rPr>
          <w:rStyle w:val="SectionNumber"/>
        </w:rPr>
        <w:t xml:space="preserve">5.3.6</w:t>
      </w:r>
      <w:r>
        <w:tab/>
      </w:r>
      <w:r>
        <w:t xml:space="preserve">Grading criteria</w:t>
      </w:r>
    </w:p>
    <w:p>
      <w:pPr>
        <w:numPr>
          <w:ilvl w:val="0"/>
          <w:numId w:val="1140"/>
        </w:numPr>
        <w:pStyle w:val="Compact"/>
      </w:pPr>
      <w:r>
        <w:t xml:space="preserve">Download the assignment to your local computer as a .docx, complete it, and upload the assignment to your LMS (Blackboard, Canvas, Google Classroom).</w:t>
      </w:r>
    </w:p>
    <w:bookmarkEnd w:id="262"/>
    <w:bookmarkStart w:id="266" w:name="footnotes-12"/>
    <w:p>
      <w:pPr>
        <w:pStyle w:val="Heading3"/>
      </w:pPr>
      <w:r>
        <w:rPr>
          <w:rStyle w:val="SectionNumber"/>
        </w:rPr>
        <w:t xml:space="preserve">5.3.7</w:t>
      </w:r>
      <w:r>
        <w:tab/>
      </w:r>
      <w:r>
        <w:t xml:space="preserve">Footnotes</w:t>
      </w:r>
    </w:p>
    <w:bookmarkStart w:id="264" w:name="resources-16"/>
    <w:p>
      <w:pPr>
        <w:pStyle w:val="Heading4"/>
      </w:pPr>
      <w:r>
        <w:rPr>
          <w:rStyle w:val="SectionNumber"/>
        </w:rPr>
        <w:t xml:space="preserve">5.3.7.1</w:t>
      </w:r>
      <w:r>
        <w:tab/>
      </w:r>
      <w:r>
        <w:t xml:space="preserve">Resources</w:t>
      </w:r>
    </w:p>
    <w:p>
      <w:pPr>
        <w:numPr>
          <w:ilvl w:val="0"/>
          <w:numId w:val="1141"/>
        </w:numPr>
        <w:pStyle w:val="Compact"/>
      </w:pPr>
      <w:hyperlink r:id="rId263">
        <w:r>
          <w:rPr>
            <w:rStyle w:val="Hyperlink"/>
          </w:rPr>
          <w:t xml:space="preserve">Google Doc</w:t>
        </w:r>
      </w:hyperlink>
    </w:p>
    <w:p>
      <w:pPr>
        <w:numPr>
          <w:ilvl w:val="0"/>
          <w:numId w:val="1141"/>
        </w:numPr>
        <w:pStyle w:val="Compact"/>
      </w:pPr>
      <w:hyperlink r:id="rId206">
        <w:r>
          <w:rPr>
            <w:rStyle w:val="Hyperlink"/>
          </w:rPr>
          <w:t xml:space="preserve">16S rRNA R Quick Reference</w:t>
        </w:r>
      </w:hyperlink>
    </w:p>
    <w:bookmarkEnd w:id="264"/>
    <w:bookmarkStart w:id="265" w:name="contributions-and-affiliations-12"/>
    <w:p>
      <w:pPr>
        <w:pStyle w:val="Heading4"/>
      </w:pPr>
      <w:r>
        <w:rPr>
          <w:rStyle w:val="SectionNumber"/>
        </w:rPr>
        <w:t xml:space="preserve">5.3.7.2</w:t>
      </w:r>
      <w:r>
        <w:tab/>
      </w:r>
      <w:r>
        <w:t xml:space="preserve">Contributions and affiliations</w:t>
      </w:r>
    </w:p>
    <w:p>
      <w:pPr>
        <w:numPr>
          <w:ilvl w:val="0"/>
          <w:numId w:val="1142"/>
        </w:numPr>
        <w:pStyle w:val="Compact"/>
      </w:pPr>
      <w:r>
        <w:t xml:space="preserve">Valeriya Gaysinskaya, Johns Hopkins University</w:t>
      </w:r>
    </w:p>
    <w:p>
      <w:pPr>
        <w:numPr>
          <w:ilvl w:val="0"/>
          <w:numId w:val="1142"/>
        </w:numPr>
        <w:pStyle w:val="Compact"/>
      </w:pPr>
      <w:r>
        <w:t xml:space="preserve">Gauri Paul, Clovis Community College</w:t>
      </w:r>
    </w:p>
    <w:p>
      <w:pPr>
        <w:numPr>
          <w:ilvl w:val="0"/>
          <w:numId w:val="1142"/>
        </w:numPr>
        <w:pStyle w:val="Compact"/>
      </w:pPr>
      <w:r>
        <w:t xml:space="preserve">Frederick Tan, Johns Hopkins University</w:t>
      </w:r>
    </w:p>
    <w:p>
      <w:pPr>
        <w:numPr>
          <w:ilvl w:val="0"/>
          <w:numId w:val="1142"/>
        </w:numPr>
        <w:pStyle w:val="Compact"/>
      </w:pPr>
      <w:r>
        <w:t xml:space="preserve">Sayumi York, Notre Dame of Maryland University</w:t>
      </w:r>
    </w:p>
    <w:bookmarkEnd w:id="265"/>
    <w:bookmarkEnd w:id="266"/>
    <w:bookmarkEnd w:id="267"/>
    <w:bookmarkStart w:id="276" w:name="X6e72b077ebe1d568b55a78e6f7c82187a139671"/>
    <w:p>
      <w:pPr>
        <w:pStyle w:val="Heading2"/>
      </w:pPr>
      <w:r>
        <w:rPr>
          <w:rStyle w:val="SectionNumber"/>
        </w:rPr>
        <w:t xml:space="preserve">5.4</w:t>
      </w:r>
      <w:r>
        <w:tab/>
      </w:r>
      <w:r>
        <w:t xml:space="preserve">Try it Question 1 - How sensitive is microbial diversity to variables like diet, age and gender</w:t>
      </w:r>
    </w:p>
    <w:p>
      <w:pPr>
        <w:pStyle w:val="FirstParagraph"/>
      </w:pPr>
      <w:r>
        <w:t xml:space="preserve">Alpha diversity is a measure that estimates how the distribution of microbes changes due to a variable (or metadata category). Alpha diversity measures changes in the richness (the number of different organisms or ASVs) and evenness (how evenly are these organisms distributed in terms of their abundance). Using the</w:t>
      </w:r>
      <w:r>
        <w:t xml:space="preserve"> </w:t>
      </w:r>
      <w:r>
        <w:t xml:space="preserve">“</w:t>
      </w:r>
      <w:r>
        <w:t xml:space="preserve">MISO</w:t>
      </w:r>
      <w:r>
        <w:t xml:space="preserve">”</w:t>
      </w:r>
      <w:r>
        <w:t xml:space="preserve"> </w:t>
      </w:r>
      <w:r>
        <w:t xml:space="preserve">study dataset we will use Simpson (or specifically, Gini-Simpson) alpha diversity to evaluate changes in microbial diversity in individuals due to different metadata variables.</w:t>
      </w:r>
    </w:p>
    <w:p>
      <w:pPr>
        <w:pStyle w:val="BodyText"/>
      </w:pPr>
      <w:r>
        <w:t xml:space="preserve">Approach: Plot Simpson alpha diversity using plot_richness() command in phyloseq and assess the impact of different study variables on changes in microbial diversity. Identify the variables that impact alpha diversity. Visible shifts in alpha diversity measure suggests a shift in microbial diversity, and higher alpha diversity value indicates an increase in alpha diversity.</w:t>
      </w:r>
    </w:p>
    <w:p>
      <w:pPr>
        <w:pStyle w:val="BodyText"/>
      </w:pPr>
      <w:r>
        <w:rPr>
          <w:bCs/>
          <w:b/>
        </w:rPr>
        <w:t xml:space="preserve">Note, when plotting this data you may get a warning below. That is ok!</w:t>
      </w:r>
    </w:p>
    <w:p>
      <w:pPr>
        <w:pStyle w:val="SourceCode"/>
      </w:pPr>
      <w:r>
        <w:rPr>
          <w:rStyle w:val="NormalTok"/>
        </w:rPr>
        <w:t xml:space="preserve">Warning</w:t>
      </w:r>
      <w:r>
        <w:rPr>
          <w:rStyle w:val="SpecialCharTok"/>
        </w:rPr>
        <w:t xml:space="preserve">:</w:t>
      </w:r>
      <w:r>
        <w:rPr>
          <w:rStyle w:val="NormalTok"/>
        </w:rPr>
        <w:t xml:space="preserve"> The data you have provided does not have any singletons. This is highly suspicious. Results of richness </w:t>
      </w:r>
      <w:r>
        <w:rPr>
          <w:rStyle w:val="FunctionTok"/>
        </w:rPr>
        <w:t xml:space="preserve">estimates</w:t>
      </w:r>
      <w:r>
        <w:rPr>
          <w:rStyle w:val="NormalTok"/>
        </w:rPr>
        <w:t xml:space="preserve"> (</w:t>
      </w:r>
      <w:r>
        <w:rPr>
          <w:rStyle w:val="ControlFlowTok"/>
        </w:rPr>
        <w:t xml:space="preserve">for</w:t>
      </w:r>
      <w:r>
        <w:rPr>
          <w:rStyle w:val="NormalTok"/>
        </w:rPr>
        <w:t xml:space="preserve"> example) are probably unreliable, or wrong, </w:t>
      </w:r>
      <w:r>
        <w:rPr>
          <w:rStyle w:val="ControlFlowTok"/>
        </w:rPr>
        <w:t xml:space="preserve">if</w:t>
      </w:r>
      <w:r>
        <w:rPr>
          <w:rStyle w:val="NormalTok"/>
        </w:rPr>
        <w:t xml:space="preserve"> you have already trimmed low</w:t>
      </w:r>
      <w:r>
        <w:rPr>
          <w:rStyle w:val="SpecialCharTok"/>
        </w:rPr>
        <w:t xml:space="preserve">-</w:t>
      </w:r>
      <w:r>
        <w:rPr>
          <w:rStyle w:val="NormalTok"/>
        </w:rPr>
        <w:t xml:space="preserve">abundance taxa from the data.We recommended that you find the un</w:t>
      </w:r>
      <w:r>
        <w:rPr>
          <w:rStyle w:val="SpecialCharTok"/>
        </w:rPr>
        <w:t xml:space="preserve">-</w:t>
      </w:r>
      <w:r>
        <w:rPr>
          <w:rStyle w:val="NormalTok"/>
        </w:rPr>
        <w:t xml:space="preserve">trimmed data and retry.</w:t>
      </w:r>
    </w:p>
    <w:p>
      <w:pPr>
        <w:numPr>
          <w:ilvl w:val="0"/>
          <w:numId w:val="1143"/>
        </w:numPr>
        <w:pStyle w:val="Compact"/>
      </w:pPr>
      <w:r>
        <w:t xml:space="preserve">Refer to the</w:t>
      </w:r>
      <w:r>
        <w:t xml:space="preserve"> </w:t>
      </w:r>
      <w:r>
        <w:t xml:space="preserve">“</w:t>
      </w:r>
      <w:r>
        <w:t xml:space="preserve">alpha diversity</w:t>
      </w:r>
      <w:r>
        <w:t xml:space="preserve">”</w:t>
      </w:r>
      <w:r>
        <w:t xml:space="preserve"> </w:t>
      </w:r>
      <w:r>
        <w:t xml:space="preserve">section of the</w:t>
      </w:r>
      <w:r>
        <w:t xml:space="preserve"> </w:t>
      </w:r>
      <w:r>
        <w:t xml:space="preserve">“</w:t>
      </w:r>
      <w:r>
        <w:t xml:space="preserve">Analyze 16S rRNA Data with phyloseq</w:t>
      </w:r>
      <w:r>
        <w:t xml:space="preserve">”</w:t>
      </w:r>
      <w:r>
        <w:t xml:space="preserve"> </w:t>
      </w:r>
      <w:r>
        <w:t xml:space="preserve">tutorial for help using the plot_richness() function.</w:t>
      </w:r>
    </w:p>
    <w:bookmarkStart w:id="268" w:name="Xaf182b85ae6e5e29b42cf857378a05c8dc0f8da"/>
    <w:p>
      <w:pPr>
        <w:pStyle w:val="Heading3"/>
      </w:pPr>
      <w:r>
        <w:rPr>
          <w:rStyle w:val="SectionNumber"/>
        </w:rPr>
        <w:t xml:space="preserve">5.4.1</w:t>
      </w:r>
      <w:r>
        <w:tab/>
      </w:r>
      <w:r>
        <w:t xml:space="preserve">Step 1A. Plot alpha diversity of the full MISO dataset by subject (individuals).</w:t>
      </w:r>
    </w:p>
    <w:p>
      <w:pPr>
        <w:numPr>
          <w:ilvl w:val="0"/>
          <w:numId w:val="1144"/>
        </w:numPr>
        <w:pStyle w:val="Compact"/>
      </w:pPr>
      <w:r>
        <w:t xml:space="preserve">subject is on the x-axis</w:t>
      </w:r>
    </w:p>
    <w:p>
      <w:pPr>
        <w:numPr>
          <w:ilvl w:val="0"/>
          <w:numId w:val="1144"/>
        </w:numPr>
        <w:pStyle w:val="Compact"/>
      </w:pPr>
      <w:r>
        <w:t xml:space="preserve">Color is by subject</w:t>
      </w:r>
    </w:p>
    <w:p>
      <w:pPr>
        <w:numPr>
          <w:ilvl w:val="0"/>
          <w:numId w:val="1144"/>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w:t>
      </w:r>
      <w:r>
        <w:rPr>
          <w:rStyle w:val="NormalTok"/>
        </w:rPr>
        <w:t xml:space="preserve">, </w:t>
      </w:r>
      <w:r>
        <w:br/>
      </w:r>
      <w:r>
        <w:rPr>
          <w:rStyle w:val="NormalTok"/>
        </w:rPr>
        <w:t xml:space="preserve">              </w:t>
      </w:r>
      <w:r>
        <w:rPr>
          <w:rStyle w:val="AttributeTok"/>
        </w:rPr>
        <w:t xml:space="preserve">color=</w:t>
      </w:r>
      <w:r>
        <w:rPr>
          <w:rStyle w:val="StringTok"/>
        </w:rPr>
        <w:t xml:space="preserve">"subject"</w:t>
      </w:r>
      <w:r>
        <w:rPr>
          <w:rStyle w:val="NormalTok"/>
        </w:rPr>
        <w:t xml:space="preserve">, </w:t>
      </w:r>
      <w:r>
        <w:br/>
      </w:r>
      <w:r>
        <w:rPr>
          <w:rStyle w:val="NormalTok"/>
        </w:rPr>
        <w:t xml:space="preserve">              </w:t>
      </w:r>
      <w:r>
        <w:rPr>
          <w:rStyle w:val="AttributeTok"/>
        </w:rPr>
        <w:t xml:space="preserve">measures=</w:t>
      </w:r>
      <w:r>
        <w:rPr>
          <w:rStyle w:val="NormalTok"/>
        </w:rPr>
        <w:t xml:space="preserve"> </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1A-2. Examine the alpha diversity plot you made. Are the points for an individual highly clustered or far apart?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1A-3. Is the alpha diversity metric for one individual similar to another’s?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1A-4. When the points for an individual are highly clustered, this means their gut microbiome has the same level of biodiversity over the length of the experiment (although the exact community of microbes may not be the same). Conversely, when the points are farther apart, their gut microbiome’s biodiversity has changed through the experiment. What does it mean to see a varied pattern of clustering across individuals in the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1A-5. Do you think a healthy microbiome has a high or low alpha diversity? Why or why not?</w:t>
            </w:r>
          </w:p>
        </w:tc>
      </w:tr>
      <w:tr>
        <w:tc>
          <w:tcPr/>
          <w:p>
            <w:pPr>
              <w:pStyle w:val="Compact"/>
              <w:jc w:val="left"/>
            </w:pPr>
          </w:p>
        </w:tc>
      </w:tr>
    </w:tbl>
    <w:bookmarkEnd w:id="268"/>
    <w:bookmarkStart w:id="269" w:name="Xae2c10566198956216ec76befaaca2f89b9b6cc"/>
    <w:p>
      <w:pPr>
        <w:pStyle w:val="Heading3"/>
      </w:pPr>
      <w:r>
        <w:rPr>
          <w:rStyle w:val="SectionNumber"/>
        </w:rPr>
        <w:t xml:space="preserve">5.4.2</w:t>
      </w:r>
      <w:r>
        <w:tab/>
      </w:r>
      <w:r>
        <w:t xml:space="preserve">Step 1B. Plot alpha diversity of the full MISO dataset by diet</w:t>
      </w:r>
    </w:p>
    <w:p>
      <w:pPr>
        <w:numPr>
          <w:ilvl w:val="0"/>
          <w:numId w:val="1145"/>
        </w:numPr>
        <w:pStyle w:val="Compact"/>
      </w:pPr>
      <w:r>
        <w:t xml:space="preserve">diet is on the x-axis</w:t>
      </w:r>
    </w:p>
    <w:p>
      <w:pPr>
        <w:numPr>
          <w:ilvl w:val="0"/>
          <w:numId w:val="1145"/>
        </w:numPr>
        <w:pStyle w:val="Compact"/>
      </w:pPr>
      <w:r>
        <w:t xml:space="preserve">Color is by subject</w:t>
      </w:r>
    </w:p>
    <w:p>
      <w:pPr>
        <w:numPr>
          <w:ilvl w:val="0"/>
          <w:numId w:val="1145"/>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w:t>
      </w:r>
      <w:r>
        <w:rPr>
          <w:rStyle w:val="NormalTok"/>
        </w:rPr>
        <w:t xml:space="preserve">, </w:t>
      </w:r>
      <w:r>
        <w:br/>
      </w:r>
      <w:r>
        <w:rPr>
          <w:rStyle w:val="NormalTok"/>
        </w:rPr>
        <w:t xml:space="preserve">              </w:t>
      </w:r>
      <w:r>
        <w:rPr>
          <w:rStyle w:val="AttributeTok"/>
        </w:rPr>
        <w:t xml:space="preserve">color=</w:t>
      </w:r>
      <w:r>
        <w:rPr>
          <w:rStyle w:val="StringTok"/>
        </w:rPr>
        <w:t xml:space="preserve">"fill in the blank"</w:t>
      </w:r>
      <w:r>
        <w:rPr>
          <w:rStyle w:val="NormalTok"/>
        </w:rPr>
        <w:t xml:space="preserve">, </w:t>
      </w:r>
      <w:r>
        <w:br/>
      </w:r>
      <w:r>
        <w:rPr>
          <w:rStyle w:val="NormalTok"/>
        </w:rPr>
        <w:t xml:space="preserve">              </w:t>
      </w:r>
      <w:r>
        <w:rPr>
          <w:rStyle w:val="AttributeTok"/>
        </w:rPr>
        <w:t xml:space="preserve">measures=</w:t>
      </w:r>
      <w:r>
        <w:rPr>
          <w:rStyle w:val="NormalTok"/>
        </w:rPr>
        <w:t xml:space="preserve"> </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1B-1.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1B-2. Based on the plot above, does diet change the overall alpha diversity metric of the gut microbiome (ex. Are the points higher or lower overall in one diet versus the others?)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1B-3. Based on the plot above does diet change how varied the alpha diversity is between individuals? (ex. Are the points more spread out in one diet versus the others?)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1B-4. Do you think diet has an impact on gut microbial alpha diversity?</w:t>
            </w:r>
            <w:r>
              <w:rPr>
                <w:bCs/>
                <w:b/>
              </w:rPr>
              <w:t xml:space="preserve"> </w:t>
            </w:r>
          </w:p>
        </w:tc>
      </w:tr>
      <w:tr>
        <w:tc>
          <w:tcPr/>
          <w:p>
            <w:pPr>
              <w:pStyle w:val="Compact"/>
              <w:jc w:val="left"/>
            </w:pPr>
          </w:p>
        </w:tc>
      </w:tr>
    </w:tbl>
    <w:bookmarkEnd w:id="269"/>
    <w:bookmarkStart w:id="270" w:name="X03d73b1e28d9932bcdd5fa49a29cdf6e18ce075"/>
    <w:p>
      <w:pPr>
        <w:pStyle w:val="Heading3"/>
      </w:pPr>
      <w:r>
        <w:rPr>
          <w:rStyle w:val="SectionNumber"/>
        </w:rPr>
        <w:t xml:space="preserve">5.4.3</w:t>
      </w:r>
      <w:r>
        <w:tab/>
      </w:r>
      <w:r>
        <w:t xml:space="preserve">Step 1C. Plot alpha diversity of the full MISO dataset by age.</w:t>
      </w:r>
    </w:p>
    <w:p>
      <w:pPr>
        <w:numPr>
          <w:ilvl w:val="0"/>
          <w:numId w:val="1146"/>
        </w:numPr>
        <w:pStyle w:val="Compact"/>
      </w:pPr>
      <w:r>
        <w:t xml:space="preserve">age is on the x-axis</w:t>
      </w:r>
    </w:p>
    <w:p>
      <w:pPr>
        <w:numPr>
          <w:ilvl w:val="0"/>
          <w:numId w:val="1146"/>
        </w:numPr>
        <w:pStyle w:val="Compact"/>
      </w:pPr>
      <w:r>
        <w:t xml:space="preserve">Color is by subject</w:t>
      </w:r>
    </w:p>
    <w:p>
      <w:pPr>
        <w:numPr>
          <w:ilvl w:val="0"/>
          <w:numId w:val="1146"/>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w:t>
      </w:r>
      <w:r>
        <w:rPr>
          <w:rStyle w:val="NormalTok"/>
        </w:rPr>
        <w:t xml:space="preserve">, </w:t>
      </w:r>
      <w:r>
        <w:br/>
      </w:r>
      <w:r>
        <w:rPr>
          <w:rStyle w:val="NormalTok"/>
        </w:rPr>
        <w:t xml:space="preserve">              </w:t>
      </w:r>
      <w:r>
        <w:rPr>
          <w:rStyle w:val="AttributeTok"/>
        </w:rPr>
        <w:t xml:space="preserve">color=</w:t>
      </w:r>
      <w:r>
        <w:rPr>
          <w:rStyle w:val="StringTok"/>
        </w:rPr>
        <w:t xml:space="preserve">"fill in the blank"</w:t>
      </w:r>
      <w:r>
        <w:rPr>
          <w:rStyle w:val="NormalTok"/>
        </w:rPr>
        <w:t xml:space="preserve">, </w:t>
      </w:r>
      <w:r>
        <w:br/>
      </w:r>
      <w:r>
        <w:rPr>
          <w:rStyle w:val="NormalTok"/>
        </w:rPr>
        <w:t xml:space="preserve">              </w:t>
      </w:r>
      <w:r>
        <w:rPr>
          <w:rStyle w:val="AttributeTok"/>
        </w:rPr>
        <w:t xml:space="preserve">measures=</w:t>
      </w:r>
      <w:r>
        <w:rPr>
          <w:rStyle w:val="NormalTok"/>
        </w:rPr>
        <w:t xml:space="preserve"> </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1C-1.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1C-2. Do younger or older individuals have a higher alpha diversity of the gut microbiome overall (ex. Which group has an overall higher alpha diversity measure)?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1C-3. Do younger or older individuals have a more consistent alpha diversity of the gut microbiome (ex. Are points clustered more closely in younger or older subjects)?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1C-4. What do you think the impact of age on the alpha diversity of the gut microbiome is?</w:t>
            </w:r>
          </w:p>
        </w:tc>
      </w:tr>
      <w:tr>
        <w:tc>
          <w:tcPr/>
          <w:p>
            <w:pPr>
              <w:pStyle w:val="Compact"/>
              <w:jc w:val="left"/>
            </w:pPr>
          </w:p>
        </w:tc>
      </w:tr>
    </w:tbl>
    <w:bookmarkEnd w:id="270"/>
    <w:bookmarkStart w:id="271" w:name="X74afc393557a17bea599b20543f2769d957adaa"/>
    <w:p>
      <w:pPr>
        <w:pStyle w:val="Heading3"/>
      </w:pPr>
      <w:r>
        <w:rPr>
          <w:rStyle w:val="SectionNumber"/>
        </w:rPr>
        <w:t xml:space="preserve">5.4.4</w:t>
      </w:r>
      <w:r>
        <w:tab/>
      </w:r>
      <w:r>
        <w:t xml:space="preserve">Step 1D. Plot alpha diversity of the full MISO dataset by gender.</w:t>
      </w:r>
    </w:p>
    <w:p>
      <w:pPr>
        <w:numPr>
          <w:ilvl w:val="0"/>
          <w:numId w:val="1147"/>
        </w:numPr>
        <w:pStyle w:val="Compact"/>
      </w:pPr>
      <w:r>
        <w:t xml:space="preserve">gender is on the x-axis</w:t>
      </w:r>
    </w:p>
    <w:p>
      <w:pPr>
        <w:numPr>
          <w:ilvl w:val="0"/>
          <w:numId w:val="1147"/>
        </w:numPr>
        <w:pStyle w:val="Compact"/>
      </w:pPr>
      <w:r>
        <w:t xml:space="preserve">Color is by subject</w:t>
      </w:r>
    </w:p>
    <w:p>
      <w:pPr>
        <w:numPr>
          <w:ilvl w:val="0"/>
          <w:numId w:val="1147"/>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w:t>
      </w:r>
      <w:r>
        <w:rPr>
          <w:rStyle w:val="NormalTok"/>
        </w:rPr>
        <w:t xml:space="preserve">, </w:t>
      </w:r>
      <w:r>
        <w:br/>
      </w:r>
      <w:r>
        <w:rPr>
          <w:rStyle w:val="NormalTok"/>
        </w:rPr>
        <w:t xml:space="preserve">              </w:t>
      </w:r>
      <w:r>
        <w:rPr>
          <w:rStyle w:val="AttributeTok"/>
        </w:rPr>
        <w:t xml:space="preserve">color=</w:t>
      </w:r>
      <w:r>
        <w:rPr>
          <w:rStyle w:val="StringTok"/>
        </w:rPr>
        <w:t xml:space="preserve">"fill in the blank"</w:t>
      </w:r>
      <w:r>
        <w:rPr>
          <w:rStyle w:val="NormalTok"/>
        </w:rPr>
        <w:t xml:space="preserve">, </w:t>
      </w:r>
      <w:r>
        <w:br/>
      </w:r>
      <w:r>
        <w:rPr>
          <w:rStyle w:val="NormalTok"/>
        </w:rPr>
        <w:t xml:space="preserve">              </w:t>
      </w:r>
      <w:r>
        <w:rPr>
          <w:rStyle w:val="AttributeTok"/>
        </w:rPr>
        <w:t xml:space="preserve">measures=</w:t>
      </w:r>
      <w:r>
        <w:rPr>
          <w:rStyle w:val="NormalTok"/>
        </w:rPr>
        <w:t xml:space="preserve"> </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1D-1.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1D-2. Do males or females have a higher alpha diversity of the gut microbiome overall (ex. Which group has an overall higher alpha diversity measure)?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1D-3. Do males or females have a more consistent alpha diversity of the gut microbiome (ex. Are points clustered more closely in males or females)?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1D-4. What do you think the impact of gender on the alpha diversity of the gut microbiome is?</w:t>
            </w:r>
          </w:p>
        </w:tc>
      </w:tr>
      <w:tr>
        <w:tc>
          <w:tcPr/>
          <w:p>
            <w:pPr>
              <w:pStyle w:val="Compact"/>
              <w:jc w:val="left"/>
            </w:pPr>
          </w:p>
        </w:tc>
      </w:tr>
    </w:tbl>
    <w:bookmarkEnd w:id="271"/>
    <w:bookmarkStart w:id="272" w:name="Xa64c90cdd633dbf4f262448999ee162edae5e66"/>
    <w:p>
      <w:pPr>
        <w:pStyle w:val="Heading3"/>
      </w:pPr>
      <w:r>
        <w:rPr>
          <w:rStyle w:val="SectionNumber"/>
        </w:rPr>
        <w:t xml:space="preserve">5.4.5</w:t>
      </w:r>
      <w:r>
        <w:tab/>
      </w:r>
      <w:r>
        <w:t xml:space="preserve">Step 2. Plot alpha diversity of the full MISO dataset, grouping based on levels for 5 different metabolites: Creatinine, PCS, IS, HIPP, PAG.</w:t>
      </w:r>
    </w:p>
    <w:p>
      <w:pPr>
        <w:pStyle w:val="FirstParagraph"/>
      </w:pPr>
      <w:r>
        <w:t xml:space="preserve">Plot alpha diversity for the 5 metabolites independently then choose your favorite metabolite (e.g. one with most difference) and show plot below.</w:t>
      </w:r>
    </w:p>
    <w:p>
      <w:pPr>
        <w:numPr>
          <w:ilvl w:val="0"/>
          <w:numId w:val="1148"/>
        </w:numPr>
        <w:pStyle w:val="Compact"/>
      </w:pPr>
      <w:r>
        <w:t xml:space="preserve">metabolite on the x-axis (one at a time: Creatinine, PCS, IS, HIPP, PAG)</w:t>
      </w:r>
    </w:p>
    <w:p>
      <w:pPr>
        <w:numPr>
          <w:ilvl w:val="0"/>
          <w:numId w:val="1148"/>
        </w:numPr>
        <w:pStyle w:val="Compact"/>
      </w:pPr>
      <w:r>
        <w:t xml:space="preserve">Color is by subject</w:t>
      </w:r>
    </w:p>
    <w:p>
      <w:pPr>
        <w:numPr>
          <w:ilvl w:val="0"/>
          <w:numId w:val="1148"/>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 metabolite name"</w:t>
      </w:r>
      <w:r>
        <w:rPr>
          <w:rStyle w:val="NormalTok"/>
        </w:rPr>
        <w:t xml:space="preserve">, </w:t>
      </w:r>
      <w:r>
        <w:br/>
      </w:r>
      <w:r>
        <w:rPr>
          <w:rStyle w:val="NormalTok"/>
        </w:rPr>
        <w:t xml:space="preserve">              </w:t>
      </w:r>
      <w:r>
        <w:rPr>
          <w:rStyle w:val="AttributeTok"/>
        </w:rPr>
        <w:t xml:space="preserve">color=</w:t>
      </w:r>
      <w:r>
        <w:rPr>
          <w:rStyle w:val="StringTok"/>
        </w:rPr>
        <w:t xml:space="preserve">"fill in the blank"</w:t>
      </w:r>
      <w:r>
        <w:rPr>
          <w:rStyle w:val="NormalTok"/>
        </w:rPr>
        <w:t xml:space="preserve">, </w:t>
      </w:r>
      <w:r>
        <w:br/>
      </w:r>
      <w:r>
        <w:rPr>
          <w:rStyle w:val="NormalTok"/>
        </w:rPr>
        <w:t xml:space="preserve">              </w:t>
      </w:r>
      <w:r>
        <w:rPr>
          <w:rStyle w:val="AttributeTok"/>
        </w:rPr>
        <w:t xml:space="preserve">measures=</w:t>
      </w:r>
      <w:r>
        <w:rPr>
          <w:rStyle w:val="NormalTok"/>
        </w:rPr>
        <w:t xml:space="preserve"> </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2A-1. Paste your metabolite plot(s)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2A-2. Which metabolite did you choose to show and why?</w:t>
            </w:r>
            <w:r>
              <w:rPr>
                <w:bCs/>
                <w:b/>
              </w:rPr>
              <w:t xml:space="preserve"> </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2A-3. Are there any trends in alpha diversity as this metabolite increases in level?</w:t>
            </w:r>
          </w:p>
        </w:tc>
      </w:tr>
      <w:tr>
        <w:tc>
          <w:tcPr/>
          <w:p>
            <w:pPr>
              <w:pStyle w:val="Compact"/>
              <w:jc w:val="left"/>
            </w:pPr>
          </w:p>
        </w:tc>
      </w:tr>
    </w:tbl>
    <w:bookmarkEnd w:id="272"/>
    <w:bookmarkStart w:id="275" w:name="footnotes-13"/>
    <w:p>
      <w:pPr>
        <w:pStyle w:val="Heading3"/>
      </w:pPr>
      <w:r>
        <w:rPr>
          <w:rStyle w:val="SectionNumber"/>
        </w:rPr>
        <w:t xml:space="preserve">5.4.6</w:t>
      </w:r>
      <w:r>
        <w:tab/>
      </w:r>
      <w:r>
        <w:t xml:space="preserve">Footnotes</w:t>
      </w:r>
    </w:p>
    <w:bookmarkStart w:id="273" w:name="resources-17"/>
    <w:p>
      <w:pPr>
        <w:pStyle w:val="Heading4"/>
      </w:pPr>
      <w:r>
        <w:rPr>
          <w:rStyle w:val="SectionNumber"/>
        </w:rPr>
        <w:t xml:space="preserve">5.4.6.1</w:t>
      </w:r>
      <w:r>
        <w:tab/>
      </w:r>
      <w:r>
        <w:t xml:space="preserve">Resources</w:t>
      </w:r>
    </w:p>
    <w:p>
      <w:pPr>
        <w:numPr>
          <w:ilvl w:val="0"/>
          <w:numId w:val="1149"/>
        </w:numPr>
        <w:pStyle w:val="Compact"/>
      </w:pPr>
      <w:hyperlink r:id="rId263">
        <w:r>
          <w:rPr>
            <w:rStyle w:val="Hyperlink"/>
          </w:rPr>
          <w:t xml:space="preserve">Google Doc</w:t>
        </w:r>
      </w:hyperlink>
    </w:p>
    <w:p>
      <w:pPr>
        <w:numPr>
          <w:ilvl w:val="0"/>
          <w:numId w:val="1149"/>
        </w:numPr>
        <w:pStyle w:val="Compact"/>
      </w:pPr>
      <w:hyperlink r:id="rId206">
        <w:r>
          <w:rPr>
            <w:rStyle w:val="Hyperlink"/>
          </w:rPr>
          <w:t xml:space="preserve">16S rRNA R Quick Reference</w:t>
        </w:r>
      </w:hyperlink>
    </w:p>
    <w:bookmarkEnd w:id="273"/>
    <w:bookmarkStart w:id="274" w:name="contributions-and-affiliations-13"/>
    <w:p>
      <w:pPr>
        <w:pStyle w:val="Heading4"/>
      </w:pPr>
      <w:r>
        <w:rPr>
          <w:rStyle w:val="SectionNumber"/>
        </w:rPr>
        <w:t xml:space="preserve">5.4.6.2</w:t>
      </w:r>
      <w:r>
        <w:tab/>
      </w:r>
      <w:r>
        <w:t xml:space="preserve">Contributions and affiliations</w:t>
      </w:r>
    </w:p>
    <w:p>
      <w:pPr>
        <w:numPr>
          <w:ilvl w:val="0"/>
          <w:numId w:val="1150"/>
        </w:numPr>
        <w:pStyle w:val="Compact"/>
      </w:pPr>
      <w:r>
        <w:t xml:space="preserve">Valeriya Gaysinskaya, Johns Hopkins University</w:t>
      </w:r>
    </w:p>
    <w:p>
      <w:pPr>
        <w:numPr>
          <w:ilvl w:val="0"/>
          <w:numId w:val="1150"/>
        </w:numPr>
        <w:pStyle w:val="Compact"/>
      </w:pPr>
      <w:r>
        <w:t xml:space="preserve">Gauri Paul, Clovis Community College</w:t>
      </w:r>
    </w:p>
    <w:p>
      <w:pPr>
        <w:numPr>
          <w:ilvl w:val="0"/>
          <w:numId w:val="1150"/>
        </w:numPr>
        <w:pStyle w:val="Compact"/>
      </w:pPr>
      <w:r>
        <w:t xml:space="preserve">Frederick Tan, Johns Hopkins University</w:t>
      </w:r>
    </w:p>
    <w:p>
      <w:pPr>
        <w:numPr>
          <w:ilvl w:val="0"/>
          <w:numId w:val="1150"/>
        </w:numPr>
        <w:pStyle w:val="Compact"/>
      </w:pPr>
      <w:r>
        <w:t xml:space="preserve">Sayumi York, Notre Dame of Maryland University</w:t>
      </w:r>
    </w:p>
    <w:bookmarkEnd w:id="274"/>
    <w:bookmarkEnd w:id="275"/>
    <w:bookmarkEnd w:id="276"/>
    <w:bookmarkStart w:id="284" w:name="X0c0171d6de6614d5b4dee402dd920b23c012e84"/>
    <w:p>
      <w:pPr>
        <w:pStyle w:val="Heading2"/>
      </w:pPr>
      <w:r>
        <w:rPr>
          <w:rStyle w:val="SectionNumber"/>
        </w:rPr>
        <w:t xml:space="preserve">5.5</w:t>
      </w:r>
      <w:r>
        <w:tab/>
      </w:r>
      <w:r>
        <w:t xml:space="preserve">Try it Question 2 - Do diet, age, gender and levels of metabolites correlate with microbe variation between individuals</w:t>
      </w:r>
    </w:p>
    <w:p>
      <w:pPr>
        <w:pStyle w:val="FirstParagraph"/>
      </w:pPr>
      <w:r>
        <w:t xml:space="preserve">A PCoA plot is a principal coordinate analysis used to represent similarity between samples (sample microbiomes in our case). Using the</w:t>
      </w:r>
      <w:r>
        <w:t xml:space="preserve"> </w:t>
      </w:r>
      <w:r>
        <w:t xml:space="preserve">“</w:t>
      </w:r>
      <w:r>
        <w:t xml:space="preserve">MISO</w:t>
      </w:r>
      <w:r>
        <w:t xml:space="preserve">”</w:t>
      </w:r>
      <w:r>
        <w:t xml:space="preserve"> </w:t>
      </w:r>
      <w:r>
        <w:t xml:space="preserve">study dataset, we will use the PCoA plot to summarize individuals based on ASVs and plot the resulting relationships between individuals. Based on how well color-coding the different variables matches the sample distribution on the PcOA plot, we will aim to help explain potential sources of sample similarity.</w:t>
      </w:r>
    </w:p>
    <w:p>
      <w:pPr>
        <w:pStyle w:val="BodyText"/>
      </w:pPr>
      <w:r>
        <w:t xml:space="preserve">Approach: Perform multidimensional scaling (also known as principal component analysis) to establish a relationship between the samples given multivariate data (metadata variables). Using a PcOA plot (via commands ordinate() and plot_ordination() in phyloseq), you will condense the original high-dimensional data into a low-dimensional one by converting data to distance map (matrix) with 2 dimensions, x and y, that best explain variability in your data. From your PCoA plot you will assess the contribution of different study variables to sample diversity and identify variables that help explain sample diversity. In a PcOA plot, samples with similar microbial profiles will be plotted close and may appear as</w:t>
      </w:r>
      <w:r>
        <w:t xml:space="preserve"> </w:t>
      </w:r>
      <w:r>
        <w:t xml:space="preserve">“</w:t>
      </w:r>
      <w:r>
        <w:t xml:space="preserve">clusters</w:t>
      </w:r>
      <w:r>
        <w:t xml:space="preserve">”</w:t>
      </w:r>
      <w:r>
        <w:t xml:space="preserve">.</w:t>
      </w:r>
    </w:p>
    <w:bookmarkStart w:id="277" w:name="Xdbe292352db7afac5a51548fc4f770f554d872d"/>
    <w:p>
      <w:pPr>
        <w:pStyle w:val="Heading3"/>
      </w:pPr>
      <w:r>
        <w:rPr>
          <w:rStyle w:val="SectionNumber"/>
        </w:rPr>
        <w:t xml:space="preserve">5.5.1</w:t>
      </w:r>
      <w:r>
        <w:tab/>
      </w:r>
      <w:r>
        <w:t xml:space="preserve">Step 1. Make a PcOA plot, ordinating on the entire miso dataset, and coloring by individual. Investigate resulting plot shape.</w:t>
      </w:r>
    </w:p>
    <w:p>
      <w:pPr>
        <w:numPr>
          <w:ilvl w:val="0"/>
          <w:numId w:val="1151"/>
        </w:numPr>
      </w:pPr>
      <w:r>
        <w:t xml:space="preserve">Ordination is a term used to summarize a multidimensional dataset when projected onto a low-dimensional space (like X &amp; Y axes) and then observing any pattern the data may possess with a visual inspection.</w:t>
      </w:r>
    </w:p>
    <w:p>
      <w:pPr>
        <w:numPr>
          <w:ilvl w:val="0"/>
          <w:numId w:val="1151"/>
        </w:numPr>
      </w:pPr>
      <w:r>
        <w:t xml:space="preserve">Subsequent coloring of the pattern with metadata variables can reveal underlying relationships between data and experiment variables.</w:t>
      </w:r>
    </w:p>
    <w:p>
      <w:pPr>
        <w:numPr>
          <w:ilvl w:val="0"/>
          <w:numId w:val="1151"/>
        </w:numPr>
      </w:pPr>
      <w:r>
        <w:t xml:space="preserve">color - by subject</w:t>
      </w:r>
    </w:p>
    <w:p>
      <w:pPr>
        <w:numPr>
          <w:ilvl w:val="0"/>
          <w:numId w:val="1151"/>
        </w:numPr>
      </w:pPr>
      <w:r>
        <w:t xml:space="preserve">Include a title for your PCoA plot</w:t>
      </w:r>
    </w:p>
    <w:p>
      <w:pPr>
        <w:numPr>
          <w:ilvl w:val="0"/>
          <w:numId w:val="1151"/>
        </w:numPr>
      </w:pPr>
      <w:r>
        <w:t xml:space="preserve">Use the following code as a template:</w:t>
      </w:r>
    </w:p>
    <w:p>
      <w:pPr>
        <w:pStyle w:val="SourceCode"/>
      </w:pPr>
      <w:r>
        <w:rPr>
          <w:rStyle w:val="CommentTok"/>
        </w:rPr>
        <w:t xml:space="preserve">#Ordinate </w:t>
      </w:r>
      <w:r>
        <w:br/>
      </w:r>
      <w:r>
        <w:rPr>
          <w:rStyle w:val="NormalTok"/>
        </w:rPr>
        <w:t xml:space="preserve">miso.pcoa </w:t>
      </w:r>
      <w:r>
        <w:rPr>
          <w:rStyle w:val="OtherTok"/>
        </w:rPr>
        <w:t xml:space="preserve">&lt;-</w:t>
      </w:r>
      <w:r>
        <w:rPr>
          <w:rStyle w:val="NormalTok"/>
        </w:rPr>
        <w:t xml:space="preserve"> </w:t>
      </w:r>
      <w:r>
        <w:rPr>
          <w:rStyle w:val="FunctionTok"/>
        </w:rPr>
        <w:t xml:space="preserve">ordinate</w:t>
      </w:r>
      <w:r>
        <w:rPr>
          <w:rStyle w:val="NormalTok"/>
        </w:rPr>
        <w:t xml:space="preserve">(miso,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CommentTok"/>
        </w:rPr>
        <w:t xml:space="preserve">#Plot PCoA</w:t>
      </w:r>
      <w:r>
        <w:br/>
      </w:r>
      <w:r>
        <w:rPr>
          <w:rStyle w:val="FunctionTok"/>
        </w:rPr>
        <w:t xml:space="preserve">plot_ordination</w:t>
      </w:r>
      <w:r>
        <w:rPr>
          <w:rStyle w:val="NormalTok"/>
        </w:rPr>
        <w:t xml:space="preserve">(miso, miso.pcoa,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1A-2. Does the PCoA organize samples into groups? Is there any pattern?</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1A-3. Do you observe any sample clustering by individual? This is represented by points of the same color clustering together. If so, give an example of an individual who shows this pattern.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1A-4. Offer one question you want to ask about this PCoA plot?</w:t>
            </w:r>
          </w:p>
        </w:tc>
      </w:tr>
      <w:tr>
        <w:tc>
          <w:tcPr/>
          <w:p>
            <w:pPr>
              <w:pStyle w:val="Compact"/>
              <w:jc w:val="left"/>
            </w:pPr>
          </w:p>
        </w:tc>
      </w:tr>
    </w:tbl>
    <w:bookmarkEnd w:id="277"/>
    <w:bookmarkStart w:id="278" w:name="Xbdf29036cc93ad68605530d54a1b03bb1f90193"/>
    <w:p>
      <w:pPr>
        <w:pStyle w:val="Heading3"/>
      </w:pPr>
      <w:r>
        <w:rPr>
          <w:rStyle w:val="SectionNumber"/>
        </w:rPr>
        <w:t xml:space="preserve">5.5.2</w:t>
      </w:r>
      <w:r>
        <w:tab/>
      </w:r>
      <w:r>
        <w:t xml:space="preserve">Step 2. Using the PCoA plot from Step 1 above, look for any correlations between the shape of your PCoA plot and diet, gender and age</w:t>
      </w:r>
    </w:p>
    <w:p>
      <w:pPr>
        <w:pStyle w:val="FirstParagraph"/>
      </w:pPr>
      <w:r>
        <w:rPr>
          <w:bCs/>
          <w:b/>
        </w:rPr>
        <w:t xml:space="preserve">Step 2A. Using the PCoA plot from Step 1, look for any correlations between the shape of your PCoA plot and diet?</w:t>
      </w:r>
    </w:p>
    <w:p>
      <w:pPr>
        <w:pStyle w:val="BodyText"/>
      </w:pPr>
      <w:r>
        <w:t xml:space="preserve">How well is your data explained by the variation in the diet - look for signs of correlation between PCoA shape and variable</w:t>
      </w:r>
      <w:r>
        <w:t xml:space="preserve"> </w:t>
      </w:r>
      <w:r>
        <w:t xml:space="preserve">“</w:t>
      </w:r>
      <w:r>
        <w:t xml:space="preserve">diet</w:t>
      </w:r>
      <w:r>
        <w:t xml:space="preserve">”</w:t>
      </w:r>
      <w:r>
        <w:t xml:space="preserve"> </w:t>
      </w:r>
      <w:r>
        <w:t xml:space="preserve">representing BD, HD and WO diets. Note that since we are using the same plot, we do not need to re-ordinate (no ordinate() function).</w:t>
      </w:r>
    </w:p>
    <w:p>
      <w:pPr>
        <w:numPr>
          <w:ilvl w:val="0"/>
          <w:numId w:val="1152"/>
        </w:numPr>
        <w:pStyle w:val="Compact"/>
      </w:pPr>
      <w:r>
        <w:t xml:space="preserve">Color - by diet</w:t>
      </w:r>
    </w:p>
    <w:p>
      <w:pPr>
        <w:numPr>
          <w:ilvl w:val="0"/>
          <w:numId w:val="1152"/>
        </w:numPr>
        <w:pStyle w:val="Compact"/>
      </w:pPr>
      <w:r>
        <w:t xml:space="preserve">Include a title for your PcOA plot</w:t>
      </w:r>
    </w:p>
    <w:p>
      <w:pPr>
        <w:numPr>
          <w:ilvl w:val="0"/>
          <w:numId w:val="1152"/>
        </w:numPr>
        <w:pStyle w:val="Compact"/>
      </w:pPr>
      <w:r>
        <w:t xml:space="preserve">Use the following code as a template:</w:t>
      </w:r>
    </w:p>
    <w:p>
      <w:pPr>
        <w:pStyle w:val="SourceCode"/>
      </w:pPr>
      <w:r>
        <w:rPr>
          <w:rStyle w:val="CommentTok"/>
        </w:rPr>
        <w:t xml:space="preserve">#Ordinate </w:t>
      </w:r>
      <w:r>
        <w:br/>
      </w:r>
      <w:r>
        <w:rPr>
          <w:rStyle w:val="NormalTok"/>
        </w:rPr>
        <w:t xml:space="preserve">miso.pcoa </w:t>
      </w:r>
      <w:r>
        <w:rPr>
          <w:rStyle w:val="OtherTok"/>
        </w:rPr>
        <w:t xml:space="preserve">&lt;-</w:t>
      </w:r>
      <w:r>
        <w:rPr>
          <w:rStyle w:val="NormalTok"/>
        </w:rPr>
        <w:t xml:space="preserve"> </w:t>
      </w:r>
      <w:r>
        <w:rPr>
          <w:rStyle w:val="FunctionTok"/>
        </w:rPr>
        <w:t xml:space="preserve">ordinate</w:t>
      </w:r>
      <w:r>
        <w:rPr>
          <w:rStyle w:val="NormalTok"/>
        </w:rPr>
        <w:t xml:space="preserve">(miso,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FunctionTok"/>
        </w:rPr>
        <w:t xml:space="preserve">plot_ordination</w:t>
      </w:r>
      <w:r>
        <w:rPr>
          <w:rStyle w:val="NormalTok"/>
        </w:rPr>
        <w:t xml:space="preserve">(miso, miso.pcoa,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2A-2 Do samples of the same diet treatment (color) cluster together?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2A-3 Based on what you wrote above, are samples from the same diet treatment similar to each other?</w:t>
            </w:r>
          </w:p>
        </w:tc>
      </w:tr>
      <w:tr>
        <w:tc>
          <w:tcPr/>
          <w:p>
            <w:pPr>
              <w:pStyle w:val="Compact"/>
              <w:jc w:val="left"/>
            </w:pPr>
          </w:p>
        </w:tc>
      </w:tr>
    </w:tbl>
    <w:p>
      <w:pPr>
        <w:pStyle w:val="BodyText"/>
      </w:pPr>
      <w:r>
        <w:rPr>
          <w:bCs/>
          <w:b/>
        </w:rPr>
        <w:t xml:space="preserve">Step 2B. Using the PCoA plot from Step 1, look for any correlations between the shape of your PCoA plot and gender?</w:t>
      </w:r>
      <w:r>
        <w:rPr>
          <w:bCs/>
          <w:b/>
        </w:rPr>
        <w:t xml:space="preserve"> </w:t>
      </w:r>
    </w:p>
    <w:p>
      <w:pPr>
        <w:pStyle w:val="BodyText"/>
      </w:pPr>
      <w:r>
        <w:t xml:space="preserve">How well is your data explained by the variation in the gender - look for signs of correlation between PcOA shape and variable</w:t>
      </w:r>
      <w:r>
        <w:t xml:space="preserve"> </w:t>
      </w:r>
      <w:r>
        <w:t xml:space="preserve">“</w:t>
      </w:r>
      <w:r>
        <w:t xml:space="preserve">gender</w:t>
      </w:r>
      <w:r>
        <w:t xml:space="preserve">”</w:t>
      </w:r>
      <w:r>
        <w:t xml:space="preserve">.</w:t>
      </w:r>
    </w:p>
    <w:p>
      <w:pPr>
        <w:numPr>
          <w:ilvl w:val="0"/>
          <w:numId w:val="1153"/>
        </w:numPr>
        <w:pStyle w:val="Compact"/>
      </w:pPr>
      <w:r>
        <w:t xml:space="preserve">Color - by gender</w:t>
      </w:r>
    </w:p>
    <w:p>
      <w:pPr>
        <w:numPr>
          <w:ilvl w:val="0"/>
          <w:numId w:val="1153"/>
        </w:numPr>
        <w:pStyle w:val="Compact"/>
      </w:pPr>
      <w:r>
        <w:t xml:space="preserve">Include a title for your PcOA plot</w:t>
      </w:r>
    </w:p>
    <w:p>
      <w:pPr>
        <w:numPr>
          <w:ilvl w:val="0"/>
          <w:numId w:val="1153"/>
        </w:numPr>
        <w:pStyle w:val="Compact"/>
      </w:pPr>
      <w:r>
        <w:t xml:space="preserve">Use the following code as a template.</w:t>
      </w:r>
    </w:p>
    <w:p>
      <w:pPr>
        <w:pStyle w:val="SourceCode"/>
      </w:pPr>
      <w:r>
        <w:rPr>
          <w:rStyle w:val="CommentTok"/>
        </w:rPr>
        <w:t xml:space="preserve">#Ordinate </w:t>
      </w:r>
      <w:r>
        <w:br/>
      </w:r>
      <w:r>
        <w:rPr>
          <w:rStyle w:val="NormalTok"/>
        </w:rPr>
        <w:t xml:space="preserve">miso.pcoa </w:t>
      </w:r>
      <w:r>
        <w:rPr>
          <w:rStyle w:val="OtherTok"/>
        </w:rPr>
        <w:t xml:space="preserve">&lt;-</w:t>
      </w:r>
      <w:r>
        <w:rPr>
          <w:rStyle w:val="NormalTok"/>
        </w:rPr>
        <w:t xml:space="preserve"> </w:t>
      </w:r>
      <w:r>
        <w:rPr>
          <w:rStyle w:val="FunctionTok"/>
        </w:rPr>
        <w:t xml:space="preserve">ordinate</w:t>
      </w:r>
      <w:r>
        <w:rPr>
          <w:rStyle w:val="NormalTok"/>
        </w:rPr>
        <w:t xml:space="preserve">(miso,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FunctionTok"/>
        </w:rPr>
        <w:t xml:space="preserve">plot_ordination</w:t>
      </w:r>
      <w:r>
        <w:rPr>
          <w:rStyle w:val="NormalTok"/>
        </w:rPr>
        <w:t xml:space="preserve">(miso, miso.pcoa,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2B-1. Paste your plot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2B-2 Are samples from the same gender similar to each other?</w:t>
            </w:r>
          </w:p>
        </w:tc>
      </w:tr>
      <w:tr>
        <w:tc>
          <w:tcPr/>
          <w:p>
            <w:pPr>
              <w:pStyle w:val="Compact"/>
              <w:jc w:val="left"/>
            </w:pPr>
          </w:p>
        </w:tc>
      </w:tr>
    </w:tbl>
    <w:p>
      <w:pPr>
        <w:pStyle w:val="BodyText"/>
      </w:pPr>
      <w:r>
        <w:rPr>
          <w:bCs/>
          <w:b/>
        </w:rPr>
        <w:t xml:space="preserve">Step 2C. Using the PCoA plot from Step 1, look for any correlations between the shape of your PCoA plot and age? How well is your data explained by the variation in the age - look for signs of correlation between PcOA shape and variable</w:t>
      </w:r>
      <w:r>
        <w:rPr>
          <w:bCs/>
          <w:b/>
        </w:rPr>
        <w:t xml:space="preserve"> </w:t>
      </w:r>
      <w:r>
        <w:rPr>
          <w:bCs/>
          <w:b/>
        </w:rPr>
        <w:t xml:space="preserve">“</w:t>
      </w:r>
      <w:r>
        <w:rPr>
          <w:bCs/>
          <w:b/>
        </w:rPr>
        <w:t xml:space="preserve">age</w:t>
      </w:r>
      <w:r>
        <w:rPr>
          <w:bCs/>
          <w:b/>
        </w:rPr>
        <w:t xml:space="preserve">”</w:t>
      </w:r>
      <w:r>
        <w:rPr>
          <w:bCs/>
          <w:b/>
        </w:rPr>
        <w:t xml:space="preserve">.</w:t>
      </w:r>
      <w:r>
        <w:rPr>
          <w:bCs/>
          <w:b/>
        </w:rPr>
        <w:t xml:space="preserve"> </w:t>
      </w:r>
    </w:p>
    <w:p>
      <w:pPr>
        <w:numPr>
          <w:ilvl w:val="0"/>
          <w:numId w:val="1154"/>
        </w:numPr>
        <w:pStyle w:val="Compact"/>
      </w:pPr>
      <w:r>
        <w:t xml:space="preserve">Color - age</w:t>
      </w:r>
    </w:p>
    <w:p>
      <w:pPr>
        <w:numPr>
          <w:ilvl w:val="0"/>
          <w:numId w:val="1154"/>
        </w:numPr>
        <w:pStyle w:val="Compact"/>
      </w:pPr>
      <w:r>
        <w:t xml:space="preserve">Include title name for your PcOA plot</w:t>
      </w:r>
    </w:p>
    <w:p>
      <w:pPr>
        <w:numPr>
          <w:ilvl w:val="0"/>
          <w:numId w:val="1154"/>
        </w:numPr>
        <w:pStyle w:val="Compact"/>
      </w:pPr>
      <w:r>
        <w:t xml:space="preserve">Use the following code as a template. To enhance the color range of the age variable, additionally included below (in blue) is the command to specify the color gradient with yellow–to-blue gradient.</w:t>
      </w:r>
    </w:p>
    <w:p>
      <w:pPr>
        <w:numPr>
          <w:ilvl w:val="0"/>
          <w:numId w:val="1154"/>
        </w:numPr>
        <w:pStyle w:val="Compact"/>
      </w:pPr>
      <w:r>
        <w:t xml:space="preserve">Try running the code with and without the scale_colour_gradient() command to appreciate the difference.</w:t>
      </w:r>
    </w:p>
    <w:p>
      <w:pPr>
        <w:pStyle w:val="SourceCode"/>
      </w:pPr>
      <w:r>
        <w:rPr>
          <w:rStyle w:val="CommentTok"/>
        </w:rPr>
        <w:t xml:space="preserve">#Ordinate </w:t>
      </w:r>
      <w:r>
        <w:br/>
      </w:r>
      <w:r>
        <w:rPr>
          <w:rStyle w:val="NormalTok"/>
        </w:rPr>
        <w:t xml:space="preserve">miso.pcoa </w:t>
      </w:r>
      <w:r>
        <w:rPr>
          <w:rStyle w:val="OtherTok"/>
        </w:rPr>
        <w:t xml:space="preserve">&lt;-</w:t>
      </w:r>
      <w:r>
        <w:rPr>
          <w:rStyle w:val="NormalTok"/>
        </w:rPr>
        <w:t xml:space="preserve"> </w:t>
      </w:r>
      <w:r>
        <w:rPr>
          <w:rStyle w:val="FunctionTok"/>
        </w:rPr>
        <w:t xml:space="preserve">ordinate</w:t>
      </w:r>
      <w:r>
        <w:rPr>
          <w:rStyle w:val="NormalTok"/>
        </w:rPr>
        <w:t xml:space="preserve">(miso,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FunctionTok"/>
        </w:rPr>
        <w:t xml:space="preserve">plot_ordination</w:t>
      </w:r>
      <w:r>
        <w:rPr>
          <w:rStyle w:val="NormalTok"/>
        </w:rPr>
        <w:t xml:space="preserve">(miso, miso.pcoa,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FunctionTok"/>
        </w:rPr>
        <w:t xml:space="preserve">scale_colour_gradient</w:t>
      </w:r>
      <w:r>
        <w:rPr>
          <w:rStyle w:val="NormalTok"/>
        </w:rPr>
        <w:t xml:space="preserve">(</w:t>
      </w:r>
      <w:r>
        <w:rPr>
          <w:rStyle w:val="AttributeTok"/>
        </w:rPr>
        <w:t xml:space="preserve">low =</w:t>
      </w:r>
      <w:r>
        <w:rPr>
          <w:rStyle w:val="NormalTok"/>
        </w:rPr>
        <w:t xml:space="preserve"> </w:t>
      </w:r>
      <w:r>
        <w:rPr>
          <w:rStyle w:val="StringTok"/>
        </w:rPr>
        <w:t xml:space="preserve">"blue"</w:t>
      </w:r>
      <w:r>
        <w:rPr>
          <w:rStyle w:val="NormalTok"/>
        </w:rPr>
        <w:t xml:space="preserve">, </w:t>
      </w:r>
      <w:r>
        <w:rPr>
          <w:rStyle w:val="AttributeTok"/>
        </w:rPr>
        <w:t xml:space="preserve">high =</w:t>
      </w:r>
      <w:r>
        <w:rPr>
          <w:rStyle w:val="NormalTok"/>
        </w:rPr>
        <w:t xml:space="preserve"> </w:t>
      </w:r>
      <w:r>
        <w:rPr>
          <w:rStyle w:val="StringTok"/>
        </w:rPr>
        <w:t xml:space="preserve">"yellow"</w:t>
      </w:r>
      <w:r>
        <w:rPr>
          <w:rStyle w:val="NormalTok"/>
        </w:rPr>
        <w:t xml:space="preserv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2C-1. Paste your plot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2C-2 Are samples of a similar age similar to each other?</w:t>
            </w:r>
          </w:p>
        </w:tc>
      </w:tr>
      <w:tr>
        <w:tc>
          <w:tcPr/>
          <w:p>
            <w:pPr>
              <w:pStyle w:val="Compact"/>
              <w:jc w:val="left"/>
            </w:pPr>
          </w:p>
        </w:tc>
      </w:tr>
    </w:tbl>
    <w:p>
      <w:pPr>
        <w:pStyle w:val="BodyText"/>
      </w:pPr>
    </w:p>
    <w:bookmarkEnd w:id="278"/>
    <w:bookmarkStart w:id="279" w:name="Xb26c900387b81686f79fad443810f58b1a7fc4e"/>
    <w:p>
      <w:pPr>
        <w:pStyle w:val="Heading3"/>
      </w:pPr>
      <w:r>
        <w:rPr>
          <w:rStyle w:val="SectionNumber"/>
        </w:rPr>
        <w:t xml:space="preserve">5.5.3</w:t>
      </w:r>
      <w:r>
        <w:tab/>
      </w:r>
      <w:r>
        <w:t xml:space="preserve">Step 3. Using the PCoA plot from Step 1, look for any correlations between the shape of your PCoA plot and the level of metabolites.</w:t>
      </w:r>
    </w:p>
    <w:p>
      <w:pPr>
        <w:pStyle w:val="FirstParagraph"/>
      </w:pPr>
      <w:r>
        <w:t xml:space="preserve">How well is your data correlated with the variation in the 5 metabolites: Creatinine, PCS, IS, HIPP, or PAG? Test each metabolite by coloring each metabolite at a time, then, choose your favorite metabolite (e.g. one with most difference) and show the plot below.</w:t>
      </w:r>
    </w:p>
    <w:p>
      <w:pPr>
        <w:numPr>
          <w:ilvl w:val="0"/>
          <w:numId w:val="1155"/>
        </w:numPr>
        <w:pStyle w:val="Compact"/>
      </w:pPr>
      <w:r>
        <w:t xml:space="preserve">Color - metabolite one at a time: Creatinine, PCS, IS, HIPP, PAG</w:t>
      </w:r>
    </w:p>
    <w:p>
      <w:pPr>
        <w:numPr>
          <w:ilvl w:val="0"/>
          <w:numId w:val="1155"/>
        </w:numPr>
        <w:pStyle w:val="Compact"/>
      </w:pPr>
      <w:r>
        <w:t xml:space="preserve">Include a title for your PcOA plot</w:t>
      </w:r>
    </w:p>
    <w:p>
      <w:pPr>
        <w:numPr>
          <w:ilvl w:val="0"/>
          <w:numId w:val="1155"/>
        </w:numPr>
        <w:pStyle w:val="Compact"/>
      </w:pPr>
      <w:r>
        <w:t xml:space="preserve">Use the following code as a template:</w:t>
      </w:r>
    </w:p>
    <w:p>
      <w:pPr>
        <w:pStyle w:val="SourceCode"/>
      </w:pPr>
      <w:r>
        <w:rPr>
          <w:rStyle w:val="CommentTok"/>
        </w:rPr>
        <w:t xml:space="preserve">#Ordinate </w:t>
      </w:r>
      <w:r>
        <w:br/>
      </w:r>
      <w:r>
        <w:rPr>
          <w:rStyle w:val="NormalTok"/>
        </w:rPr>
        <w:t xml:space="preserve">miso.pcoa </w:t>
      </w:r>
      <w:r>
        <w:rPr>
          <w:rStyle w:val="OtherTok"/>
        </w:rPr>
        <w:t xml:space="preserve">&lt;-</w:t>
      </w:r>
      <w:r>
        <w:rPr>
          <w:rStyle w:val="NormalTok"/>
        </w:rPr>
        <w:t xml:space="preserve"> </w:t>
      </w:r>
      <w:r>
        <w:rPr>
          <w:rStyle w:val="FunctionTok"/>
        </w:rPr>
        <w:t xml:space="preserve">ordinate</w:t>
      </w:r>
      <w:r>
        <w:rPr>
          <w:rStyle w:val="NormalTok"/>
        </w:rPr>
        <w:t xml:space="preserve">(miso,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FunctionTok"/>
        </w:rPr>
        <w:t xml:space="preserve">plot_ordination</w:t>
      </w:r>
      <w:r>
        <w:rPr>
          <w:rStyle w:val="NormalTok"/>
        </w:rPr>
        <w:t xml:space="preserve">(miso, miso.pcoa,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FunctionTok"/>
        </w:rPr>
        <w:t xml:space="preserve">scale_colour_gradient</w:t>
      </w:r>
      <w:r>
        <w:rPr>
          <w:rStyle w:val="NormalTok"/>
        </w:rPr>
        <w:t xml:space="preserve">(</w:t>
      </w:r>
      <w:r>
        <w:rPr>
          <w:rStyle w:val="AttributeTok"/>
        </w:rPr>
        <w:t xml:space="preserve">low =</w:t>
      </w:r>
      <w:r>
        <w:rPr>
          <w:rStyle w:val="NormalTok"/>
        </w:rPr>
        <w:t xml:space="preserve"> </w:t>
      </w:r>
      <w:r>
        <w:rPr>
          <w:rStyle w:val="StringTok"/>
        </w:rPr>
        <w:t xml:space="preserve">"blue"</w:t>
      </w:r>
      <w:r>
        <w:rPr>
          <w:rStyle w:val="NormalTok"/>
        </w:rPr>
        <w:t xml:space="preserve">, </w:t>
      </w:r>
      <w:r>
        <w:rPr>
          <w:rStyle w:val="AttributeTok"/>
        </w:rPr>
        <w:t xml:space="preserve">high =</w:t>
      </w:r>
      <w:r>
        <w:rPr>
          <w:rStyle w:val="NormalTok"/>
        </w:rPr>
        <w:t xml:space="preserve"> </w:t>
      </w:r>
      <w:r>
        <w:rPr>
          <w:rStyle w:val="StringTok"/>
        </w:rPr>
        <w:t xml:space="preserve">"yellow"</w:t>
      </w:r>
      <w:r>
        <w:rPr>
          <w:rStyle w:val="NormalTok"/>
        </w:rPr>
        <w:t xml:space="preserv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3A-1. Paste your metabolite plot(s) below:</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3A-2. Which metabolite did you choose to show and why?</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3A-3. Are samples of the same metabolite level similar to each other?</w:t>
            </w:r>
          </w:p>
        </w:tc>
      </w:tr>
      <w:tr>
        <w:tc>
          <w:tcPr/>
          <w:p>
            <w:pPr>
              <w:pStyle w:val="Compact"/>
              <w:jc w:val="left"/>
            </w:pPr>
          </w:p>
        </w:tc>
      </w:tr>
    </w:tbl>
    <w:p>
      <w:pPr>
        <w:pStyle w:val="BodyText"/>
      </w:pPr>
    </w:p>
    <w:bookmarkEnd w:id="279"/>
    <w:bookmarkStart w:id="280" w:name="Xa81b0a621064153c4331032af5404a6eb7d19b8"/>
    <w:p>
      <w:pPr>
        <w:pStyle w:val="Heading3"/>
      </w:pPr>
      <w:r>
        <w:rPr>
          <w:rStyle w:val="SectionNumber"/>
        </w:rPr>
        <w:t xml:space="preserve">5.5.4</w:t>
      </w:r>
      <w:r>
        <w:tab/>
      </w:r>
      <w:r>
        <w:t xml:space="preserve">Step 4. One way of checking if the metabolite levels indeed correlate with your data, is to see if subsetting smaller chunks or specific chunks of the data will still maintain the metabolite-data relationship or break it.</w:t>
      </w:r>
    </w:p>
    <w:p>
      <w:pPr>
        <w:pStyle w:val="FirstParagraph"/>
      </w:pPr>
      <w:r>
        <w:t xml:space="preserve">Using the subset() command, subset out e.g. HD diet specifically, and then BD diet. Then, generate new PCoA plots and see if the correlation with your metabolite of interest still holds.</w:t>
      </w:r>
    </w:p>
    <w:p>
      <w:pPr>
        <w:pStyle w:val="BodyText"/>
      </w:pPr>
      <w:r>
        <w:rPr>
          <w:bCs/>
          <w:b/>
        </w:rPr>
        <w:t xml:space="preserve">Step 4A. Subset</w:t>
      </w:r>
      <w:r>
        <w:rPr>
          <w:bCs/>
          <w:b/>
        </w:rPr>
        <w:t xml:space="preserve"> </w:t>
      </w:r>
      <w:r>
        <w:rPr>
          <w:bCs/>
          <w:b/>
        </w:rPr>
        <w:t xml:space="preserve">“</w:t>
      </w:r>
      <w:r>
        <w:rPr>
          <w:bCs/>
          <w:b/>
        </w:rPr>
        <w:t xml:space="preserve">HD</w:t>
      </w:r>
      <w:r>
        <w:rPr>
          <w:bCs/>
          <w:b/>
        </w:rPr>
        <w:t xml:space="preserve">”</w:t>
      </w:r>
      <w:r>
        <w:rPr>
          <w:bCs/>
          <w:b/>
        </w:rPr>
        <w:t xml:space="preserve">, ordinate on</w:t>
      </w:r>
      <w:r>
        <w:rPr>
          <w:bCs/>
          <w:b/>
        </w:rPr>
        <w:t xml:space="preserve"> </w:t>
      </w:r>
      <w:r>
        <w:rPr>
          <w:bCs/>
          <w:b/>
        </w:rPr>
        <w:t xml:space="preserve">“</w:t>
      </w:r>
      <w:r>
        <w:rPr>
          <w:bCs/>
          <w:b/>
        </w:rPr>
        <w:t xml:space="preserve">HD</w:t>
      </w:r>
      <w:r>
        <w:rPr>
          <w:bCs/>
          <w:b/>
        </w:rPr>
        <w:t xml:space="preserve">”</w:t>
      </w:r>
      <w:r>
        <w:rPr>
          <w:bCs/>
          <w:b/>
        </w:rPr>
        <w:t xml:space="preserve">, and make a new PCoA plot.</w:t>
      </w:r>
    </w:p>
    <w:p>
      <w:pPr>
        <w:numPr>
          <w:ilvl w:val="0"/>
          <w:numId w:val="1156"/>
        </w:numPr>
        <w:pStyle w:val="Compact"/>
      </w:pPr>
      <w:r>
        <w:t xml:space="preserve">Subset data - by the diet</w:t>
      </w:r>
      <w:r>
        <w:t xml:space="preserve"> </w:t>
      </w:r>
      <w:r>
        <w:t xml:space="preserve">“</w:t>
      </w:r>
      <w:r>
        <w:t xml:space="preserve">HD</w:t>
      </w:r>
      <w:r>
        <w:t xml:space="preserve">”</w:t>
      </w:r>
    </w:p>
    <w:p>
      <w:pPr>
        <w:numPr>
          <w:ilvl w:val="0"/>
          <w:numId w:val="1156"/>
        </w:numPr>
        <w:pStyle w:val="Compact"/>
      </w:pPr>
      <w:r>
        <w:t xml:space="preserve">Ordinate - misoHD</w:t>
      </w:r>
    </w:p>
    <w:p>
      <w:pPr>
        <w:numPr>
          <w:ilvl w:val="0"/>
          <w:numId w:val="1156"/>
        </w:numPr>
        <w:pStyle w:val="Compact"/>
      </w:pPr>
      <w:r>
        <w:t xml:space="preserve">Color - by your selected metabolite from part 3</w:t>
      </w:r>
    </w:p>
    <w:p>
      <w:pPr>
        <w:numPr>
          <w:ilvl w:val="0"/>
          <w:numId w:val="1156"/>
        </w:numPr>
        <w:pStyle w:val="Compact"/>
      </w:pPr>
      <w:r>
        <w:t xml:space="preserve">Include a title for your PcOA plot</w:t>
      </w:r>
    </w:p>
    <w:p>
      <w:pPr>
        <w:numPr>
          <w:ilvl w:val="0"/>
          <w:numId w:val="1156"/>
        </w:numPr>
        <w:pStyle w:val="Compact"/>
      </w:pPr>
      <w:r>
        <w:t xml:space="preserve">Use the following code as a template:</w:t>
      </w:r>
    </w:p>
    <w:p>
      <w:pPr>
        <w:pStyle w:val="SourceCode"/>
      </w:pPr>
      <w:r>
        <w:rPr>
          <w:rStyle w:val="CommentTok"/>
        </w:rPr>
        <w:t xml:space="preserve">#Subset only “HD” timepoint from your miso data, creating a new phyloseq object called “misoHD”</w:t>
      </w:r>
      <w:r>
        <w:br/>
      </w:r>
      <w:r>
        <w:rPr>
          <w:rStyle w:val="NormalTok"/>
        </w:rPr>
        <w:t xml:space="preserve">misoHD </w:t>
      </w:r>
      <w:r>
        <w:rPr>
          <w:rStyle w:val="OtherTok"/>
        </w:rPr>
        <w:t xml:space="preserve">=</w:t>
      </w:r>
      <w:r>
        <w:rPr>
          <w:rStyle w:val="NormalTok"/>
        </w:rPr>
        <w:t xml:space="preserve"> </w:t>
      </w:r>
      <w:r>
        <w:rPr>
          <w:rStyle w:val="FunctionTok"/>
        </w:rPr>
        <w:t xml:space="preserve">subset_samples</w:t>
      </w:r>
      <w:r>
        <w:rPr>
          <w:rStyle w:val="NormalTok"/>
        </w:rPr>
        <w:t xml:space="preserve">(miso, diet </w:t>
      </w:r>
      <w:r>
        <w:rPr>
          <w:rStyle w:val="SpecialCharTok"/>
        </w:rPr>
        <w:t xml:space="preserve">==</w:t>
      </w:r>
      <w:r>
        <w:rPr>
          <w:rStyle w:val="NormalTok"/>
        </w:rPr>
        <w:t xml:space="preserve"> </w:t>
      </w:r>
      <w:r>
        <w:rPr>
          <w:rStyle w:val="StringTok"/>
        </w:rPr>
        <w:t xml:space="preserve">"fill in the blank"</w:t>
      </w:r>
      <w:r>
        <w:rPr>
          <w:rStyle w:val="NormalTok"/>
        </w:rPr>
        <w:t xml:space="preserve">) </w:t>
      </w:r>
      <w:r>
        <w:br/>
      </w:r>
      <w:r>
        <w:br/>
      </w:r>
      <w:r>
        <w:rPr>
          <w:rStyle w:val="CommentTok"/>
        </w:rPr>
        <w:t xml:space="preserve">#Ordinate using only “HD” subset, creating a new ordination matrix called “pcoa.misoHD”</w:t>
      </w:r>
      <w:r>
        <w:br/>
      </w:r>
      <w:r>
        <w:rPr>
          <w:rStyle w:val="NormalTok"/>
        </w:rPr>
        <w:t xml:space="preserve">pcoa.misoHD </w:t>
      </w:r>
      <w:r>
        <w:rPr>
          <w:rStyle w:val="OtherTok"/>
        </w:rPr>
        <w:t xml:space="preserve">&lt;-</w:t>
      </w:r>
      <w:r>
        <w:rPr>
          <w:rStyle w:val="NormalTok"/>
        </w:rPr>
        <w:t xml:space="preserve"> </w:t>
      </w:r>
      <w:r>
        <w:rPr>
          <w:rStyle w:val="FunctionTok"/>
        </w:rPr>
        <w:t xml:space="preserve">ordinate</w:t>
      </w:r>
      <w:r>
        <w:rPr>
          <w:rStyle w:val="NormalTok"/>
        </w:rPr>
        <w:t xml:space="preserve">(misoHD,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CommentTok"/>
        </w:rPr>
        <w:t xml:space="preserve">#Make a PCoA plot using your  “HD” subset.</w:t>
      </w:r>
      <w:r>
        <w:br/>
      </w:r>
      <w:r>
        <w:rPr>
          <w:rStyle w:val="FunctionTok"/>
        </w:rPr>
        <w:t xml:space="preserve">plot_ordination</w:t>
      </w:r>
      <w:r>
        <w:rPr>
          <w:rStyle w:val="NormalTok"/>
        </w:rPr>
        <w:t xml:space="preserve">(misoHD, pcoa.misoHD,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4A-1. Paste your plot below for HD subset: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4A-2 Are samples of the same metabolite level similar to each other considering only samples from the HD diet?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4A-3 Has the relationship between the metabolite and samples changed within the HD diet compared to the entire dataset? (ex. Have any new patterns emerged or disappeared?)</w:t>
            </w:r>
          </w:p>
        </w:tc>
      </w:tr>
      <w:tr>
        <w:tc>
          <w:tcPr/>
          <w:p>
            <w:pPr>
              <w:pStyle w:val="Compact"/>
              <w:jc w:val="left"/>
            </w:pPr>
          </w:p>
        </w:tc>
      </w:tr>
    </w:tbl>
    <w:p>
      <w:pPr>
        <w:pStyle w:val="BodyText"/>
      </w:pPr>
      <w:r>
        <w:rPr>
          <w:bCs/>
          <w:b/>
        </w:rPr>
        <w:t xml:space="preserve">Step 4B. Repeat the analysis on only the BD diet samples. Subset</w:t>
      </w:r>
      <w:r>
        <w:rPr>
          <w:bCs/>
          <w:b/>
        </w:rPr>
        <w:t xml:space="preserve"> </w:t>
      </w:r>
      <w:r>
        <w:rPr>
          <w:bCs/>
          <w:b/>
        </w:rPr>
        <w:t xml:space="preserve">“</w:t>
      </w:r>
      <w:r>
        <w:rPr>
          <w:bCs/>
          <w:b/>
        </w:rPr>
        <w:t xml:space="preserve">BD</w:t>
      </w:r>
      <w:r>
        <w:rPr>
          <w:bCs/>
          <w:b/>
        </w:rPr>
        <w:t xml:space="preserve">”</w:t>
      </w:r>
      <w:r>
        <w:rPr>
          <w:bCs/>
          <w:b/>
        </w:rPr>
        <w:t xml:space="preserve">, ordinate on</w:t>
      </w:r>
      <w:r>
        <w:rPr>
          <w:bCs/>
          <w:b/>
        </w:rPr>
        <w:t xml:space="preserve"> </w:t>
      </w:r>
      <w:r>
        <w:rPr>
          <w:bCs/>
          <w:b/>
        </w:rPr>
        <w:t xml:space="preserve">“</w:t>
      </w:r>
      <w:r>
        <w:rPr>
          <w:bCs/>
          <w:b/>
        </w:rPr>
        <w:t xml:space="preserve">BD</w:t>
      </w:r>
      <w:r>
        <w:rPr>
          <w:bCs/>
          <w:b/>
        </w:rPr>
        <w:t xml:space="preserve">”</w:t>
      </w:r>
      <w:r>
        <w:rPr>
          <w:bCs/>
          <w:b/>
        </w:rPr>
        <w:t xml:space="preserve">, and make a new PCoA plot.</w:t>
      </w:r>
    </w:p>
    <w:p>
      <w:pPr>
        <w:numPr>
          <w:ilvl w:val="0"/>
          <w:numId w:val="1157"/>
        </w:numPr>
        <w:pStyle w:val="Compact"/>
      </w:pPr>
      <w:r>
        <w:t xml:space="preserve">Subset data - by the diet</w:t>
      </w:r>
      <w:r>
        <w:t xml:space="preserve"> </w:t>
      </w:r>
      <w:r>
        <w:t xml:space="preserve">“</w:t>
      </w:r>
      <w:r>
        <w:t xml:space="preserve">BD</w:t>
      </w:r>
      <w:r>
        <w:t xml:space="preserve">”</w:t>
      </w:r>
    </w:p>
    <w:p>
      <w:pPr>
        <w:numPr>
          <w:ilvl w:val="0"/>
          <w:numId w:val="1157"/>
        </w:numPr>
        <w:pStyle w:val="Compact"/>
      </w:pPr>
      <w:r>
        <w:t xml:space="preserve">Ordinate - misoBD</w:t>
      </w:r>
    </w:p>
    <w:p>
      <w:pPr>
        <w:numPr>
          <w:ilvl w:val="0"/>
          <w:numId w:val="1157"/>
        </w:numPr>
        <w:pStyle w:val="Compact"/>
      </w:pPr>
      <w:r>
        <w:t xml:space="preserve">Color - by your selected metabolite from part 3</w:t>
      </w:r>
    </w:p>
    <w:p>
      <w:pPr>
        <w:numPr>
          <w:ilvl w:val="0"/>
          <w:numId w:val="1157"/>
        </w:numPr>
        <w:pStyle w:val="Compact"/>
      </w:pPr>
      <w:r>
        <w:t xml:space="preserve">Include a title for your PcOA plot</w:t>
      </w:r>
    </w:p>
    <w:p>
      <w:pPr>
        <w:numPr>
          <w:ilvl w:val="0"/>
          <w:numId w:val="1157"/>
        </w:numPr>
        <w:pStyle w:val="Compact"/>
      </w:pPr>
      <w:r>
        <w:t xml:space="preserve">Use the code below as a template.</w:t>
      </w:r>
    </w:p>
    <w:p>
      <w:pPr>
        <w:pStyle w:val="SourceCode"/>
      </w:pPr>
      <w:r>
        <w:rPr>
          <w:rStyle w:val="NormalTok"/>
        </w:rPr>
        <w:t xml:space="preserve">misoBD </w:t>
      </w:r>
      <w:r>
        <w:rPr>
          <w:rStyle w:val="OtherTok"/>
        </w:rPr>
        <w:t xml:space="preserve">=</w:t>
      </w:r>
      <w:r>
        <w:rPr>
          <w:rStyle w:val="NormalTok"/>
        </w:rPr>
        <w:t xml:space="preserve"> </w:t>
      </w:r>
      <w:r>
        <w:rPr>
          <w:rStyle w:val="FunctionTok"/>
        </w:rPr>
        <w:t xml:space="preserve">subset_samples</w:t>
      </w:r>
      <w:r>
        <w:rPr>
          <w:rStyle w:val="NormalTok"/>
        </w:rPr>
        <w:t xml:space="preserve">(miso, diet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br/>
      </w:r>
      <w:r>
        <w:rPr>
          <w:rStyle w:val="NormalTok"/>
        </w:rPr>
        <w:t xml:space="preserve">pcoa.misoBD </w:t>
      </w:r>
      <w:r>
        <w:rPr>
          <w:rStyle w:val="OtherTok"/>
        </w:rPr>
        <w:t xml:space="preserve">&lt;-</w:t>
      </w:r>
      <w:r>
        <w:rPr>
          <w:rStyle w:val="NormalTok"/>
        </w:rPr>
        <w:t xml:space="preserve"> </w:t>
      </w:r>
      <w:r>
        <w:rPr>
          <w:rStyle w:val="FunctionTok"/>
        </w:rPr>
        <w:t xml:space="preserve">ordinate</w:t>
      </w:r>
      <w:r>
        <w:rPr>
          <w:rStyle w:val="NormalTok"/>
        </w:rPr>
        <w:t xml:space="preserve">(misoBD,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FunctionTok"/>
        </w:rPr>
        <w:t xml:space="preserve">plot_ordination</w:t>
      </w:r>
      <w:r>
        <w:rPr>
          <w:rStyle w:val="NormalTok"/>
        </w:rPr>
        <w:t xml:space="preserve">(misoBD, pcoa.misoBD,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4B-1. Paste your plot below for BD subset: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4B-2 Are samples of the same metabolite level similar to each other considering only samples from the BD diet?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4B-3 Has the relationship between the metabolite and samples changed within the BD diet compared to the entire dataset? (ex. Have any new patterns emerged or disappeared?)</w:t>
            </w:r>
          </w:p>
        </w:tc>
      </w:tr>
      <w:tr>
        <w:tc>
          <w:tcPr/>
          <w:p>
            <w:pPr>
              <w:pStyle w:val="Compact"/>
              <w:jc w:val="left"/>
            </w:pPr>
          </w:p>
        </w:tc>
      </w:tr>
    </w:tbl>
    <w:bookmarkEnd w:id="280"/>
    <w:bookmarkStart w:id="283" w:name="footnotes-14"/>
    <w:p>
      <w:pPr>
        <w:pStyle w:val="Heading3"/>
      </w:pPr>
      <w:r>
        <w:rPr>
          <w:rStyle w:val="SectionNumber"/>
        </w:rPr>
        <w:t xml:space="preserve">5.5.5</w:t>
      </w:r>
      <w:r>
        <w:tab/>
      </w:r>
      <w:r>
        <w:t xml:space="preserve">Footnotes</w:t>
      </w:r>
    </w:p>
    <w:bookmarkStart w:id="281" w:name="resources-18"/>
    <w:p>
      <w:pPr>
        <w:pStyle w:val="Heading4"/>
      </w:pPr>
      <w:r>
        <w:rPr>
          <w:rStyle w:val="SectionNumber"/>
        </w:rPr>
        <w:t xml:space="preserve">5.5.5.1</w:t>
      </w:r>
      <w:r>
        <w:tab/>
      </w:r>
      <w:r>
        <w:t xml:space="preserve">Resources</w:t>
      </w:r>
    </w:p>
    <w:p>
      <w:pPr>
        <w:numPr>
          <w:ilvl w:val="0"/>
          <w:numId w:val="1158"/>
        </w:numPr>
        <w:pStyle w:val="Compact"/>
      </w:pPr>
      <w:hyperlink r:id="rId263">
        <w:r>
          <w:rPr>
            <w:rStyle w:val="Hyperlink"/>
          </w:rPr>
          <w:t xml:space="preserve">Google Doc</w:t>
        </w:r>
      </w:hyperlink>
    </w:p>
    <w:p>
      <w:pPr>
        <w:numPr>
          <w:ilvl w:val="0"/>
          <w:numId w:val="1158"/>
        </w:numPr>
        <w:pStyle w:val="Compact"/>
      </w:pPr>
      <w:hyperlink r:id="rId206">
        <w:r>
          <w:rPr>
            <w:rStyle w:val="Hyperlink"/>
          </w:rPr>
          <w:t xml:space="preserve">16S rRNA R Quick Reference</w:t>
        </w:r>
      </w:hyperlink>
    </w:p>
    <w:bookmarkEnd w:id="281"/>
    <w:bookmarkStart w:id="282" w:name="contributions-and-affiliations-14"/>
    <w:p>
      <w:pPr>
        <w:pStyle w:val="Heading4"/>
      </w:pPr>
      <w:r>
        <w:rPr>
          <w:rStyle w:val="SectionNumber"/>
        </w:rPr>
        <w:t xml:space="preserve">5.5.5.2</w:t>
      </w:r>
      <w:r>
        <w:tab/>
      </w:r>
      <w:r>
        <w:t xml:space="preserve">Contributions and affiliations</w:t>
      </w:r>
    </w:p>
    <w:p>
      <w:pPr>
        <w:numPr>
          <w:ilvl w:val="0"/>
          <w:numId w:val="1159"/>
        </w:numPr>
        <w:pStyle w:val="Compact"/>
      </w:pPr>
      <w:r>
        <w:t xml:space="preserve">Valeriya Gaysinskaya, Johns Hopkins University</w:t>
      </w:r>
    </w:p>
    <w:p>
      <w:pPr>
        <w:numPr>
          <w:ilvl w:val="0"/>
          <w:numId w:val="1159"/>
        </w:numPr>
        <w:pStyle w:val="Compact"/>
      </w:pPr>
      <w:r>
        <w:t xml:space="preserve">Gauri Paul, Clovis Community College</w:t>
      </w:r>
    </w:p>
    <w:p>
      <w:pPr>
        <w:numPr>
          <w:ilvl w:val="0"/>
          <w:numId w:val="1159"/>
        </w:numPr>
        <w:pStyle w:val="Compact"/>
      </w:pPr>
      <w:r>
        <w:t xml:space="preserve">Frederick Tan, Johns Hopkins University</w:t>
      </w:r>
    </w:p>
    <w:p>
      <w:pPr>
        <w:numPr>
          <w:ilvl w:val="0"/>
          <w:numId w:val="1159"/>
        </w:numPr>
        <w:pStyle w:val="Compact"/>
      </w:pPr>
      <w:r>
        <w:t xml:space="preserve">Sayumi York, Notre Dame of Maryland University</w:t>
      </w:r>
    </w:p>
    <w:bookmarkEnd w:id="282"/>
    <w:bookmarkEnd w:id="283"/>
    <w:bookmarkEnd w:id="284"/>
    <w:bookmarkStart w:id="291" w:name="X595ac7e568229e6fc777f68597beefe0ba51994"/>
    <w:p>
      <w:pPr>
        <w:pStyle w:val="Heading2"/>
      </w:pPr>
      <w:r>
        <w:rPr>
          <w:rStyle w:val="SectionNumber"/>
        </w:rPr>
        <w:t xml:space="preserve">5.6</w:t>
      </w:r>
      <w:r>
        <w:tab/>
      </w:r>
      <w:r>
        <w:t xml:space="preserve">Try it Question 3 - What microbes (ASVs) differ between males and females, and does age have an impact</w:t>
      </w:r>
    </w:p>
    <w:p>
      <w:pPr>
        <w:pStyle w:val="FirstParagraph"/>
      </w:pPr>
      <w:r>
        <w:t xml:space="preserve">Approach: Perform DESeq analysis between females and males and determine how many differentially abundant microbes are there between the sexes. Then examine if age has a further impact on the abundance of the microbes between the sexes.</w:t>
      </w:r>
    </w:p>
    <w:bookmarkStart w:id="285" w:name="Xd507241b7910661e2cc6426c8de0d60c4521a74"/>
    <w:p>
      <w:pPr>
        <w:pStyle w:val="Heading3"/>
      </w:pPr>
      <w:r>
        <w:rPr>
          <w:rStyle w:val="SectionNumber"/>
        </w:rPr>
        <w:t xml:space="preserve">5.6.1</w:t>
      </w:r>
      <w:r>
        <w:tab/>
      </w:r>
      <w:r>
        <w:t xml:space="preserve">Step 3A. Perform differential abundance analysis between genders.</w:t>
      </w:r>
    </w:p>
    <w:p>
      <w:pPr>
        <w:numPr>
          <w:ilvl w:val="0"/>
          <w:numId w:val="1160"/>
        </w:numPr>
      </w:pPr>
      <w:r>
        <w:t xml:space="preserve">Design - is based on gender (no double quotes)</w:t>
      </w:r>
    </w:p>
    <w:p>
      <w:pPr>
        <w:numPr>
          <w:ilvl w:val="0"/>
          <w:numId w:val="1160"/>
        </w:numPr>
      </w:pPr>
      <w:r>
        <w:t xml:space="preserve">Groups to compare - females, F and males, M (baseline)</w:t>
      </w:r>
    </w:p>
    <w:p>
      <w:pPr>
        <w:numPr>
          <w:ilvl w:val="0"/>
          <w:numId w:val="1160"/>
        </w:numPr>
      </w:pPr>
      <w:r>
        <w:t xml:space="preserve">Plot Phylum on the X-axis and color by Class</w:t>
      </w:r>
    </w:p>
    <w:p>
      <w:pPr>
        <w:numPr>
          <w:ilvl w:val="0"/>
          <w:numId w:val="1160"/>
        </w:numPr>
      </w:pPr>
      <w:r>
        <w:t xml:space="preserve">Make sure your graph has a title that includes the comparison you are making (ex. WO vs HD)</w:t>
      </w:r>
    </w:p>
    <w:p>
      <w:pPr>
        <w:numPr>
          <w:ilvl w:val="0"/>
          <w:numId w:val="1160"/>
        </w:numPr>
      </w:pPr>
      <w:r>
        <w:t xml:space="preserve">Refer to the</w:t>
      </w:r>
      <w:r>
        <w:t xml:space="preserve"> </w:t>
      </w:r>
      <w:r>
        <w:t xml:space="preserve">“</w:t>
      </w:r>
      <w:r>
        <w:t xml:space="preserve">Differential abundance</w:t>
      </w:r>
      <w:r>
        <w:t xml:space="preserve">”</w:t>
      </w:r>
      <w:r>
        <w:t xml:space="preserve"> </w:t>
      </w:r>
      <w:r>
        <w:t xml:space="preserve">section of the</w:t>
      </w:r>
      <w:r>
        <w:t xml:space="preserve"> </w:t>
      </w:r>
      <w:r>
        <w:t xml:space="preserve">“</w:t>
      </w:r>
      <w:r>
        <w:t xml:space="preserve">Analyze 16S rRNA Data with phyloseq</w:t>
      </w:r>
      <w:r>
        <w:t xml:space="preserve">”</w:t>
      </w:r>
      <w:r>
        <w:t xml:space="preserve"> </w:t>
      </w:r>
      <w:r>
        <w:t xml:space="preserve">tutorial for help using the plot_ordination() function.</w:t>
      </w:r>
    </w:p>
    <w:p>
      <w:pPr>
        <w:numPr>
          <w:ilvl w:val="0"/>
          <w:numId w:val="1160"/>
        </w:numPr>
      </w:pPr>
      <w:r>
        <w:t xml:space="preserve">Use the code below as a template:</w:t>
      </w:r>
    </w:p>
    <w:p>
      <w:pPr>
        <w:pStyle w:val="SourceCode"/>
      </w:pPr>
      <w:r>
        <w:rPr>
          <w:rStyle w:val="CommentTok"/>
        </w:rPr>
        <w:t xml:space="preserve"># STEP 2: Select the groups to compare, where the latter group is your baseline</w:t>
      </w:r>
      <w:r>
        <w:br/>
      </w:r>
      <w:r>
        <w:rPr>
          <w:rStyle w:val="NormalTok"/>
        </w:rPr>
        <w:t xml:space="preserve">my_comparison </w:t>
      </w:r>
      <w:r>
        <w:rPr>
          <w:rStyle w:val="OtherTok"/>
        </w:rPr>
        <w:t xml:space="preserve">&lt;-</w:t>
      </w:r>
      <w:r>
        <w:rPr>
          <w:rStyle w:val="FunctionTok"/>
        </w:rPr>
        <w:t xml:space="preserve">c</w:t>
      </w:r>
      <w:r>
        <w:rPr>
          <w:rStyle w:val="NormalTok"/>
        </w:rPr>
        <w:t xml:space="preserve">(</w:t>
      </w:r>
      <w:r>
        <w:rPr>
          <w:rStyle w:val="StringTok"/>
        </w:rPr>
        <w:t xml:space="preserve">"gender"</w:t>
      </w:r>
      <w:r>
        <w:rPr>
          <w:rStyle w:val="NormalTok"/>
        </w:rPr>
        <w:t xml:space="preserve">, </w:t>
      </w:r>
      <w:r>
        <w:rPr>
          <w:rStyle w:val="StringTok"/>
        </w:rPr>
        <w:t xml:space="preserve">"fill in the blank"</w:t>
      </w:r>
      <w:r>
        <w:rPr>
          <w:rStyle w:val="NormalTok"/>
        </w:rPr>
        <w:t xml:space="preserve">, </w:t>
      </w:r>
      <w:r>
        <w:rPr>
          <w:rStyle w:val="StringTok"/>
        </w:rPr>
        <w:t xml:space="preserve">"fill in the blank (baseline)"</w:t>
      </w:r>
      <w:r>
        <w:rPr>
          <w:rStyle w:val="NormalTok"/>
        </w:rPr>
        <w:t xml:space="preserve">)</w:t>
      </w:r>
      <w:r>
        <w:br/>
      </w:r>
      <w:r>
        <w:br/>
      </w:r>
      <w:r>
        <w:rPr>
          <w:rStyle w:val="CommentTok"/>
        </w:rPr>
        <w:t xml:space="preserve"># STEP 3: Run the differential abundance analysis </w:t>
      </w:r>
      <w:r>
        <w:br/>
      </w:r>
      <w:r>
        <w:rPr>
          <w:rStyle w:val="NormalTok"/>
        </w:rPr>
        <w:t xml:space="preserve">Significant_DEseq2_ASVs</w:t>
      </w:r>
      <w:r>
        <w:rPr>
          <w:rStyle w:val="OtherTok"/>
        </w:rPr>
        <w:t xml:space="preserve">&lt;-</w:t>
      </w:r>
      <w:r>
        <w:rPr>
          <w:rStyle w:val="FunctionTok"/>
        </w:rPr>
        <w:t xml:space="preserve">Differential_Abundance</w:t>
      </w:r>
      <w:r>
        <w:rPr>
          <w:rStyle w:val="NormalTok"/>
        </w:rPr>
        <w:t xml:space="preserve">(miso_counts, DESeq2, my_comparison, </w:t>
      </w:r>
      <w:r>
        <w:rPr>
          <w:rStyle w:val="FloatTok"/>
        </w:rPr>
        <w:t xml:space="preserve">0.05</w:t>
      </w:r>
      <w:r>
        <w:rPr>
          <w:rStyle w:val="NormalTok"/>
        </w:rPr>
        <w:t xml:space="preserve">)</w:t>
      </w:r>
      <w:r>
        <w:br/>
      </w:r>
      <w:r>
        <w:br/>
      </w:r>
      <w:r>
        <w:rPr>
          <w:rStyle w:val="CommentTok"/>
        </w:rPr>
        <w:t xml:space="preserve"># STEP 4: Retrieve the list of ASVs with a significant difference in abundance between the chosen groups</w:t>
      </w:r>
      <w:r>
        <w:br/>
      </w:r>
      <w:r>
        <w:rPr>
          <w:rStyle w:val="NormalTok"/>
        </w:rPr>
        <w:t xml:space="preserve">Significant_DEseq2_ASVs</w:t>
      </w:r>
      <w:r>
        <w:br/>
      </w:r>
      <w:r>
        <w:br/>
      </w:r>
      <w:r>
        <w:rPr>
          <w:rStyle w:val="CommentTok"/>
        </w:rPr>
        <w:t xml:space="preserve"># STEP 5: Plot the results with your chosen x axis and legend</w:t>
      </w:r>
      <w:r>
        <w:br/>
      </w:r>
      <w:r>
        <w:rPr>
          <w:rStyle w:val="FunctionTok"/>
        </w:rPr>
        <w:t xml:space="preserve">ggplot</w:t>
      </w:r>
      <w:r>
        <w:rPr>
          <w:rStyle w:val="NormalTok"/>
        </w:rPr>
        <w:t xml:space="preserve">(significant_ASVs, </w:t>
      </w:r>
      <w:r>
        <w:rPr>
          <w:rStyle w:val="FunctionTok"/>
        </w:rPr>
        <w:t xml:space="preserve">aes</w:t>
      </w:r>
      <w:r>
        <w:rPr>
          <w:rStyle w:val="NormalTok"/>
        </w:rPr>
        <w:t xml:space="preserve">(</w:t>
      </w:r>
      <w:r>
        <w:rPr>
          <w:rStyle w:val="AttributeTok"/>
        </w:rPr>
        <w:t xml:space="preserve">x =</w:t>
      </w:r>
      <w:r>
        <w:rPr>
          <w:rStyle w:val="NormalTok"/>
        </w:rPr>
        <w:t xml:space="preserve"> fill </w:t>
      </w:r>
      <w:r>
        <w:rPr>
          <w:rStyle w:val="ControlFlowTok"/>
        </w:rPr>
        <w:t xml:space="preserve">in</w:t>
      </w:r>
      <w:r>
        <w:rPr>
          <w:rStyle w:val="NormalTok"/>
        </w:rPr>
        <w:t xml:space="preserve"> the blank, </w:t>
      </w:r>
      <w:r>
        <w:rPr>
          <w:rStyle w:val="AttributeTok"/>
        </w:rPr>
        <w:t xml:space="preserve">y=</w:t>
      </w:r>
      <w:r>
        <w:rPr>
          <w:rStyle w:val="NormalTok"/>
        </w:rPr>
        <w:t xml:space="preserve">log2FoldChange, </w:t>
      </w:r>
      <w:r>
        <w:rPr>
          <w:rStyle w:val="AttributeTok"/>
        </w:rPr>
        <w:t xml:space="preserve">color=</w:t>
      </w:r>
      <w:r>
        <w:rPr>
          <w:rStyle w:val="NormalTok"/>
        </w:rPr>
        <w:t xml:space="preserve"> fill </w:t>
      </w:r>
      <w:r>
        <w:rPr>
          <w:rStyle w:val="ControlFlowTok"/>
        </w:rPr>
        <w:t xml:space="preserve">in</w:t>
      </w:r>
      <w:r>
        <w:rPr>
          <w:rStyle w:val="NormalTok"/>
        </w:rPr>
        <w:t xml:space="preserve"> the blank))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4</w:t>
      </w:r>
      <w:r>
        <w:rPr>
          <w:rStyle w:val="NormalTok"/>
        </w:rPr>
        <w:t xml:space="preserve">, </w:t>
      </w:r>
      <w:r>
        <w:rPr>
          <w:rStyle w:val="AttributeTok"/>
        </w:rPr>
        <w:t xml:space="preserve">position=</w:t>
      </w:r>
      <w:r>
        <w:rPr>
          <w:rStyle w:val="StringTok"/>
        </w:rPr>
        <w:t xml:space="preserve">"jitter"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vjust=</w:t>
      </w:r>
      <w:r>
        <w:rPr>
          <w:rStyle w:val="FloatTok"/>
        </w:rPr>
        <w:t xml:space="preserve">0.5</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3A-1. Insert the resulting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3A-2. How many differentially abundant ASVs were identified? This is the number of rows in the result table.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3A-3. Give an example of a differentially abundant ASVs that was significantly higher in females than males. Include ASV ID and taxa. HINT: If male was your baseline, then an example of an ASV that is higher in females will have a positive log2FC, and vice versa if female was your baseline group. Use the arrows in the header row of the table to scroll through the taxonomy of an ASV.</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3A-4. Look up this microbe. What function does it serve in the human gut, and how might its abundance be connected to gender?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3A-5. Give an example of a differentially abundant ASVs that was significantly higher in males than females. Include ASV ID and taxa. HINT: If male was your baseline, then an example of an ASV that is higher in males will have a negative log2FC, and vice versa if female was your baseline group. Use the arrows in the header row of the table to scroll through the taxonomy of an ASV.</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3A-6. Look up this microbe. What function does it serve in the human gut, and how might its abundance be connected to gender?</w:t>
            </w:r>
          </w:p>
        </w:tc>
      </w:tr>
      <w:tr>
        <w:tc>
          <w:tcPr/>
          <w:p>
            <w:pPr>
              <w:pStyle w:val="Compact"/>
              <w:jc w:val="left"/>
            </w:pPr>
          </w:p>
        </w:tc>
      </w:tr>
    </w:tbl>
    <w:bookmarkEnd w:id="285"/>
    <w:bookmarkStart w:id="286" w:name="X79916a6b28072c69ac15d7943d38357558bb002"/>
    <w:p>
      <w:pPr>
        <w:pStyle w:val="Heading3"/>
      </w:pPr>
      <w:r>
        <w:rPr>
          <w:rStyle w:val="SectionNumber"/>
        </w:rPr>
        <w:t xml:space="preserve">5.6.2</w:t>
      </w:r>
      <w:r>
        <w:tab/>
      </w:r>
      <w:r>
        <w:t xml:space="preserve">Step 3B. Determine the impact of younger age on differential abundance in males and females, by subsetting age &lt; 50 data from the phyloseq object, and performing DESeq2 analysis on this subset.</w:t>
      </w:r>
    </w:p>
    <w:p>
      <w:pPr>
        <w:numPr>
          <w:ilvl w:val="0"/>
          <w:numId w:val="1161"/>
        </w:numPr>
        <w:pStyle w:val="Compact"/>
      </w:pPr>
      <w:r>
        <w:t xml:space="preserve">Subset phyloseq object to only include younger individuals (age &lt; 50)</w:t>
      </w:r>
    </w:p>
    <w:p>
      <w:pPr>
        <w:numPr>
          <w:ilvl w:val="0"/>
          <w:numId w:val="1161"/>
        </w:numPr>
        <w:pStyle w:val="Compact"/>
      </w:pPr>
      <w:r>
        <w:t xml:space="preserve">For DESeq2 analysis, keep the design the same as in part A - based on gender</w:t>
      </w:r>
    </w:p>
    <w:p>
      <w:pPr>
        <w:numPr>
          <w:ilvl w:val="0"/>
          <w:numId w:val="1161"/>
        </w:numPr>
        <w:pStyle w:val="Compact"/>
      </w:pPr>
      <w:r>
        <w:t xml:space="preserve">Groups to compare: females (F) and males (M, baseline)</w:t>
      </w:r>
    </w:p>
    <w:p>
      <w:pPr>
        <w:numPr>
          <w:ilvl w:val="0"/>
          <w:numId w:val="1161"/>
        </w:numPr>
        <w:pStyle w:val="Compact"/>
      </w:pPr>
      <w:r>
        <w:t xml:space="preserve">Plot Phylum on the X-axis and color by Class</w:t>
      </w:r>
    </w:p>
    <w:p>
      <w:pPr>
        <w:numPr>
          <w:ilvl w:val="0"/>
          <w:numId w:val="1161"/>
        </w:numPr>
        <w:pStyle w:val="Compact"/>
      </w:pPr>
      <w:r>
        <w:t xml:space="preserve">Use template code below:</w:t>
      </w:r>
    </w:p>
    <w:p>
      <w:pPr>
        <w:pStyle w:val="SourceCode"/>
      </w:pPr>
      <w:r>
        <w:rPr>
          <w:rStyle w:val="CommentTok"/>
        </w:rPr>
        <w:t xml:space="preserve"># STEP 1: subset by age &lt; 50</w:t>
      </w:r>
      <w:r>
        <w:br/>
      </w:r>
      <w:r>
        <w:rPr>
          <w:rStyle w:val="NormalTok"/>
        </w:rPr>
        <w:t xml:space="preserve">ageA </w:t>
      </w:r>
      <w:r>
        <w:rPr>
          <w:rStyle w:val="OtherTok"/>
        </w:rPr>
        <w:t xml:space="preserve">=</w:t>
      </w:r>
      <w:r>
        <w:rPr>
          <w:rStyle w:val="NormalTok"/>
        </w:rPr>
        <w:t xml:space="preserve"> </w:t>
      </w:r>
      <w:r>
        <w:rPr>
          <w:rStyle w:val="FunctionTok"/>
        </w:rPr>
        <w:t xml:space="preserve">subset_samples</w:t>
      </w:r>
      <w:r>
        <w:rPr>
          <w:rStyle w:val="NormalTok"/>
        </w:rPr>
        <w:t xml:space="preserve">(miso_counts, age </w:t>
      </w:r>
      <w:r>
        <w:rPr>
          <w:rStyle w:val="SpecialCharTok"/>
        </w:rPr>
        <w:t xml:space="preserve">&lt;</w:t>
      </w:r>
      <w:r>
        <w:rPr>
          <w:rStyle w:val="DecValTok"/>
        </w:rPr>
        <w:t xml:space="preserve">50</w:t>
      </w:r>
      <w:r>
        <w:rPr>
          <w:rStyle w:val="NormalTok"/>
        </w:rPr>
        <w:t xml:space="preserve">) </w:t>
      </w:r>
      <w:r>
        <w:br/>
      </w:r>
      <w:r>
        <w:br/>
      </w:r>
      <w:r>
        <w:rPr>
          <w:rStyle w:val="CommentTok"/>
        </w:rPr>
        <w:t xml:space="preserve"># STEP 2: Convert the phyloseq object to a DESeq2 object and specify experimental design</w:t>
      </w:r>
      <w:r>
        <w:br/>
      </w:r>
      <w:r>
        <w:rPr>
          <w:rStyle w:val="NormalTok"/>
        </w:rPr>
        <w:t xml:space="preserve">DESeq2 </w:t>
      </w:r>
      <w:r>
        <w:rPr>
          <w:rStyle w:val="OtherTok"/>
        </w:rPr>
        <w:t xml:space="preserve">&lt;-</w:t>
      </w:r>
      <w:r>
        <w:rPr>
          <w:rStyle w:val="NormalTok"/>
        </w:rPr>
        <w:t xml:space="preserve"> </w:t>
      </w:r>
      <w:r>
        <w:rPr>
          <w:rStyle w:val="FunctionTok"/>
        </w:rPr>
        <w:t xml:space="preserve">phyloseq_to_deseq2</w:t>
      </w:r>
      <w:r>
        <w:rPr>
          <w:rStyle w:val="NormalTok"/>
        </w:rPr>
        <w:t xml:space="preserve">(ageA, </w:t>
      </w:r>
      <w:r>
        <w:rPr>
          <w:rStyle w:val="AttributeTok"/>
        </w:rPr>
        <w:t xml:space="preserve">design =</w:t>
      </w:r>
      <w:r>
        <w:rPr>
          <w:rStyle w:val="NormalTok"/>
        </w:rPr>
        <w:t xml:space="preserve"> </w:t>
      </w:r>
      <w:r>
        <w:rPr>
          <w:rStyle w:val="SpecialCharTok"/>
        </w:rPr>
        <w:t xml:space="preserve">~</w:t>
      </w:r>
      <w:r>
        <w:rPr>
          <w:rStyle w:val="NormalTok"/>
        </w:rPr>
        <w:t xml:space="preserve"> fill </w:t>
      </w:r>
      <w:r>
        <w:rPr>
          <w:rStyle w:val="ControlFlowTok"/>
        </w:rPr>
        <w:t xml:space="preserve">in</w:t>
      </w:r>
      <w:r>
        <w:rPr>
          <w:rStyle w:val="NormalTok"/>
        </w:rPr>
        <w:t xml:space="preserve"> the blank)</w:t>
      </w:r>
      <w:r>
        <w:br/>
      </w:r>
      <w:r>
        <w:br/>
      </w:r>
      <w:r>
        <w:rPr>
          <w:rStyle w:val="CommentTok"/>
        </w:rPr>
        <w:t xml:space="preserve"># STEP 3: Select the groups to compare, where log2FoldChange reported will correspond to  y/x.</w:t>
      </w:r>
      <w:r>
        <w:br/>
      </w:r>
      <w:r>
        <w:rPr>
          <w:rStyle w:val="NormalTok"/>
        </w:rPr>
        <w:t xml:space="preserve">my_comparison </w:t>
      </w:r>
      <w:r>
        <w:rPr>
          <w:rStyle w:val="OtherTok"/>
        </w:rPr>
        <w:t xml:space="preserve">&lt;-</w:t>
      </w:r>
      <w:r>
        <w:rPr>
          <w:rStyle w:val="FunctionTok"/>
        </w:rPr>
        <w:t xml:space="preserve">c</w:t>
      </w:r>
      <w:r>
        <w:rPr>
          <w:rStyle w:val="NormalTok"/>
        </w:rPr>
        <w:t xml:space="preserve">(</w:t>
      </w:r>
      <w:r>
        <w:rPr>
          <w:rStyle w:val="StringTok"/>
        </w:rPr>
        <w:t xml:space="preserve">"gender"</w:t>
      </w:r>
      <w:r>
        <w:rPr>
          <w:rStyle w:val="NormalTok"/>
        </w:rPr>
        <w:t xml:space="preserve">, </w:t>
      </w:r>
      <w:r>
        <w:rPr>
          <w:rStyle w:val="StringTok"/>
        </w:rPr>
        <w:t xml:space="preserve">"fill in the blank"</w:t>
      </w:r>
      <w:r>
        <w:rPr>
          <w:rStyle w:val="NormalTok"/>
        </w:rPr>
        <w:t xml:space="preserve">, </w:t>
      </w:r>
      <w:r>
        <w:rPr>
          <w:rStyle w:val="StringTok"/>
        </w:rPr>
        <w:t xml:space="preserve">"fill in the blank (baseline)"</w:t>
      </w:r>
      <w:r>
        <w:rPr>
          <w:rStyle w:val="NormalTok"/>
        </w:rPr>
        <w:t xml:space="preserve">)</w:t>
      </w:r>
      <w:r>
        <w:br/>
      </w:r>
      <w:r>
        <w:br/>
      </w:r>
      <w:r>
        <w:rPr>
          <w:rStyle w:val="CommentTok"/>
        </w:rPr>
        <w:t xml:space="preserve"># STEP 4: Run the differential abundance analysis </w:t>
      </w:r>
      <w:r>
        <w:br/>
      </w:r>
      <w:r>
        <w:rPr>
          <w:rStyle w:val="NormalTok"/>
        </w:rPr>
        <w:t xml:space="preserve">Significant_DEseq2_ASVs</w:t>
      </w:r>
      <w:r>
        <w:rPr>
          <w:rStyle w:val="OtherTok"/>
        </w:rPr>
        <w:t xml:space="preserve">&lt;-</w:t>
      </w:r>
      <w:r>
        <w:rPr>
          <w:rStyle w:val="FunctionTok"/>
        </w:rPr>
        <w:t xml:space="preserve">Differential_Abundance</w:t>
      </w:r>
      <w:r>
        <w:rPr>
          <w:rStyle w:val="NormalTok"/>
        </w:rPr>
        <w:t xml:space="preserve">(miso_counts, DESeq2, my_comparison, </w:t>
      </w:r>
      <w:r>
        <w:rPr>
          <w:rStyle w:val="FloatTok"/>
        </w:rPr>
        <w:t xml:space="preserve">0.05</w:t>
      </w:r>
      <w:r>
        <w:rPr>
          <w:rStyle w:val="NormalTok"/>
        </w:rPr>
        <w:t xml:space="preserve">)</w:t>
      </w:r>
      <w:r>
        <w:br/>
      </w:r>
      <w:r>
        <w:br/>
      </w:r>
      <w:r>
        <w:rPr>
          <w:rStyle w:val="CommentTok"/>
        </w:rPr>
        <w:t xml:space="preserve"># STEP 5: Retrieve the list of ASVs with a significant difference in abundance between the chosen groups</w:t>
      </w:r>
      <w:r>
        <w:br/>
      </w:r>
      <w:r>
        <w:rPr>
          <w:rStyle w:val="NormalTok"/>
        </w:rPr>
        <w:t xml:space="preserve">Significant_DEseq2_ASVs</w:t>
      </w:r>
      <w:r>
        <w:br/>
      </w:r>
      <w:r>
        <w:br/>
      </w:r>
      <w:r>
        <w:rPr>
          <w:rStyle w:val="CommentTok"/>
        </w:rPr>
        <w:t xml:space="preserve"># STEP 6: Plot the results with your chosen x axis and legend</w:t>
      </w:r>
      <w:r>
        <w:br/>
      </w:r>
      <w:r>
        <w:rPr>
          <w:rStyle w:val="FunctionTok"/>
        </w:rPr>
        <w:t xml:space="preserve">ggplot</w:t>
      </w:r>
      <w:r>
        <w:rPr>
          <w:rStyle w:val="NormalTok"/>
        </w:rPr>
        <w:t xml:space="preserve">(Significant_DEseq2_ASVs, </w:t>
      </w:r>
      <w:r>
        <w:rPr>
          <w:rStyle w:val="FunctionTok"/>
        </w:rPr>
        <w:t xml:space="preserve">aes</w:t>
      </w:r>
      <w:r>
        <w:rPr>
          <w:rStyle w:val="NormalTok"/>
        </w:rPr>
        <w:t xml:space="preserve">(</w:t>
      </w:r>
      <w:r>
        <w:rPr>
          <w:rStyle w:val="AttributeTok"/>
        </w:rPr>
        <w:t xml:space="preserve">x =</w:t>
      </w:r>
      <w:r>
        <w:rPr>
          <w:rStyle w:val="NormalTok"/>
        </w:rPr>
        <w:t xml:space="preserve"> fill </w:t>
      </w:r>
      <w:r>
        <w:rPr>
          <w:rStyle w:val="ControlFlowTok"/>
        </w:rPr>
        <w:t xml:space="preserve">in</w:t>
      </w:r>
      <w:r>
        <w:rPr>
          <w:rStyle w:val="NormalTok"/>
        </w:rPr>
        <w:t xml:space="preserve"> the blank, </w:t>
      </w:r>
      <w:r>
        <w:rPr>
          <w:rStyle w:val="AttributeTok"/>
        </w:rPr>
        <w:t xml:space="preserve">y=</w:t>
      </w:r>
      <w:r>
        <w:rPr>
          <w:rStyle w:val="NormalTok"/>
        </w:rPr>
        <w:t xml:space="preserve">log2FoldChange, </w:t>
      </w:r>
      <w:r>
        <w:rPr>
          <w:rStyle w:val="AttributeTok"/>
        </w:rPr>
        <w:t xml:space="preserve">color=</w:t>
      </w:r>
      <w:r>
        <w:rPr>
          <w:rStyle w:val="NormalTok"/>
        </w:rPr>
        <w:t xml:space="preserve"> fill </w:t>
      </w:r>
      <w:r>
        <w:rPr>
          <w:rStyle w:val="ControlFlowTok"/>
        </w:rPr>
        <w:t xml:space="preserve">in</w:t>
      </w:r>
      <w:r>
        <w:rPr>
          <w:rStyle w:val="NormalTok"/>
        </w:rPr>
        <w:t xml:space="preserve"> the blank))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4</w:t>
      </w:r>
      <w:r>
        <w:rPr>
          <w:rStyle w:val="NormalTok"/>
        </w:rPr>
        <w:t xml:space="preserve">, </w:t>
      </w:r>
      <w:r>
        <w:rPr>
          <w:rStyle w:val="AttributeTok"/>
        </w:rPr>
        <w:t xml:space="preserve">position =</w:t>
      </w:r>
      <w:r>
        <w:rPr>
          <w:rStyle w:val="NormalTok"/>
        </w:rPr>
        <w:t xml:space="preserve"> </w:t>
      </w:r>
      <w:r>
        <w:rPr>
          <w:rStyle w:val="StringTok"/>
        </w:rPr>
        <w:t xml:space="preserve">"jitter"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vjust=</w:t>
      </w:r>
      <w:r>
        <w:rPr>
          <w:rStyle w:val="FloatTok"/>
        </w:rPr>
        <w:t xml:space="preserve">0.5</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3B-1. Insert the resulting plot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3B-2. How many differentially abundant ASVs were identified?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3B-3. Give an example of a differentially abundant ASVs that was significantly higher in younger females than younger males. Include ASV ID and taxa. HINT: If male was your baseline, then an example of an ASV that is higher in females will have a positive log2FC, and vice versa if female was your baseline group. Use the arrows in the header row of the table to scroll through the taxonomy of an ASV.</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3B-4. Give an example of a differentially abundant ASVs that was significantly higher in younger males than younger females. Include ASV ID and taxa. HINT: If male was your baseline, then an example of an ASV that is higher in males will have a negative log2FC, and vice versa if female was your baseline group. Use the arrows in the header row of the table to scroll through the taxonomy of an ASV.</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3B-5. Compared to the overall dataset, do younger individuals have more or less differentially abundant microbes between genders?</w:t>
            </w:r>
          </w:p>
        </w:tc>
      </w:tr>
      <w:tr>
        <w:tc>
          <w:tcPr/>
          <w:p>
            <w:pPr>
              <w:pStyle w:val="Compact"/>
              <w:jc w:val="left"/>
            </w:pPr>
          </w:p>
        </w:tc>
      </w:tr>
    </w:tbl>
    <w:bookmarkEnd w:id="286"/>
    <w:bookmarkStart w:id="287" w:name="X2d2d6babfb94edafc1b96bec6735622172a6a35"/>
    <w:p>
      <w:pPr>
        <w:pStyle w:val="Heading3"/>
      </w:pPr>
      <w:r>
        <w:rPr>
          <w:rStyle w:val="SectionNumber"/>
        </w:rPr>
        <w:t xml:space="preserve">5.6.3</w:t>
      </w:r>
      <w:r>
        <w:tab/>
      </w:r>
      <w:r>
        <w:t xml:space="preserve">Step 3C. Determine the impact of older age on differential abundance in males and females, by subsetting age &gt;= 50 data from the phyloseq object, and performing DESeq2 analysis on this subset.</w:t>
      </w:r>
    </w:p>
    <w:p>
      <w:pPr>
        <w:numPr>
          <w:ilvl w:val="0"/>
          <w:numId w:val="1162"/>
        </w:numPr>
        <w:pStyle w:val="Compact"/>
      </w:pPr>
      <w:r>
        <w:t xml:space="preserve">You can use template code below:</w:t>
      </w:r>
    </w:p>
    <w:p>
      <w:pPr>
        <w:pStyle w:val="SourceCode"/>
      </w:pPr>
      <w:r>
        <w:rPr>
          <w:rStyle w:val="CommentTok"/>
        </w:rPr>
        <w:t xml:space="preserve"># STEP 1: subset by age &gt;=  50</w:t>
      </w:r>
      <w:r>
        <w:br/>
      </w:r>
      <w:r>
        <w:rPr>
          <w:rStyle w:val="NormalTok"/>
        </w:rPr>
        <w:t xml:space="preserve">ageB </w:t>
      </w:r>
      <w:r>
        <w:rPr>
          <w:rStyle w:val="OtherTok"/>
        </w:rPr>
        <w:t xml:space="preserve">=</w:t>
      </w:r>
      <w:r>
        <w:rPr>
          <w:rStyle w:val="NormalTok"/>
        </w:rPr>
        <w:t xml:space="preserve"> </w:t>
      </w:r>
      <w:r>
        <w:rPr>
          <w:rStyle w:val="FunctionTok"/>
        </w:rPr>
        <w:t xml:space="preserve">subset_samples</w:t>
      </w:r>
      <w:r>
        <w:rPr>
          <w:rStyle w:val="NormalTok"/>
        </w:rPr>
        <w:t xml:space="preserve">(miso_counts, age </w:t>
      </w:r>
      <w:r>
        <w:rPr>
          <w:rStyle w:val="SpecialCharTok"/>
        </w:rPr>
        <w:t xml:space="preserve">&gt;=</w:t>
      </w:r>
      <w:r>
        <w:rPr>
          <w:rStyle w:val="NormalTok"/>
        </w:rPr>
        <w:t xml:space="preserve"> </w:t>
      </w:r>
      <w:r>
        <w:rPr>
          <w:rStyle w:val="DecValTok"/>
        </w:rPr>
        <w:t xml:space="preserve">50</w:t>
      </w:r>
      <w:r>
        <w:rPr>
          <w:rStyle w:val="NormalTok"/>
        </w:rPr>
        <w:t xml:space="preserve">) </w:t>
      </w:r>
      <w:r>
        <w:br/>
      </w:r>
      <w:r>
        <w:br/>
      </w:r>
      <w:r>
        <w:rPr>
          <w:rStyle w:val="CommentTok"/>
        </w:rPr>
        <w:t xml:space="preserve"># STEP 2: Convert the phyloseq object to a DESeq2 object and specify experimental design</w:t>
      </w:r>
      <w:r>
        <w:br/>
      </w:r>
      <w:r>
        <w:rPr>
          <w:rStyle w:val="NormalTok"/>
        </w:rPr>
        <w:t xml:space="preserve">DESeq2 </w:t>
      </w:r>
      <w:r>
        <w:rPr>
          <w:rStyle w:val="OtherTok"/>
        </w:rPr>
        <w:t xml:space="preserve">&lt;-</w:t>
      </w:r>
      <w:r>
        <w:rPr>
          <w:rStyle w:val="NormalTok"/>
        </w:rPr>
        <w:t xml:space="preserve"> </w:t>
      </w:r>
      <w:r>
        <w:rPr>
          <w:rStyle w:val="FunctionTok"/>
        </w:rPr>
        <w:t xml:space="preserve">phyloseq_to_deseq2</w:t>
      </w:r>
      <w:r>
        <w:rPr>
          <w:rStyle w:val="NormalTok"/>
        </w:rPr>
        <w:t xml:space="preserve">(ageB, </w:t>
      </w:r>
      <w:r>
        <w:rPr>
          <w:rStyle w:val="AttributeTok"/>
        </w:rPr>
        <w:t xml:space="preserve">design =</w:t>
      </w:r>
      <w:r>
        <w:rPr>
          <w:rStyle w:val="NormalTok"/>
        </w:rPr>
        <w:t xml:space="preserve"> </w:t>
      </w:r>
      <w:r>
        <w:rPr>
          <w:rStyle w:val="SpecialCharTok"/>
        </w:rPr>
        <w:t xml:space="preserve">~</w:t>
      </w:r>
      <w:r>
        <w:rPr>
          <w:rStyle w:val="NormalTok"/>
        </w:rPr>
        <w:t xml:space="preserve"> fill </w:t>
      </w:r>
      <w:r>
        <w:rPr>
          <w:rStyle w:val="ControlFlowTok"/>
        </w:rPr>
        <w:t xml:space="preserve">in</w:t>
      </w:r>
      <w:r>
        <w:rPr>
          <w:rStyle w:val="NormalTok"/>
        </w:rPr>
        <w:t xml:space="preserve"> the blank)</w:t>
      </w:r>
      <w:r>
        <w:br/>
      </w:r>
      <w:r>
        <w:br/>
      </w:r>
      <w:r>
        <w:rPr>
          <w:rStyle w:val="CommentTok"/>
        </w:rPr>
        <w:t xml:space="preserve"># STEP 3: Select the groups to compare, where log2FoldChange reported will correspond to  y/x.</w:t>
      </w:r>
      <w:r>
        <w:br/>
      </w:r>
      <w:r>
        <w:rPr>
          <w:rStyle w:val="NormalTok"/>
        </w:rPr>
        <w:t xml:space="preserve">my_comparison </w:t>
      </w:r>
      <w:r>
        <w:rPr>
          <w:rStyle w:val="OtherTok"/>
        </w:rPr>
        <w:t xml:space="preserve">&lt;-</w:t>
      </w:r>
      <w:r>
        <w:rPr>
          <w:rStyle w:val="FunctionTok"/>
        </w:rPr>
        <w:t xml:space="preserve">c</w:t>
      </w:r>
      <w:r>
        <w:rPr>
          <w:rStyle w:val="NormalTok"/>
        </w:rPr>
        <w:t xml:space="preserve">(</w:t>
      </w:r>
      <w:r>
        <w:rPr>
          <w:rStyle w:val="StringTok"/>
        </w:rPr>
        <w:t xml:space="preserve">"gender"</w:t>
      </w:r>
      <w:r>
        <w:rPr>
          <w:rStyle w:val="NormalTok"/>
        </w:rPr>
        <w:t xml:space="preserve">, </w:t>
      </w:r>
      <w:r>
        <w:rPr>
          <w:rStyle w:val="StringTok"/>
        </w:rPr>
        <w:t xml:space="preserve">"fill in the blank"</w:t>
      </w:r>
      <w:r>
        <w:rPr>
          <w:rStyle w:val="NormalTok"/>
        </w:rPr>
        <w:t xml:space="preserve">, </w:t>
      </w:r>
      <w:r>
        <w:rPr>
          <w:rStyle w:val="StringTok"/>
        </w:rPr>
        <w:t xml:space="preserve">"fill in the blank"</w:t>
      </w:r>
      <w:r>
        <w:rPr>
          <w:rStyle w:val="NormalTok"/>
        </w:rPr>
        <w:t xml:space="preserve">)</w:t>
      </w:r>
      <w:r>
        <w:br/>
      </w:r>
      <w:r>
        <w:br/>
      </w:r>
      <w:r>
        <w:rPr>
          <w:rStyle w:val="CommentTok"/>
        </w:rPr>
        <w:t xml:space="preserve"># STEP 4: Run the differential abundance analysis </w:t>
      </w:r>
      <w:r>
        <w:br/>
      </w:r>
      <w:r>
        <w:rPr>
          <w:rStyle w:val="NormalTok"/>
        </w:rPr>
        <w:t xml:space="preserve">Significant_DEseq2_ASVs</w:t>
      </w:r>
      <w:r>
        <w:rPr>
          <w:rStyle w:val="OtherTok"/>
        </w:rPr>
        <w:t xml:space="preserve">&lt;-</w:t>
      </w:r>
      <w:r>
        <w:rPr>
          <w:rStyle w:val="FunctionTok"/>
        </w:rPr>
        <w:t xml:space="preserve">Differential_Abundance</w:t>
      </w:r>
      <w:r>
        <w:rPr>
          <w:rStyle w:val="NormalTok"/>
        </w:rPr>
        <w:t xml:space="preserve">(miso_counts, DESeq2, my_comparison, </w:t>
      </w:r>
      <w:r>
        <w:rPr>
          <w:rStyle w:val="FloatTok"/>
        </w:rPr>
        <w:t xml:space="preserve">0.05</w:t>
      </w:r>
      <w:r>
        <w:rPr>
          <w:rStyle w:val="NormalTok"/>
        </w:rPr>
        <w:t xml:space="preserve">)</w:t>
      </w:r>
      <w:r>
        <w:br/>
      </w:r>
      <w:r>
        <w:br/>
      </w:r>
      <w:r>
        <w:rPr>
          <w:rStyle w:val="CommentTok"/>
        </w:rPr>
        <w:t xml:space="preserve"># STEP 5: Retrieve the list of ASVs with a significant difference in abundance between the chosen groups</w:t>
      </w:r>
      <w:r>
        <w:br/>
      </w:r>
      <w:r>
        <w:rPr>
          <w:rStyle w:val="NormalTok"/>
        </w:rPr>
        <w:t xml:space="preserve">Significant_DEseq2_ASVs</w:t>
      </w:r>
      <w:r>
        <w:br/>
      </w:r>
      <w:r>
        <w:br/>
      </w:r>
      <w:r>
        <w:rPr>
          <w:rStyle w:val="CommentTok"/>
        </w:rPr>
        <w:t xml:space="preserve"># STEP 6: Plot the results with your chosen x axis and legend</w:t>
      </w:r>
      <w:r>
        <w:br/>
      </w:r>
      <w:r>
        <w:rPr>
          <w:rStyle w:val="FunctionTok"/>
        </w:rPr>
        <w:t xml:space="preserve">ggplot</w:t>
      </w:r>
      <w:r>
        <w:rPr>
          <w:rStyle w:val="NormalTok"/>
        </w:rPr>
        <w:t xml:space="preserve">(Significant_DEseq2_ASVs, </w:t>
      </w:r>
      <w:r>
        <w:rPr>
          <w:rStyle w:val="FunctionTok"/>
        </w:rPr>
        <w:t xml:space="preserve">aes</w:t>
      </w:r>
      <w:r>
        <w:rPr>
          <w:rStyle w:val="NormalTok"/>
        </w:rPr>
        <w:t xml:space="preserve">(</w:t>
      </w:r>
      <w:r>
        <w:rPr>
          <w:rStyle w:val="AttributeTok"/>
        </w:rPr>
        <w:t xml:space="preserve">x =</w:t>
      </w:r>
      <w:r>
        <w:rPr>
          <w:rStyle w:val="NormalTok"/>
        </w:rPr>
        <w:t xml:space="preserve"> fill </w:t>
      </w:r>
      <w:r>
        <w:rPr>
          <w:rStyle w:val="ControlFlowTok"/>
        </w:rPr>
        <w:t xml:space="preserve">in</w:t>
      </w:r>
      <w:r>
        <w:rPr>
          <w:rStyle w:val="NormalTok"/>
        </w:rPr>
        <w:t xml:space="preserve"> the blank, </w:t>
      </w:r>
      <w:r>
        <w:rPr>
          <w:rStyle w:val="AttributeTok"/>
        </w:rPr>
        <w:t xml:space="preserve">y=</w:t>
      </w:r>
      <w:r>
        <w:rPr>
          <w:rStyle w:val="NormalTok"/>
        </w:rPr>
        <w:t xml:space="preserve">log2FoldChange, </w:t>
      </w:r>
      <w:r>
        <w:rPr>
          <w:rStyle w:val="AttributeTok"/>
        </w:rPr>
        <w:t xml:space="preserve">color=</w:t>
      </w:r>
      <w:r>
        <w:rPr>
          <w:rStyle w:val="NormalTok"/>
        </w:rPr>
        <w:t xml:space="preserve"> fill </w:t>
      </w:r>
      <w:r>
        <w:rPr>
          <w:rStyle w:val="ControlFlowTok"/>
        </w:rPr>
        <w:t xml:space="preserve">in</w:t>
      </w:r>
      <w:r>
        <w:rPr>
          <w:rStyle w:val="NormalTok"/>
        </w:rPr>
        <w:t xml:space="preserve"> the blank))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4</w:t>
      </w:r>
      <w:r>
        <w:rPr>
          <w:rStyle w:val="NormalTok"/>
        </w:rPr>
        <w:t xml:space="preserve">, </w:t>
      </w:r>
      <w:r>
        <w:rPr>
          <w:rStyle w:val="AttributeTok"/>
        </w:rPr>
        <w:t xml:space="preserve">position =</w:t>
      </w:r>
      <w:r>
        <w:rPr>
          <w:rStyle w:val="NormalTok"/>
        </w:rPr>
        <w:t xml:space="preserve"> </w:t>
      </w:r>
      <w:r>
        <w:rPr>
          <w:rStyle w:val="StringTok"/>
        </w:rPr>
        <w:t xml:space="preserve">"jitter"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vjust=</w:t>
      </w:r>
      <w:r>
        <w:rPr>
          <w:rStyle w:val="FloatTok"/>
        </w:rPr>
        <w:t xml:space="preserve">0.5</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3C-1. Insert the resulting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3C-2. How many differentially abundant ASVs were identified? This is the number of rows in the result table.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3C-3. Compared to the overall dataset, do older individuals have more or less differentially abundant microbes between genders?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3C-4. Compare all the plots you have made. Give a specific example of one difference you see.</w:t>
            </w:r>
          </w:p>
        </w:tc>
      </w:tr>
      <w:tr>
        <w:tc>
          <w:tcPr/>
          <w:p>
            <w:pPr>
              <w:pStyle w:val="Compact"/>
              <w:jc w:val="left"/>
            </w:pPr>
          </w:p>
        </w:tc>
      </w:tr>
    </w:tbl>
    <w:bookmarkEnd w:id="287"/>
    <w:bookmarkStart w:id="290" w:name="footnotes-15"/>
    <w:p>
      <w:pPr>
        <w:pStyle w:val="Heading3"/>
      </w:pPr>
      <w:r>
        <w:rPr>
          <w:rStyle w:val="SectionNumber"/>
        </w:rPr>
        <w:t xml:space="preserve">5.6.4</w:t>
      </w:r>
      <w:r>
        <w:tab/>
      </w:r>
      <w:r>
        <w:t xml:space="preserve">Footnotes</w:t>
      </w:r>
    </w:p>
    <w:bookmarkStart w:id="288" w:name="resources-19"/>
    <w:p>
      <w:pPr>
        <w:pStyle w:val="Heading4"/>
      </w:pPr>
      <w:r>
        <w:rPr>
          <w:rStyle w:val="SectionNumber"/>
        </w:rPr>
        <w:t xml:space="preserve">5.6.4.1</w:t>
      </w:r>
      <w:r>
        <w:tab/>
      </w:r>
      <w:r>
        <w:t xml:space="preserve">Resources</w:t>
      </w:r>
    </w:p>
    <w:p>
      <w:pPr>
        <w:numPr>
          <w:ilvl w:val="0"/>
          <w:numId w:val="1163"/>
        </w:numPr>
        <w:pStyle w:val="Compact"/>
      </w:pPr>
      <w:hyperlink r:id="rId263">
        <w:r>
          <w:rPr>
            <w:rStyle w:val="Hyperlink"/>
          </w:rPr>
          <w:t xml:space="preserve">Google Doc</w:t>
        </w:r>
      </w:hyperlink>
    </w:p>
    <w:p>
      <w:pPr>
        <w:numPr>
          <w:ilvl w:val="0"/>
          <w:numId w:val="1163"/>
        </w:numPr>
        <w:pStyle w:val="Compact"/>
      </w:pPr>
      <w:hyperlink r:id="rId206">
        <w:r>
          <w:rPr>
            <w:rStyle w:val="Hyperlink"/>
          </w:rPr>
          <w:t xml:space="preserve">16S rRNA R Quick Reference</w:t>
        </w:r>
      </w:hyperlink>
    </w:p>
    <w:bookmarkEnd w:id="288"/>
    <w:bookmarkStart w:id="289" w:name="contributions-and-affiliations-15"/>
    <w:p>
      <w:pPr>
        <w:pStyle w:val="Heading4"/>
      </w:pPr>
      <w:r>
        <w:rPr>
          <w:rStyle w:val="SectionNumber"/>
        </w:rPr>
        <w:t xml:space="preserve">5.6.4.2</w:t>
      </w:r>
      <w:r>
        <w:tab/>
      </w:r>
      <w:r>
        <w:t xml:space="preserve">Contributions and affiliations</w:t>
      </w:r>
    </w:p>
    <w:p>
      <w:pPr>
        <w:numPr>
          <w:ilvl w:val="0"/>
          <w:numId w:val="1164"/>
        </w:numPr>
        <w:pStyle w:val="Compact"/>
      </w:pPr>
      <w:r>
        <w:t xml:space="preserve">Valeriya Gaysinskaya, Johns Hopkins University</w:t>
      </w:r>
    </w:p>
    <w:p>
      <w:pPr>
        <w:numPr>
          <w:ilvl w:val="0"/>
          <w:numId w:val="1164"/>
        </w:numPr>
        <w:pStyle w:val="Compact"/>
      </w:pPr>
      <w:r>
        <w:t xml:space="preserve">Gauri Paul, Clovis Community College</w:t>
      </w:r>
    </w:p>
    <w:p>
      <w:pPr>
        <w:numPr>
          <w:ilvl w:val="0"/>
          <w:numId w:val="1164"/>
        </w:numPr>
        <w:pStyle w:val="Compact"/>
      </w:pPr>
      <w:r>
        <w:t xml:space="preserve">Frederick Tan, Johns Hopkins University</w:t>
      </w:r>
    </w:p>
    <w:p>
      <w:pPr>
        <w:numPr>
          <w:ilvl w:val="0"/>
          <w:numId w:val="1164"/>
        </w:numPr>
        <w:pStyle w:val="Compact"/>
      </w:pPr>
      <w:r>
        <w:t xml:space="preserve">Sayumi York, Notre Dame of Maryland University</w:t>
      </w:r>
    </w:p>
    <w:bookmarkEnd w:id="289"/>
    <w:bookmarkEnd w:id="290"/>
    <w:bookmarkEnd w:id="291"/>
    <w:bookmarkStart w:id="298" w:name="Xbd8ed9e9a2215cd9ac6e2de069ef19be9b89492"/>
    <w:p>
      <w:pPr>
        <w:pStyle w:val="Heading2"/>
      </w:pPr>
      <w:r>
        <w:rPr>
          <w:rStyle w:val="SectionNumber"/>
        </w:rPr>
        <w:t xml:space="preserve">5.7</w:t>
      </w:r>
      <w:r>
        <w:tab/>
      </w:r>
      <w:r>
        <w:t xml:space="preserve">Try it Question 4 - Is there an interaction between diet and age and the microbiome</w:t>
      </w:r>
    </w:p>
    <w:p>
      <w:pPr>
        <w:pStyle w:val="FirstParagraph"/>
      </w:pPr>
      <w:r>
        <w:t xml:space="preserve">Variables and conditions can interact with each other in complex ways. Here we will try to tease apart the relationship between the gut microbiome, diet, and age. What does an interaction look like? In this example, we’re looking at whether or not a change in diet affects people of different ages in different ways. We might imagine for example that a young person’s gut is more resilient to change than an older person’s or vice versa. Changes at one age group may be different in the other.</w:t>
      </w:r>
    </w:p>
    <w:p>
      <w:pPr>
        <w:pStyle w:val="BodyText"/>
      </w:pPr>
      <w:r>
        <w:t xml:space="preserve">Approach: Use alpha diversity measure and DESeq2 tools to answer this question. Using alpha diversity, determine if there is an interaction between diet and age. Then use DESeq2 to see if any ASVs are associated with changes in die-age interaction. Using Simpson alpha diversity measure (or specifically, Gini-Simpson) evaluate how microbial diversity changes with age and diet in general, or age and BD, HD and WO diet specifically. Remember, shifts in alpha diversity measure suggest a shift in microbial diversity, with high alpha diversity suggesting high microbial diversity. Then, use DESeq2 to evaluate if ageing changes ASVs associated with diet.</w:t>
      </w:r>
    </w:p>
    <w:p>
      <w:pPr>
        <w:pStyle w:val="BodyText"/>
      </w:pPr>
      <w:r>
        <w:t xml:space="preserve">Note, when plotting this data you may get a warning below. That is ok!</w:t>
      </w:r>
    </w:p>
    <w:p>
      <w:pPr>
        <w:pStyle w:val="SourceCode"/>
      </w:pPr>
      <w:r>
        <w:rPr>
          <w:rStyle w:val="NormalTok"/>
        </w:rPr>
        <w:t xml:space="preserve">Warning</w:t>
      </w:r>
      <w:r>
        <w:rPr>
          <w:rStyle w:val="SpecialCharTok"/>
        </w:rPr>
        <w:t xml:space="preserve">:</w:t>
      </w:r>
      <w:r>
        <w:rPr>
          <w:rStyle w:val="NormalTok"/>
        </w:rPr>
        <w:t xml:space="preserve"> The data you have provided does not have any singletons. This is highly suspicious. Results of richness </w:t>
      </w:r>
      <w:r>
        <w:rPr>
          <w:rStyle w:val="FunctionTok"/>
        </w:rPr>
        <w:t xml:space="preserve">estimates</w:t>
      </w:r>
      <w:r>
        <w:rPr>
          <w:rStyle w:val="NormalTok"/>
        </w:rPr>
        <w:t xml:space="preserve"> (</w:t>
      </w:r>
      <w:r>
        <w:rPr>
          <w:rStyle w:val="ControlFlowTok"/>
        </w:rPr>
        <w:t xml:space="preserve">for</w:t>
      </w:r>
      <w:r>
        <w:rPr>
          <w:rStyle w:val="NormalTok"/>
        </w:rPr>
        <w:t xml:space="preserve"> example) are probably unreliable, or wrong, </w:t>
      </w:r>
      <w:r>
        <w:rPr>
          <w:rStyle w:val="ControlFlowTok"/>
        </w:rPr>
        <w:t xml:space="preserve">if</w:t>
      </w:r>
      <w:r>
        <w:rPr>
          <w:rStyle w:val="NormalTok"/>
        </w:rPr>
        <w:t xml:space="preserve"> you have already trimmed low</w:t>
      </w:r>
      <w:r>
        <w:rPr>
          <w:rStyle w:val="SpecialCharTok"/>
        </w:rPr>
        <w:t xml:space="preserve">-</w:t>
      </w:r>
      <w:r>
        <w:rPr>
          <w:rStyle w:val="NormalTok"/>
        </w:rPr>
        <w:t xml:space="preserve">abundance taxa from the data.We recommended that you find the un</w:t>
      </w:r>
      <w:r>
        <w:rPr>
          <w:rStyle w:val="SpecialCharTok"/>
        </w:rPr>
        <w:t xml:space="preserve">-</w:t>
      </w:r>
      <w:r>
        <w:rPr>
          <w:rStyle w:val="NormalTok"/>
        </w:rPr>
        <w:t xml:space="preserve">trimmed data and retry.</w:t>
      </w:r>
    </w:p>
    <w:p>
      <w:pPr>
        <w:numPr>
          <w:ilvl w:val="0"/>
          <w:numId w:val="1165"/>
        </w:numPr>
        <w:pStyle w:val="Compact"/>
      </w:pPr>
      <w:r>
        <w:t xml:space="preserve">Refer to the</w:t>
      </w:r>
      <w:r>
        <w:t xml:space="preserve"> </w:t>
      </w:r>
      <w:r>
        <w:t xml:space="preserve">“</w:t>
      </w:r>
      <w:r>
        <w:t xml:space="preserve">alpha diversity</w:t>
      </w:r>
      <w:r>
        <w:t xml:space="preserve">”</w:t>
      </w:r>
      <w:r>
        <w:t xml:space="preserve"> </w:t>
      </w:r>
      <w:r>
        <w:t xml:space="preserve">section of the</w:t>
      </w:r>
      <w:r>
        <w:t xml:space="preserve"> </w:t>
      </w:r>
      <w:r>
        <w:t xml:space="preserve">“</w:t>
      </w:r>
      <w:r>
        <w:t xml:space="preserve">Analyze 16S rRNA Data with phyloseq</w:t>
      </w:r>
      <w:r>
        <w:t xml:space="preserve">”</w:t>
      </w:r>
      <w:r>
        <w:t xml:space="preserve"> </w:t>
      </w:r>
      <w:r>
        <w:t xml:space="preserve">tutorial for help using the plot_richness() function.</w:t>
      </w:r>
    </w:p>
    <w:bookmarkStart w:id="292" w:name="Xecef1bd61b4608eb484bedd06a6aa9d1243b13f"/>
    <w:p>
      <w:pPr>
        <w:pStyle w:val="Heading3"/>
      </w:pPr>
      <w:r>
        <w:rPr>
          <w:rStyle w:val="SectionNumber"/>
        </w:rPr>
        <w:t xml:space="preserve">5.7.1</w:t>
      </w:r>
      <w:r>
        <w:tab/>
      </w:r>
      <w:r>
        <w:t xml:space="preserve">Step 1. Plot alpha diversity based on age for all dietary groups, and then for BD, HD and WO.</w:t>
      </w:r>
    </w:p>
    <w:p>
      <w:pPr>
        <w:pStyle w:val="FirstParagraph"/>
      </w:pPr>
      <w:r>
        <w:rPr>
          <w:bCs/>
          <w:b/>
        </w:rPr>
        <w:t xml:space="preserve">Step 1A. Plot alpha diversity based on age for all dietary groups, and then for BD, HD and WO.</w:t>
      </w:r>
    </w:p>
    <w:p>
      <w:pPr>
        <w:pStyle w:val="BodyText"/>
      </w:pPr>
      <w:r>
        <w:t xml:space="preserve">Plot alpha diversity based on age for all dietary groups.**</w:t>
      </w:r>
    </w:p>
    <w:p>
      <w:pPr>
        <w:numPr>
          <w:ilvl w:val="0"/>
          <w:numId w:val="1166"/>
        </w:numPr>
        <w:pStyle w:val="Compact"/>
      </w:pPr>
      <w:r>
        <w:t xml:space="preserve">Subset data - None</w:t>
      </w:r>
    </w:p>
    <w:p>
      <w:pPr>
        <w:numPr>
          <w:ilvl w:val="0"/>
          <w:numId w:val="1166"/>
        </w:numPr>
        <w:pStyle w:val="Compact"/>
      </w:pPr>
      <w:r>
        <w:t xml:space="preserve">age is on the x-axis</w:t>
      </w:r>
    </w:p>
    <w:p>
      <w:pPr>
        <w:numPr>
          <w:ilvl w:val="0"/>
          <w:numId w:val="1166"/>
        </w:numPr>
        <w:pStyle w:val="Compact"/>
      </w:pPr>
      <w:r>
        <w:t xml:space="preserve">Color is by subject</w:t>
      </w:r>
    </w:p>
    <w:p>
      <w:pPr>
        <w:numPr>
          <w:ilvl w:val="0"/>
          <w:numId w:val="1166"/>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w:t>
      </w:r>
      <w:r>
        <w:rPr>
          <w:rStyle w:val="NormalTok"/>
        </w:rPr>
        <w:t xml:space="preserve">,</w:t>
      </w:r>
      <w:r>
        <w:br/>
      </w:r>
      <w:r>
        <w:rPr>
          <w:rStyle w:val="NormalTok"/>
        </w:rPr>
        <w:t xml:space="preserve">            </w:t>
      </w:r>
      <w:r>
        <w:rPr>
          <w:rStyle w:val="AttributeTok"/>
        </w:rPr>
        <w:t xml:space="preserve">color=</w:t>
      </w:r>
      <w:r>
        <w:rPr>
          <w:rStyle w:val="StringTok"/>
        </w:rPr>
        <w:t xml:space="preserve">"fill in the blank"</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"miso"</w:t>
      </w:r>
      <w:r>
        <w:rPr>
          <w:rStyle w:val="NormalTok"/>
        </w:rPr>
        <w:t xml:space="preserve">,</w:t>
      </w:r>
      <w:r>
        <w:br/>
      </w:r>
      <w:r>
        <w:rPr>
          <w:rStyle w:val="NormalTok"/>
        </w:rPr>
        <w:t xml:space="preserve">            </w:t>
      </w:r>
      <w:r>
        <w:rPr>
          <w:rStyle w:val="AttributeTok"/>
        </w:rPr>
        <w:t xml:space="preserve">measures=</w:t>
      </w:r>
      <w:r>
        <w:rPr>
          <w:rStyle w:val="NormalTok"/>
        </w:rPr>
        <w:t xml:space="preserve"> </w:t>
      </w:r>
      <w:r>
        <w:rPr>
          <w:rStyle w:val="FunctionTok"/>
        </w:rPr>
        <w:t xml:space="preserve">c</w:t>
      </w:r>
      <w:r>
        <w:rPr>
          <w:rStyle w:val="NormalTok"/>
        </w:rPr>
        <w:t xml:space="preserve">(</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1A-2. Does alpha diversity change in value with increasing age (overall alpha diversity measure) ?</w:t>
            </w:r>
            <w:r>
              <w:rPr>
                <w:bCs/>
                <w:b/>
              </w:rPr>
              <w:t xml:space="preserve"> </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1A-3. Does alpha diversity grow more varied between individuals with increasing age (are points less clustered with increasing age) ?</w:t>
            </w:r>
          </w:p>
        </w:tc>
      </w:tr>
      <w:tr>
        <w:tc>
          <w:tcPr/>
          <w:p>
            <w:pPr>
              <w:pStyle w:val="Compact"/>
              <w:jc w:val="left"/>
            </w:pPr>
          </w:p>
        </w:tc>
      </w:tr>
    </w:tbl>
    <w:p>
      <w:pPr>
        <w:pStyle w:val="BodyText"/>
      </w:pPr>
      <w:r>
        <w:rPr>
          <w:bCs/>
          <w:b/>
        </w:rPr>
        <w:t xml:space="preserve">Step 1B. Plot alpha diversity based on age for BD diet only.</w:t>
      </w:r>
    </w:p>
    <w:p>
      <w:pPr>
        <w:pStyle w:val="BodyText"/>
      </w:pPr>
      <w:r>
        <w:t xml:space="preserve">Plot alpha diversity based on age for BD diet only.</w:t>
      </w:r>
    </w:p>
    <w:p>
      <w:pPr>
        <w:numPr>
          <w:ilvl w:val="0"/>
          <w:numId w:val="1167"/>
        </w:numPr>
        <w:pStyle w:val="Compact"/>
      </w:pPr>
      <w:r>
        <w:t xml:space="preserve">Subset data - diet BD</w:t>
      </w:r>
    </w:p>
    <w:p>
      <w:pPr>
        <w:numPr>
          <w:ilvl w:val="0"/>
          <w:numId w:val="1167"/>
        </w:numPr>
        <w:pStyle w:val="Compact"/>
      </w:pPr>
      <w:r>
        <w:t xml:space="preserve">age is on the x-axis</w:t>
      </w:r>
    </w:p>
    <w:p>
      <w:pPr>
        <w:numPr>
          <w:ilvl w:val="0"/>
          <w:numId w:val="1167"/>
        </w:numPr>
        <w:pStyle w:val="Compact"/>
      </w:pPr>
      <w:r>
        <w:t xml:space="preserve">Color is by subject</w:t>
      </w:r>
    </w:p>
    <w:p>
      <w:pPr>
        <w:numPr>
          <w:ilvl w:val="0"/>
          <w:numId w:val="1167"/>
        </w:numPr>
        <w:pStyle w:val="Compact"/>
      </w:pPr>
      <w:r>
        <w:t xml:space="preserve">Use the following code as a template:</w:t>
      </w:r>
    </w:p>
    <w:p>
      <w:pPr>
        <w:pStyle w:val="SourceCode"/>
      </w:pPr>
      <w:r>
        <w:rPr>
          <w:rStyle w:val="CommentTok"/>
        </w:rPr>
        <w:t xml:space="preserve"># Subset only BD samples</w:t>
      </w:r>
      <w:r>
        <w:br/>
      </w:r>
      <w:r>
        <w:rPr>
          <w:rStyle w:val="NormalTok"/>
        </w:rPr>
        <w:t xml:space="preserve">miso_counts_BD </w:t>
      </w:r>
      <w:r>
        <w:rPr>
          <w:rStyle w:val="OtherTok"/>
        </w:rPr>
        <w:t xml:space="preserve">=</w:t>
      </w:r>
      <w:r>
        <w:rPr>
          <w:rStyle w:val="NormalTok"/>
        </w:rPr>
        <w:t xml:space="preserve"> </w:t>
      </w:r>
      <w:r>
        <w:rPr>
          <w:rStyle w:val="FunctionTok"/>
        </w:rPr>
        <w:t xml:space="preserve">subset_samples</w:t>
      </w:r>
      <w:r>
        <w:rPr>
          <w:rStyle w:val="NormalTok"/>
        </w:rPr>
        <w:t xml:space="preserve">(miso_counts, diet </w:t>
      </w:r>
      <w:r>
        <w:rPr>
          <w:rStyle w:val="SpecialCharTok"/>
        </w:rPr>
        <w:t xml:space="preserve">==</w:t>
      </w:r>
      <w:r>
        <w:rPr>
          <w:rStyle w:val="NormalTok"/>
        </w:rPr>
        <w:t xml:space="preserve"> </w:t>
      </w:r>
      <w:r>
        <w:rPr>
          <w:rStyle w:val="StringTok"/>
        </w:rPr>
        <w:t xml:space="preserve">"BD"</w:t>
      </w:r>
      <w:r>
        <w:rPr>
          <w:rStyle w:val="NormalTok"/>
        </w:rPr>
        <w:t xml:space="preserve">)</w:t>
      </w:r>
      <w:r>
        <w:br/>
      </w:r>
      <w:r>
        <w:br/>
      </w:r>
      <w:r>
        <w:rPr>
          <w:rStyle w:val="FunctionTok"/>
        </w:rPr>
        <w:t xml:space="preserve">plot_richness</w:t>
      </w:r>
      <w:r>
        <w:rPr>
          <w:rStyle w:val="NormalTok"/>
        </w:rPr>
        <w:t xml:space="preserve">(miso_counts_BD, </w:t>
      </w:r>
      <w:r>
        <w:rPr>
          <w:rStyle w:val="AttributeTok"/>
        </w:rPr>
        <w:t xml:space="preserve">x=</w:t>
      </w:r>
      <w:r>
        <w:rPr>
          <w:rStyle w:val="StringTok"/>
        </w:rPr>
        <w:t xml:space="preserve">"fill in the blank"</w:t>
      </w:r>
      <w:r>
        <w:rPr>
          <w:rStyle w:val="NormalTok"/>
        </w:rPr>
        <w:t xml:space="preserve">,</w:t>
      </w:r>
      <w:r>
        <w:br/>
      </w:r>
      <w:r>
        <w:rPr>
          <w:rStyle w:val="NormalTok"/>
        </w:rPr>
        <w:t xml:space="preserve">            </w:t>
      </w:r>
      <w:r>
        <w:rPr>
          <w:rStyle w:val="AttributeTok"/>
        </w:rPr>
        <w:t xml:space="preserve">color=</w:t>
      </w:r>
      <w:r>
        <w:rPr>
          <w:rStyle w:val="StringTok"/>
        </w:rPr>
        <w:t xml:space="preserve">"fill in the blank"</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w:t>
      </w:r>
      <w:r>
        <w:br/>
      </w:r>
      <w:r>
        <w:rPr>
          <w:rStyle w:val="NormalTok"/>
        </w:rPr>
        <w:t xml:space="preserve">            </w:t>
      </w:r>
      <w:r>
        <w:rPr>
          <w:rStyle w:val="AttributeTok"/>
        </w:rPr>
        <w:t xml:space="preserve">measures=</w:t>
      </w:r>
      <w:r>
        <w:rPr>
          <w:rStyle w:val="NormalTok"/>
        </w:rPr>
        <w:t xml:space="preserve"> </w:t>
      </w:r>
      <w:r>
        <w:rPr>
          <w:rStyle w:val="FunctionTok"/>
        </w:rPr>
        <w:t xml:space="preserve">c</w:t>
      </w:r>
      <w:r>
        <w:rPr>
          <w:rStyle w:val="NormalTok"/>
        </w:rPr>
        <w:t xml:space="preserve">(</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1B-2.Paste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1B-2. Did the relationship between age and alpha diversity change when only looking at the BD diet data points? Explain your answer by describing the trend or lack thereof in the graph.</w:t>
            </w:r>
            <w:r>
              <w:rPr>
                <w:bCs/>
                <w:b/>
              </w:rPr>
              <w:t xml:space="preserve"> </w:t>
            </w:r>
          </w:p>
        </w:tc>
      </w:tr>
      <w:tr>
        <w:tc>
          <w:tcPr/>
          <w:p>
            <w:pPr>
              <w:pStyle w:val="Compact"/>
              <w:jc w:val="left"/>
            </w:pPr>
          </w:p>
        </w:tc>
      </w:tr>
    </w:tbl>
    <w:p>
      <w:pPr>
        <w:pStyle w:val="BodyText"/>
      </w:pPr>
      <w:r>
        <w:rPr>
          <w:bCs/>
          <w:b/>
        </w:rPr>
        <w:t xml:space="preserve">Step 1C. Plot alpha diversity based on age for HD diet only.</w:t>
      </w:r>
    </w:p>
    <w:p>
      <w:pPr>
        <w:numPr>
          <w:ilvl w:val="0"/>
          <w:numId w:val="1168"/>
        </w:numPr>
        <w:pStyle w:val="Compact"/>
      </w:pPr>
      <w:r>
        <w:t xml:space="preserve">Subset data - diet HD</w:t>
      </w:r>
    </w:p>
    <w:p>
      <w:pPr>
        <w:numPr>
          <w:ilvl w:val="0"/>
          <w:numId w:val="1168"/>
        </w:numPr>
        <w:pStyle w:val="Compact"/>
      </w:pPr>
      <w:r>
        <w:t xml:space="preserve">age is on the x-axis</w:t>
      </w:r>
    </w:p>
    <w:p>
      <w:pPr>
        <w:numPr>
          <w:ilvl w:val="0"/>
          <w:numId w:val="1168"/>
        </w:numPr>
        <w:pStyle w:val="Compact"/>
      </w:pPr>
      <w:r>
        <w:t xml:space="preserve">Color is by subject</w:t>
      </w:r>
    </w:p>
    <w:p>
      <w:pPr>
        <w:numPr>
          <w:ilvl w:val="0"/>
          <w:numId w:val="1168"/>
        </w:numPr>
        <w:pStyle w:val="Compact"/>
      </w:pPr>
      <w:r>
        <w:t xml:space="preserve">Use the following code as a template:</w:t>
      </w:r>
    </w:p>
    <w:p>
      <w:pPr>
        <w:pStyle w:val="SourceCode"/>
      </w:pPr>
      <w:r>
        <w:rPr>
          <w:rStyle w:val="CommentTok"/>
        </w:rPr>
        <w:t xml:space="preserve">#Step1: Subset data for HD only</w:t>
      </w:r>
      <w:r>
        <w:br/>
      </w:r>
      <w:r>
        <w:rPr>
          <w:rStyle w:val="NormalTok"/>
        </w:rPr>
        <w:t xml:space="preserve">miso_counts_HD </w:t>
      </w:r>
      <w:r>
        <w:rPr>
          <w:rStyle w:val="OtherTok"/>
        </w:rPr>
        <w:t xml:space="preserve">=</w:t>
      </w:r>
      <w:r>
        <w:rPr>
          <w:rStyle w:val="NormalTok"/>
        </w:rPr>
        <w:t xml:space="preserve"> </w:t>
      </w:r>
      <w:r>
        <w:rPr>
          <w:rStyle w:val="FunctionTok"/>
        </w:rPr>
        <w:t xml:space="preserve">subset_samples</w:t>
      </w:r>
      <w:r>
        <w:rPr>
          <w:rStyle w:val="NormalTok"/>
        </w:rPr>
        <w:t xml:space="preserve">(miso_counts, diet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br/>
      </w:r>
      <w:r>
        <w:rPr>
          <w:rStyle w:val="FunctionTok"/>
        </w:rPr>
        <w:t xml:space="preserve">plot_richness</w:t>
      </w:r>
      <w:r>
        <w:rPr>
          <w:rStyle w:val="NormalTok"/>
        </w:rPr>
        <w:t xml:space="preserve">(miso_counts_HD, </w:t>
      </w:r>
      <w:r>
        <w:rPr>
          <w:rStyle w:val="AttributeTok"/>
        </w:rPr>
        <w:t xml:space="preserve">x=</w:t>
      </w:r>
      <w:r>
        <w:rPr>
          <w:rStyle w:val="StringTok"/>
        </w:rPr>
        <w:t xml:space="preserve">"fill in the blank"</w:t>
      </w:r>
      <w:r>
        <w:rPr>
          <w:rStyle w:val="NormalTok"/>
        </w:rPr>
        <w:t xml:space="preserve">,</w:t>
      </w:r>
      <w:r>
        <w:br/>
      </w:r>
      <w:r>
        <w:rPr>
          <w:rStyle w:val="NormalTok"/>
        </w:rPr>
        <w:t xml:space="preserve">            </w:t>
      </w:r>
      <w:r>
        <w:rPr>
          <w:rStyle w:val="AttributeTok"/>
        </w:rPr>
        <w:t xml:space="preserve">color=</w:t>
      </w:r>
      <w:r>
        <w:rPr>
          <w:rStyle w:val="StringTok"/>
        </w:rPr>
        <w:t xml:space="preserve">"fill in the blank"</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w:t>
      </w:r>
      <w:r>
        <w:br/>
      </w:r>
      <w:r>
        <w:rPr>
          <w:rStyle w:val="NormalTok"/>
        </w:rPr>
        <w:t xml:space="preserve">            </w:t>
      </w:r>
      <w:r>
        <w:rPr>
          <w:rStyle w:val="AttributeTok"/>
        </w:rPr>
        <w:t xml:space="preserve">measures=</w:t>
      </w:r>
      <w:r>
        <w:rPr>
          <w:rStyle w:val="NormalTok"/>
        </w:rPr>
        <w:t xml:space="preserve"> </w:t>
      </w:r>
      <w:r>
        <w:rPr>
          <w:rStyle w:val="FunctionTok"/>
        </w:rPr>
        <w:t xml:space="preserve">c</w:t>
      </w:r>
      <w:r>
        <w:rPr>
          <w:rStyle w:val="NormalTok"/>
        </w:rPr>
        <w:t xml:space="preserve">(</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1C-1.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1C-2. Did the relationship between age and alpha diversity change when only looking at the HD diet data points? Explain your answer by describing the trend or lack thereof in the graph.</w:t>
            </w:r>
          </w:p>
        </w:tc>
      </w:tr>
      <w:tr>
        <w:tc>
          <w:tcPr/>
          <w:p>
            <w:pPr>
              <w:pStyle w:val="Compact"/>
              <w:jc w:val="left"/>
            </w:pPr>
          </w:p>
        </w:tc>
      </w:tr>
    </w:tbl>
    <w:p>
      <w:pPr>
        <w:pStyle w:val="BodyText"/>
      </w:pPr>
      <w:r>
        <w:rPr>
          <w:bCs/>
          <w:b/>
        </w:rPr>
        <w:t xml:space="preserve">1D-1. Plot alpha diversity based on age for WO diet only.</w:t>
      </w:r>
    </w:p>
    <w:p>
      <w:pPr>
        <w:numPr>
          <w:ilvl w:val="0"/>
          <w:numId w:val="1169"/>
        </w:numPr>
        <w:pStyle w:val="Compact"/>
      </w:pPr>
      <w:r>
        <w:t xml:space="preserve">Subset data - diet WO</w:t>
      </w:r>
    </w:p>
    <w:p>
      <w:pPr>
        <w:numPr>
          <w:ilvl w:val="0"/>
          <w:numId w:val="1169"/>
        </w:numPr>
        <w:pStyle w:val="Compact"/>
      </w:pPr>
      <w:r>
        <w:t xml:space="preserve">age is on the x-axis</w:t>
      </w:r>
    </w:p>
    <w:p>
      <w:pPr>
        <w:numPr>
          <w:ilvl w:val="0"/>
          <w:numId w:val="1169"/>
        </w:numPr>
        <w:pStyle w:val="Compact"/>
      </w:pPr>
      <w:r>
        <w:t xml:space="preserve">Color is by subject</w:t>
      </w:r>
    </w:p>
    <w:p>
      <w:pPr>
        <w:numPr>
          <w:ilvl w:val="0"/>
          <w:numId w:val="1169"/>
        </w:numPr>
        <w:pStyle w:val="Compact"/>
      </w:pPr>
      <w:r>
        <w:t xml:space="preserve">Use the following code as a template:</w:t>
      </w:r>
    </w:p>
    <w:p>
      <w:pPr>
        <w:pStyle w:val="SourceCode"/>
      </w:pPr>
      <w:r>
        <w:rPr>
          <w:rStyle w:val="CommentTok"/>
        </w:rPr>
        <w:t xml:space="preserve">#Step1: Subset data for WO only</w:t>
      </w:r>
      <w:r>
        <w:br/>
      </w:r>
      <w:r>
        <w:rPr>
          <w:rStyle w:val="NormalTok"/>
        </w:rPr>
        <w:t xml:space="preserve">miso_counts_WO </w:t>
      </w:r>
      <w:r>
        <w:rPr>
          <w:rStyle w:val="OtherTok"/>
        </w:rPr>
        <w:t xml:space="preserve">=</w:t>
      </w:r>
      <w:r>
        <w:rPr>
          <w:rStyle w:val="NormalTok"/>
        </w:rPr>
        <w:t xml:space="preserve"> </w:t>
      </w:r>
      <w:r>
        <w:rPr>
          <w:rStyle w:val="FunctionTok"/>
        </w:rPr>
        <w:t xml:space="preserve">subset_samples</w:t>
      </w:r>
      <w:r>
        <w:rPr>
          <w:rStyle w:val="NormalTok"/>
        </w:rPr>
        <w:t xml:space="preserve">(miso_counts, diet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br/>
      </w:r>
      <w:r>
        <w:rPr>
          <w:rStyle w:val="FunctionTok"/>
        </w:rPr>
        <w:t xml:space="preserve">plot_richness</w:t>
      </w:r>
      <w:r>
        <w:rPr>
          <w:rStyle w:val="NormalTok"/>
        </w:rPr>
        <w:t xml:space="preserve">(fill </w:t>
      </w:r>
      <w:r>
        <w:rPr>
          <w:rStyle w:val="ControlFlowTok"/>
        </w:rPr>
        <w:t xml:space="preserve">in</w:t>
      </w:r>
      <w:r>
        <w:rPr>
          <w:rStyle w:val="NormalTok"/>
        </w:rPr>
        <w:t xml:space="preserve"> the blank, </w:t>
      </w:r>
      <w:r>
        <w:rPr>
          <w:rStyle w:val="AttributeTok"/>
        </w:rPr>
        <w:t xml:space="preserve">x=</w:t>
      </w:r>
      <w:r>
        <w:rPr>
          <w:rStyle w:val="StringTok"/>
        </w:rPr>
        <w:t xml:space="preserve">"fill in the blank"</w:t>
      </w:r>
      <w:r>
        <w:rPr>
          <w:rStyle w:val="NormalTok"/>
        </w:rPr>
        <w:t xml:space="preserve">,</w:t>
      </w:r>
      <w:r>
        <w:br/>
      </w:r>
      <w:r>
        <w:rPr>
          <w:rStyle w:val="NormalTok"/>
        </w:rPr>
        <w:t xml:space="preserve">            </w:t>
      </w:r>
      <w:r>
        <w:rPr>
          <w:rStyle w:val="AttributeTok"/>
        </w:rPr>
        <w:t xml:space="preserve">color=</w:t>
      </w:r>
      <w:r>
        <w:rPr>
          <w:rStyle w:val="StringTok"/>
        </w:rPr>
        <w:t xml:space="preserve">"fill in the blank"</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w:t>
      </w:r>
      <w:r>
        <w:br/>
      </w:r>
      <w:r>
        <w:rPr>
          <w:rStyle w:val="NormalTok"/>
        </w:rPr>
        <w:t xml:space="preserve">            </w:t>
      </w:r>
      <w:r>
        <w:rPr>
          <w:rStyle w:val="AttributeTok"/>
        </w:rPr>
        <w:t xml:space="preserve">measures=</w:t>
      </w:r>
      <w:r>
        <w:rPr>
          <w:rStyle w:val="NormalTok"/>
        </w:rPr>
        <w:t xml:space="preserve"> </w:t>
      </w:r>
      <w:r>
        <w:rPr>
          <w:rStyle w:val="FunctionTok"/>
        </w:rPr>
        <w:t xml:space="preserve">c</w:t>
      </w:r>
      <w:r>
        <w:rPr>
          <w:rStyle w:val="NormalTok"/>
        </w:rPr>
        <w:t xml:space="preserve">(</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1D-1.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1D-2. Did the relationship between age and alpha diversity change when only looking at the WO diet data points? Explain your answer by describing the trend or lack thereof in the graph. Remember, the WO only has half as many datapoints compared to the BD and HD since there is only 1 WO timepoint (versus 2 for BD and HD).</w:t>
            </w:r>
          </w:p>
        </w:tc>
      </w:tr>
      <w:tr>
        <w:tc>
          <w:tcPr/>
          <w:p>
            <w:pPr>
              <w:pStyle w:val="Compact"/>
              <w:jc w:val="left"/>
            </w:pPr>
          </w:p>
        </w:tc>
      </w:tr>
    </w:tbl>
    <w:bookmarkEnd w:id="292"/>
    <w:bookmarkStart w:id="293" w:name="X20c3c163d6a7429e4dd3bf5744dda10e0814627"/>
    <w:p>
      <w:pPr>
        <w:pStyle w:val="Heading3"/>
      </w:pPr>
      <w:r>
        <w:rPr>
          <w:rStyle w:val="SectionNumber"/>
        </w:rPr>
        <w:t xml:space="preserve">5.7.2</w:t>
      </w:r>
      <w:r>
        <w:tab/>
      </w:r>
      <w:r>
        <w:t xml:space="preserve">Step 2. Perform differential abundance analysis comparing HD to BD for the population in general, and then for older individuals specifically.</w:t>
      </w:r>
    </w:p>
    <w:p>
      <w:pPr>
        <w:pStyle w:val="FirstParagraph"/>
      </w:pPr>
      <w:r>
        <w:rPr>
          <w:bCs/>
          <w:b/>
        </w:rPr>
        <w:t xml:space="preserve">Step 2A. Perform differential abundance analysis between HD and BD.</w:t>
      </w:r>
    </w:p>
    <w:p>
      <w:pPr>
        <w:numPr>
          <w:ilvl w:val="0"/>
          <w:numId w:val="1170"/>
        </w:numPr>
      </w:pPr>
      <w:r>
        <w:t xml:space="preserve">Design - is based on diet (no double quotes)</w:t>
      </w:r>
    </w:p>
    <w:p>
      <w:pPr>
        <w:numPr>
          <w:ilvl w:val="0"/>
          <w:numId w:val="1170"/>
        </w:numPr>
      </w:pPr>
      <w:r>
        <w:t xml:space="preserve">Groups to compare - HD and BD (baseline)</w:t>
      </w:r>
    </w:p>
    <w:p>
      <w:pPr>
        <w:numPr>
          <w:ilvl w:val="0"/>
          <w:numId w:val="1170"/>
        </w:numPr>
      </w:pPr>
      <w:r>
        <w:t xml:space="preserve">Plot Phylum on the X-axis and color by Class</w:t>
      </w:r>
    </w:p>
    <w:p>
      <w:pPr>
        <w:numPr>
          <w:ilvl w:val="0"/>
          <w:numId w:val="1170"/>
        </w:numPr>
      </w:pPr>
      <w:r>
        <w:t xml:space="preserve">Make sure your graph has a title that includes the comparison you are making (ex. WO vs HD)</w:t>
      </w:r>
    </w:p>
    <w:p>
      <w:pPr>
        <w:numPr>
          <w:ilvl w:val="0"/>
          <w:numId w:val="1170"/>
        </w:numPr>
      </w:pPr>
      <w:r>
        <w:t xml:space="preserve">Refer to the</w:t>
      </w:r>
      <w:r>
        <w:t xml:space="preserve"> </w:t>
      </w:r>
      <w:r>
        <w:t xml:space="preserve">“</w:t>
      </w:r>
      <w:r>
        <w:t xml:space="preserve">Differential abundance</w:t>
      </w:r>
      <w:r>
        <w:t xml:space="preserve">”</w:t>
      </w:r>
      <w:r>
        <w:t xml:space="preserve"> </w:t>
      </w:r>
      <w:r>
        <w:t xml:space="preserve">section of the</w:t>
      </w:r>
      <w:r>
        <w:t xml:space="preserve"> </w:t>
      </w:r>
      <w:r>
        <w:t xml:space="preserve">“</w:t>
      </w:r>
      <w:r>
        <w:t xml:space="preserve">Analyze 16S rRNA Data with phyloseq</w:t>
      </w:r>
      <w:r>
        <w:t xml:space="preserve">”</w:t>
      </w:r>
      <w:r>
        <w:t xml:space="preserve"> </w:t>
      </w:r>
      <w:r>
        <w:t xml:space="preserve">tutorial for help using the plot_ordination() function.</w:t>
      </w:r>
    </w:p>
    <w:p>
      <w:pPr>
        <w:numPr>
          <w:ilvl w:val="0"/>
          <w:numId w:val="1170"/>
        </w:numPr>
      </w:pPr>
      <w:r>
        <w:t xml:space="preserve">Use the code below as a template:</w:t>
      </w:r>
    </w:p>
    <w:p>
      <w:pPr>
        <w:pStyle w:val="SourceCode"/>
      </w:pPr>
      <w:r>
        <w:rPr>
          <w:rStyle w:val="CommentTok"/>
        </w:rPr>
        <w:t xml:space="preserve"># STEP 1: Convert the phyloseq object to a DESeq2 object and specify experimental design</w:t>
      </w:r>
      <w:r>
        <w:br/>
      </w:r>
      <w:r>
        <w:rPr>
          <w:rStyle w:val="NormalTok"/>
        </w:rPr>
        <w:t xml:space="preserve">DESeq2 </w:t>
      </w:r>
      <w:r>
        <w:rPr>
          <w:rStyle w:val="OtherTok"/>
        </w:rPr>
        <w:t xml:space="preserve">&lt;-</w:t>
      </w:r>
      <w:r>
        <w:rPr>
          <w:rStyle w:val="NormalTok"/>
        </w:rPr>
        <w:t xml:space="preserve"> </w:t>
      </w:r>
      <w:r>
        <w:rPr>
          <w:rStyle w:val="FunctionTok"/>
        </w:rPr>
        <w:t xml:space="preserve">phyloseq_to_deseq2</w:t>
      </w:r>
      <w:r>
        <w:rPr>
          <w:rStyle w:val="NormalTok"/>
        </w:rPr>
        <w:t xml:space="preserve">(miso_counts, </w:t>
      </w:r>
      <w:r>
        <w:rPr>
          <w:rStyle w:val="AttributeTok"/>
        </w:rPr>
        <w:t xml:space="preserve">design =</w:t>
      </w:r>
      <w:r>
        <w:rPr>
          <w:rStyle w:val="NormalTok"/>
        </w:rPr>
        <w:t xml:space="preserve"> </w:t>
      </w:r>
      <w:r>
        <w:rPr>
          <w:rStyle w:val="SpecialCharTok"/>
        </w:rPr>
        <w:t xml:space="preserve">~</w:t>
      </w:r>
      <w:r>
        <w:rPr>
          <w:rStyle w:val="NormalTok"/>
        </w:rPr>
        <w:t xml:space="preserve"> diet)</w:t>
      </w:r>
      <w:r>
        <w:br/>
      </w:r>
      <w:r>
        <w:br/>
      </w:r>
      <w:r>
        <w:rPr>
          <w:rStyle w:val="CommentTok"/>
        </w:rPr>
        <w:t xml:space="preserve"># STEP 2: Select the groups to compare, where the latter group is your baseline</w:t>
      </w:r>
      <w:r>
        <w:br/>
      </w:r>
      <w:r>
        <w:rPr>
          <w:rStyle w:val="NormalTok"/>
        </w:rPr>
        <w:t xml:space="preserve">my_comparison </w:t>
      </w:r>
      <w:r>
        <w:rPr>
          <w:rStyle w:val="OtherTok"/>
        </w:rPr>
        <w:t xml:space="preserve">&lt;-</w:t>
      </w:r>
      <w:r>
        <w:rPr>
          <w:rStyle w:val="FunctionTok"/>
        </w:rPr>
        <w:t xml:space="preserve">c</w:t>
      </w:r>
      <w:r>
        <w:rPr>
          <w:rStyle w:val="NormalTok"/>
        </w:rPr>
        <w:t xml:space="preserve">(</w:t>
      </w:r>
      <w:r>
        <w:rPr>
          <w:rStyle w:val="StringTok"/>
        </w:rPr>
        <w:t xml:space="preserve">"diet"</w:t>
      </w:r>
      <w:r>
        <w:rPr>
          <w:rStyle w:val="NormalTok"/>
        </w:rPr>
        <w:t xml:space="preserve">, </w:t>
      </w:r>
      <w:r>
        <w:rPr>
          <w:rStyle w:val="StringTok"/>
        </w:rPr>
        <w:t xml:space="preserve">"HD"</w:t>
      </w:r>
      <w:r>
        <w:rPr>
          <w:rStyle w:val="NormalTok"/>
        </w:rPr>
        <w:t xml:space="preserve">, </w:t>
      </w:r>
      <w:r>
        <w:rPr>
          <w:rStyle w:val="StringTok"/>
        </w:rPr>
        <w:t xml:space="preserve">"fill in the blank (baseline)"</w:t>
      </w:r>
      <w:r>
        <w:rPr>
          <w:rStyle w:val="NormalTok"/>
        </w:rPr>
        <w:t xml:space="preserve">)</w:t>
      </w:r>
      <w:r>
        <w:br/>
      </w:r>
      <w:r>
        <w:br/>
      </w:r>
      <w:r>
        <w:rPr>
          <w:rStyle w:val="CommentTok"/>
        </w:rPr>
        <w:t xml:space="preserve"># STEP 3: Run the differential abundance analysis </w:t>
      </w:r>
      <w:r>
        <w:br/>
      </w:r>
      <w:r>
        <w:rPr>
          <w:rStyle w:val="NormalTok"/>
        </w:rPr>
        <w:t xml:space="preserve">Significant_DEseq2_ASVs</w:t>
      </w:r>
      <w:r>
        <w:rPr>
          <w:rStyle w:val="OtherTok"/>
        </w:rPr>
        <w:t xml:space="preserve">&lt;-</w:t>
      </w:r>
      <w:r>
        <w:rPr>
          <w:rStyle w:val="FunctionTok"/>
        </w:rPr>
        <w:t xml:space="preserve">Differential_Abundance</w:t>
      </w:r>
      <w:r>
        <w:rPr>
          <w:rStyle w:val="NormalTok"/>
        </w:rPr>
        <w:t xml:space="preserve">(miso_counts, DESeq2, my_comparison, </w:t>
      </w:r>
      <w:r>
        <w:rPr>
          <w:rStyle w:val="FloatTok"/>
        </w:rPr>
        <w:t xml:space="preserve">0.05</w:t>
      </w:r>
      <w:r>
        <w:rPr>
          <w:rStyle w:val="NormalTok"/>
        </w:rPr>
        <w:t xml:space="preserve">)</w:t>
      </w:r>
      <w:r>
        <w:br/>
      </w:r>
      <w:r>
        <w:br/>
      </w:r>
      <w:r>
        <w:rPr>
          <w:rStyle w:val="CommentTok"/>
        </w:rPr>
        <w:t xml:space="preserve"># STEP 4: Retrieve the list of ASVs with a significant difference in abundance between the chosen groups</w:t>
      </w:r>
      <w:r>
        <w:br/>
      </w:r>
      <w:r>
        <w:rPr>
          <w:rStyle w:val="NormalTok"/>
        </w:rPr>
        <w:t xml:space="preserve">Significant_DEseq2_ASVs</w:t>
      </w:r>
      <w:r>
        <w:br/>
      </w:r>
      <w:r>
        <w:br/>
      </w:r>
      <w:r>
        <w:rPr>
          <w:rStyle w:val="CommentTok"/>
        </w:rPr>
        <w:t xml:space="preserve"># STEP 5: Plot the results with your chosen x axis and legend</w:t>
      </w:r>
      <w:r>
        <w:br/>
      </w:r>
      <w:r>
        <w:rPr>
          <w:rStyle w:val="FunctionTok"/>
        </w:rPr>
        <w:t xml:space="preserve">ggplot</w:t>
      </w:r>
      <w:r>
        <w:rPr>
          <w:rStyle w:val="NormalTok"/>
        </w:rPr>
        <w:t xml:space="preserve">(Significant_DEseq2_ASVs, </w:t>
      </w:r>
      <w:r>
        <w:rPr>
          <w:rStyle w:val="FunctionTok"/>
        </w:rPr>
        <w:t xml:space="preserve">aes</w:t>
      </w:r>
      <w:r>
        <w:rPr>
          <w:rStyle w:val="NormalTok"/>
        </w:rPr>
        <w:t xml:space="preserve">(</w:t>
      </w:r>
      <w:r>
        <w:rPr>
          <w:rStyle w:val="AttributeTok"/>
        </w:rPr>
        <w:t xml:space="preserve">x =</w:t>
      </w:r>
      <w:r>
        <w:rPr>
          <w:rStyle w:val="NormalTok"/>
        </w:rPr>
        <w:t xml:space="preserve"> Phylum, </w:t>
      </w:r>
      <w:r>
        <w:rPr>
          <w:rStyle w:val="AttributeTok"/>
        </w:rPr>
        <w:t xml:space="preserve">y=</w:t>
      </w:r>
      <w:r>
        <w:rPr>
          <w:rStyle w:val="NormalTok"/>
        </w:rPr>
        <w:t xml:space="preserve">log2FoldChange, </w:t>
      </w:r>
      <w:r>
        <w:rPr>
          <w:rStyle w:val="AttributeTok"/>
        </w:rPr>
        <w:t xml:space="preserve">color=</w:t>
      </w:r>
      <w:r>
        <w:rPr>
          <w:rStyle w:val="NormalTok"/>
        </w:rPr>
        <w:t xml:space="preserve"> fill </w:t>
      </w:r>
      <w:r>
        <w:rPr>
          <w:rStyle w:val="ControlFlowTok"/>
        </w:rPr>
        <w:t xml:space="preserve">in</w:t>
      </w:r>
      <w:r>
        <w:rPr>
          <w:rStyle w:val="NormalTok"/>
        </w:rPr>
        <w:t xml:space="preserve"> the blank))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vjust=</w:t>
      </w:r>
      <w:r>
        <w:rPr>
          <w:rStyle w:val="FloatTok"/>
        </w:rPr>
        <w:t xml:space="preserve">0.5</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2A-1. Insert the resulting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2A-2. How many differentially abundant ASVs were identified? This is the number of rows in the result table.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2A-3. Did a change in diet from BD to HD cause there to be a lot of changes in microbe abundance?</w:t>
            </w:r>
          </w:p>
        </w:tc>
      </w:tr>
      <w:tr>
        <w:tc>
          <w:tcPr/>
          <w:p>
            <w:pPr>
              <w:pStyle w:val="Compact"/>
              <w:jc w:val="left"/>
            </w:pPr>
          </w:p>
        </w:tc>
      </w:tr>
    </w:tbl>
    <w:bookmarkEnd w:id="293"/>
    <w:bookmarkStart w:id="294" w:name="X5d873d7c1194470314eb407ed41c6f5cfdeeff4"/>
    <w:p>
      <w:pPr>
        <w:pStyle w:val="Heading3"/>
      </w:pPr>
      <w:r>
        <w:rPr>
          <w:rStyle w:val="SectionNumber"/>
        </w:rPr>
        <w:t xml:space="preserve">5.7.3</w:t>
      </w:r>
      <w:r>
        <w:tab/>
      </w:r>
      <w:r>
        <w:t xml:space="preserve">Step 2B. Perform differential abundance analysis between HD and BD for older individual (&gt; 50 yo.)</w:t>
      </w:r>
    </w:p>
    <w:p>
      <w:pPr>
        <w:numPr>
          <w:ilvl w:val="0"/>
          <w:numId w:val="1171"/>
        </w:numPr>
      </w:pPr>
      <w:r>
        <w:t xml:space="preserve">Subset data - older age (&gt; 50 yo)</w:t>
      </w:r>
    </w:p>
    <w:p>
      <w:pPr>
        <w:numPr>
          <w:ilvl w:val="0"/>
          <w:numId w:val="1171"/>
        </w:numPr>
      </w:pPr>
      <w:r>
        <w:t xml:space="preserve">Design - is based on diet (no double quotes)</w:t>
      </w:r>
    </w:p>
    <w:p>
      <w:pPr>
        <w:numPr>
          <w:ilvl w:val="0"/>
          <w:numId w:val="1171"/>
        </w:numPr>
      </w:pPr>
      <w:r>
        <w:t xml:space="preserve">Groups to compare - HD and BD (baseline)</w:t>
      </w:r>
    </w:p>
    <w:p>
      <w:pPr>
        <w:numPr>
          <w:ilvl w:val="0"/>
          <w:numId w:val="1171"/>
        </w:numPr>
      </w:pPr>
      <w:r>
        <w:t xml:space="preserve">Plot Phylum on the X-axis and color by Class</w:t>
      </w:r>
    </w:p>
    <w:p>
      <w:pPr>
        <w:numPr>
          <w:ilvl w:val="0"/>
          <w:numId w:val="1171"/>
        </w:numPr>
      </w:pPr>
      <w:r>
        <w:t xml:space="preserve">Make sure your graph has a title that includes the comparison you are making (ex. WO vs HD)</w:t>
      </w:r>
    </w:p>
    <w:p>
      <w:pPr>
        <w:numPr>
          <w:ilvl w:val="0"/>
          <w:numId w:val="1171"/>
        </w:numPr>
      </w:pPr>
      <w:r>
        <w:t xml:space="preserve">Refer to the</w:t>
      </w:r>
      <w:r>
        <w:t xml:space="preserve"> </w:t>
      </w:r>
      <w:r>
        <w:t xml:space="preserve">“</w:t>
      </w:r>
      <w:r>
        <w:t xml:space="preserve">Differential abundance</w:t>
      </w:r>
      <w:r>
        <w:t xml:space="preserve">”</w:t>
      </w:r>
      <w:r>
        <w:t xml:space="preserve"> </w:t>
      </w:r>
      <w:r>
        <w:t xml:space="preserve">section of the</w:t>
      </w:r>
      <w:r>
        <w:t xml:space="preserve"> </w:t>
      </w:r>
      <w:r>
        <w:t xml:space="preserve">“</w:t>
      </w:r>
      <w:r>
        <w:t xml:space="preserve">Analyze 16S rRNA Data with phyloseq</w:t>
      </w:r>
      <w:r>
        <w:t xml:space="preserve">”</w:t>
      </w:r>
      <w:r>
        <w:t xml:space="preserve"> </w:t>
      </w:r>
      <w:r>
        <w:t xml:space="preserve">tutorial for help using the plot_ordination() function.</w:t>
      </w:r>
    </w:p>
    <w:p>
      <w:pPr>
        <w:numPr>
          <w:ilvl w:val="0"/>
          <w:numId w:val="1171"/>
        </w:numPr>
      </w:pPr>
      <w:r>
        <w:t xml:space="preserve">Use the code below as a template:</w:t>
      </w:r>
    </w:p>
    <w:p>
      <w:pPr>
        <w:pStyle w:val="SourceCode"/>
      </w:pPr>
      <w:r>
        <w:rPr>
          <w:rStyle w:val="CommentTok"/>
        </w:rPr>
        <w:t xml:space="preserve">#First, subset miso_counts object to only include older individuals over age 50</w:t>
      </w:r>
      <w:r>
        <w:br/>
      </w:r>
      <w:r>
        <w:rPr>
          <w:rStyle w:val="NormalTok"/>
        </w:rPr>
        <w:t xml:space="preserve">subset </w:t>
      </w:r>
      <w:r>
        <w:rPr>
          <w:rStyle w:val="OtherTok"/>
        </w:rPr>
        <w:t xml:space="preserve">=</w:t>
      </w:r>
      <w:r>
        <w:rPr>
          <w:rStyle w:val="NormalTok"/>
        </w:rPr>
        <w:t xml:space="preserve"> </w:t>
      </w:r>
      <w:r>
        <w:rPr>
          <w:rStyle w:val="FunctionTok"/>
        </w:rPr>
        <w:t xml:space="preserve">subset_samples</w:t>
      </w:r>
      <w:r>
        <w:rPr>
          <w:rStyle w:val="NormalTok"/>
        </w:rPr>
        <w:t xml:space="preserve">(miso_counts, age </w:t>
      </w:r>
      <w:r>
        <w:rPr>
          <w:rStyle w:val="SpecialCharTok"/>
        </w:rPr>
        <w:t xml:space="preserve">&gt;</w:t>
      </w:r>
      <w:r>
        <w:rPr>
          <w:rStyle w:val="DecValTok"/>
        </w:rPr>
        <w:t xml:space="preserve">50</w:t>
      </w:r>
      <w:r>
        <w:rPr>
          <w:rStyle w:val="NormalTok"/>
        </w:rPr>
        <w:t xml:space="preserve">)</w:t>
      </w:r>
      <w:r>
        <w:br/>
      </w:r>
      <w:r>
        <w:br/>
      </w:r>
      <w:r>
        <w:rPr>
          <w:rStyle w:val="CommentTok"/>
        </w:rPr>
        <w:t xml:space="preserve"># STEP 1: Convert the phyloseq object to a DESeq2 object and specify experimental design</w:t>
      </w:r>
      <w:r>
        <w:br/>
      </w:r>
      <w:r>
        <w:rPr>
          <w:rStyle w:val="NormalTok"/>
        </w:rPr>
        <w:t xml:space="preserve">DESeq2_subset </w:t>
      </w:r>
      <w:r>
        <w:rPr>
          <w:rStyle w:val="OtherTok"/>
        </w:rPr>
        <w:t xml:space="preserve">&lt;-</w:t>
      </w:r>
      <w:r>
        <w:rPr>
          <w:rStyle w:val="NormalTok"/>
        </w:rPr>
        <w:t xml:space="preserve"> </w:t>
      </w:r>
      <w:r>
        <w:rPr>
          <w:rStyle w:val="FunctionTok"/>
        </w:rPr>
        <w:t xml:space="preserve">phyloseq_to_deseq2</w:t>
      </w:r>
      <w:r>
        <w:rPr>
          <w:rStyle w:val="NormalTok"/>
        </w:rPr>
        <w:t xml:space="preserve">(subset, </w:t>
      </w:r>
      <w:r>
        <w:rPr>
          <w:rStyle w:val="AttributeTok"/>
        </w:rPr>
        <w:t xml:space="preserve">design =</w:t>
      </w:r>
      <w:r>
        <w:rPr>
          <w:rStyle w:val="NormalTok"/>
        </w:rPr>
        <w:t xml:space="preserve"> </w:t>
      </w:r>
      <w:r>
        <w:rPr>
          <w:rStyle w:val="SpecialCharTok"/>
        </w:rPr>
        <w:t xml:space="preserve">~</w:t>
      </w:r>
      <w:r>
        <w:rPr>
          <w:rStyle w:val="NormalTok"/>
        </w:rPr>
        <w:t xml:space="preserve"> diet)</w:t>
      </w:r>
      <w:r>
        <w:br/>
      </w:r>
      <w:r>
        <w:br/>
      </w:r>
      <w:r>
        <w:rPr>
          <w:rStyle w:val="CommentTok"/>
        </w:rPr>
        <w:t xml:space="preserve"># STEP 2: Select the groups to compare, where the latter group is your baseline</w:t>
      </w:r>
      <w:r>
        <w:br/>
      </w:r>
      <w:r>
        <w:rPr>
          <w:rStyle w:val="NormalTok"/>
        </w:rPr>
        <w:t xml:space="preserve">comparison_subset </w:t>
      </w:r>
      <w:r>
        <w:rPr>
          <w:rStyle w:val="OtherTok"/>
        </w:rPr>
        <w:t xml:space="preserve">&lt;-</w:t>
      </w:r>
      <w:r>
        <w:rPr>
          <w:rStyle w:val="FunctionTok"/>
        </w:rPr>
        <w:t xml:space="preserve">c</w:t>
      </w:r>
      <w:r>
        <w:rPr>
          <w:rStyle w:val="NormalTok"/>
        </w:rPr>
        <w:t xml:space="preserve">(</w:t>
      </w:r>
      <w:r>
        <w:rPr>
          <w:rStyle w:val="StringTok"/>
        </w:rPr>
        <w:t xml:space="preserve">"diet"</w:t>
      </w:r>
      <w:r>
        <w:rPr>
          <w:rStyle w:val="NormalTok"/>
        </w:rPr>
        <w:t xml:space="preserve">, </w:t>
      </w:r>
      <w:r>
        <w:rPr>
          <w:rStyle w:val="StringTok"/>
        </w:rPr>
        <w:t xml:space="preserve">"HD"</w:t>
      </w:r>
      <w:r>
        <w:rPr>
          <w:rStyle w:val="NormalTok"/>
        </w:rPr>
        <w:t xml:space="preserve">, </w:t>
      </w:r>
      <w:r>
        <w:rPr>
          <w:rStyle w:val="StringTok"/>
        </w:rPr>
        <w:t xml:space="preserve">"fill in the blank (baseline)"</w:t>
      </w:r>
      <w:r>
        <w:rPr>
          <w:rStyle w:val="NormalTok"/>
        </w:rPr>
        <w:t xml:space="preserve">)</w:t>
      </w:r>
      <w:r>
        <w:br/>
      </w:r>
      <w:r>
        <w:br/>
      </w:r>
      <w:r>
        <w:rPr>
          <w:rStyle w:val="CommentTok"/>
        </w:rPr>
        <w:t xml:space="preserve"># STEP 3: Run the differential abundance analysis </w:t>
      </w:r>
      <w:r>
        <w:br/>
      </w:r>
      <w:r>
        <w:rPr>
          <w:rStyle w:val="NormalTok"/>
        </w:rPr>
        <w:t xml:space="preserve">Significant_ASVs_subset </w:t>
      </w:r>
      <w:r>
        <w:rPr>
          <w:rStyle w:val="OtherTok"/>
        </w:rPr>
        <w:t xml:space="preserve">&lt;-</w:t>
      </w:r>
      <w:r>
        <w:rPr>
          <w:rStyle w:val="NormalTok"/>
        </w:rPr>
        <w:t xml:space="preserve"> </w:t>
      </w:r>
      <w:r>
        <w:rPr>
          <w:rStyle w:val="FunctionTok"/>
        </w:rPr>
        <w:t xml:space="preserve">Differential_Abundance</w:t>
      </w:r>
      <w:r>
        <w:rPr>
          <w:rStyle w:val="NormalTok"/>
        </w:rPr>
        <w:t xml:space="preserve">(miso_counts, DESeq2_subset, comparison_subset, </w:t>
      </w:r>
      <w:r>
        <w:rPr>
          <w:rStyle w:val="FloatTok"/>
        </w:rPr>
        <w:t xml:space="preserve">0.05</w:t>
      </w:r>
      <w:r>
        <w:rPr>
          <w:rStyle w:val="NormalTok"/>
        </w:rPr>
        <w:t xml:space="preserve">)</w:t>
      </w:r>
      <w:r>
        <w:br/>
      </w:r>
      <w:r>
        <w:br/>
      </w:r>
      <w:r>
        <w:rPr>
          <w:rStyle w:val="CommentTok"/>
        </w:rPr>
        <w:t xml:space="preserve"># STEP 4: Retrieve the list of ASVs with a significant difference in abundance between the chosen groups</w:t>
      </w:r>
      <w:r>
        <w:br/>
      </w:r>
      <w:r>
        <w:rPr>
          <w:rStyle w:val="NormalTok"/>
        </w:rPr>
        <w:t xml:space="preserve">Significant_ASVs_subset</w:t>
      </w:r>
      <w:r>
        <w:br/>
      </w:r>
      <w:r>
        <w:br/>
      </w:r>
      <w:r>
        <w:rPr>
          <w:rStyle w:val="CommentTok"/>
        </w:rPr>
        <w:t xml:space="preserve"># STEP 5: Plot the results with your chosen x axis and legend</w:t>
      </w:r>
      <w:r>
        <w:br/>
      </w:r>
      <w:r>
        <w:rPr>
          <w:rStyle w:val="FunctionTok"/>
        </w:rPr>
        <w:t xml:space="preserve">ggplot</w:t>
      </w:r>
      <w:r>
        <w:rPr>
          <w:rStyle w:val="NormalTok"/>
        </w:rPr>
        <w:t xml:space="preserve">(Significant_ASVs_subset, </w:t>
      </w:r>
      <w:r>
        <w:rPr>
          <w:rStyle w:val="FunctionTok"/>
        </w:rPr>
        <w:t xml:space="preserve">aes</w:t>
      </w:r>
      <w:r>
        <w:rPr>
          <w:rStyle w:val="NormalTok"/>
        </w:rPr>
        <w:t xml:space="preserve">(</w:t>
      </w:r>
      <w:r>
        <w:rPr>
          <w:rStyle w:val="AttributeTok"/>
        </w:rPr>
        <w:t xml:space="preserve">x =</w:t>
      </w:r>
      <w:r>
        <w:rPr>
          <w:rStyle w:val="NormalTok"/>
        </w:rPr>
        <w:t xml:space="preserve"> Phylum, </w:t>
      </w:r>
      <w:r>
        <w:rPr>
          <w:rStyle w:val="AttributeTok"/>
        </w:rPr>
        <w:t xml:space="preserve">y=</w:t>
      </w:r>
      <w:r>
        <w:rPr>
          <w:rStyle w:val="NormalTok"/>
        </w:rPr>
        <w:t xml:space="preserve">log2FoldChange, </w:t>
      </w:r>
      <w:r>
        <w:rPr>
          <w:rStyle w:val="AttributeTok"/>
        </w:rPr>
        <w:t xml:space="preserve">color=</w:t>
      </w:r>
      <w:r>
        <w:rPr>
          <w:rStyle w:val="NormalTok"/>
        </w:rPr>
        <w:t xml:space="preserve"> fill </w:t>
      </w:r>
      <w:r>
        <w:rPr>
          <w:rStyle w:val="ControlFlowTok"/>
        </w:rPr>
        <w:t xml:space="preserve">in</w:t>
      </w:r>
      <w:r>
        <w:rPr>
          <w:rStyle w:val="NormalTok"/>
        </w:rPr>
        <w:t xml:space="preserve"> the blank))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vjust=</w:t>
      </w:r>
      <w:r>
        <w:rPr>
          <w:rStyle w:val="FloatTok"/>
        </w:rPr>
        <w:t xml:space="preserve">0.5</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2B-1. Insert the resulting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2B-2. How many differentially abundant ASVs were identified? This is the number of rows in the result table.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2B-3. Did a change in diet from BD to HD cause there to be a lot of changes in microbe abundance in older individuals?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2B-4. How do these results compare to the results when we looked at the entire dataset (2A-1)?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2B-5. When this analysis is repeated for a younger population (&lt;=50), 3 differentially abundant ASVs are found. Do you think there is a diet-age interaction? A reminder that an interaction would cause different age groups to react to the change in diet differently.</w:t>
            </w:r>
          </w:p>
        </w:tc>
      </w:tr>
      <w:tr>
        <w:tc>
          <w:tcPr/>
          <w:p>
            <w:pPr>
              <w:pStyle w:val="Compact"/>
              <w:jc w:val="left"/>
            </w:pPr>
          </w:p>
        </w:tc>
      </w:tr>
    </w:tbl>
    <w:bookmarkEnd w:id="294"/>
    <w:bookmarkStart w:id="297" w:name="footnotes-16"/>
    <w:p>
      <w:pPr>
        <w:pStyle w:val="Heading3"/>
      </w:pPr>
      <w:r>
        <w:rPr>
          <w:rStyle w:val="SectionNumber"/>
        </w:rPr>
        <w:t xml:space="preserve">5.7.4</w:t>
      </w:r>
      <w:r>
        <w:tab/>
      </w:r>
      <w:r>
        <w:t xml:space="preserve">Footnotes</w:t>
      </w:r>
    </w:p>
    <w:bookmarkStart w:id="295" w:name="resources-20"/>
    <w:p>
      <w:pPr>
        <w:pStyle w:val="Heading4"/>
      </w:pPr>
      <w:r>
        <w:rPr>
          <w:rStyle w:val="SectionNumber"/>
        </w:rPr>
        <w:t xml:space="preserve">5.7.4.1</w:t>
      </w:r>
      <w:r>
        <w:tab/>
      </w:r>
      <w:r>
        <w:t xml:space="preserve">Resources</w:t>
      </w:r>
    </w:p>
    <w:p>
      <w:pPr>
        <w:numPr>
          <w:ilvl w:val="0"/>
          <w:numId w:val="1172"/>
        </w:numPr>
        <w:pStyle w:val="Compact"/>
      </w:pPr>
      <w:hyperlink r:id="rId263">
        <w:r>
          <w:rPr>
            <w:rStyle w:val="Hyperlink"/>
          </w:rPr>
          <w:t xml:space="preserve">Google Doc</w:t>
        </w:r>
      </w:hyperlink>
    </w:p>
    <w:p>
      <w:pPr>
        <w:numPr>
          <w:ilvl w:val="0"/>
          <w:numId w:val="1172"/>
        </w:numPr>
        <w:pStyle w:val="Compact"/>
      </w:pPr>
      <w:hyperlink r:id="rId206">
        <w:r>
          <w:rPr>
            <w:rStyle w:val="Hyperlink"/>
          </w:rPr>
          <w:t xml:space="preserve">16S rRNA R Quick Reference</w:t>
        </w:r>
      </w:hyperlink>
    </w:p>
    <w:bookmarkEnd w:id="295"/>
    <w:bookmarkStart w:id="296" w:name="contributions-and-affiliations-16"/>
    <w:p>
      <w:pPr>
        <w:pStyle w:val="Heading4"/>
      </w:pPr>
      <w:r>
        <w:rPr>
          <w:rStyle w:val="SectionNumber"/>
        </w:rPr>
        <w:t xml:space="preserve">5.7.4.2</w:t>
      </w:r>
      <w:r>
        <w:tab/>
      </w:r>
      <w:r>
        <w:t xml:space="preserve">Contributions and affiliations</w:t>
      </w:r>
    </w:p>
    <w:p>
      <w:pPr>
        <w:numPr>
          <w:ilvl w:val="0"/>
          <w:numId w:val="1173"/>
        </w:numPr>
        <w:pStyle w:val="Compact"/>
      </w:pPr>
      <w:r>
        <w:t xml:space="preserve">Valeriya Gaysinskaya, Johns Hopkins University</w:t>
      </w:r>
    </w:p>
    <w:p>
      <w:pPr>
        <w:numPr>
          <w:ilvl w:val="0"/>
          <w:numId w:val="1173"/>
        </w:numPr>
        <w:pStyle w:val="Compact"/>
      </w:pPr>
      <w:r>
        <w:t xml:space="preserve">Gauri Paul, Clovis Community College</w:t>
      </w:r>
    </w:p>
    <w:p>
      <w:pPr>
        <w:numPr>
          <w:ilvl w:val="0"/>
          <w:numId w:val="1173"/>
        </w:numPr>
        <w:pStyle w:val="Compact"/>
      </w:pPr>
      <w:r>
        <w:t xml:space="preserve">Frederick Tan, Johns Hopkins University</w:t>
      </w:r>
    </w:p>
    <w:p>
      <w:pPr>
        <w:numPr>
          <w:ilvl w:val="0"/>
          <w:numId w:val="1173"/>
        </w:numPr>
        <w:pStyle w:val="Compact"/>
      </w:pPr>
      <w:r>
        <w:t xml:space="preserve">Sayumi York, Notre Dame of Maryland University</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296"/>
    <w:bookmarkEnd w:id="297"/>
    <w:bookmarkEnd w:id="298"/>
    <w:bookmarkEnd w:id="299"/>
    <w:bookmarkStart w:id="378" w:name="scientific-posters"/>
    <w:p>
      <w:pPr>
        <w:pStyle w:val="Heading1"/>
      </w:pPr>
      <w:r>
        <w:rPr>
          <w:rStyle w:val="SectionNumber"/>
        </w:rPr>
        <w:t xml:space="preserve">6</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174"/>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175"/>
        </w:numPr>
        <w:pStyle w:val="Compact"/>
      </w:pPr>
      <w:r>
        <w:t xml:space="preserve">The Clovis Community College Research Day</w:t>
      </w:r>
    </w:p>
    <w:p>
      <w:pPr>
        <w:numPr>
          <w:ilvl w:val="1"/>
          <w:numId w:val="1175"/>
        </w:numPr>
        <w:pStyle w:val="Compact"/>
      </w:pPr>
      <w:r>
        <w:t xml:space="preserve">The Notre Dame of Maryland University Research Day</w:t>
      </w:r>
    </w:p>
    <w:p>
      <w:pPr>
        <w:numPr>
          <w:ilvl w:val="1"/>
          <w:numId w:val="1175"/>
        </w:numPr>
        <w:pStyle w:val="Compact"/>
      </w:pPr>
      <w:r>
        <w:t xml:space="preserve">The GRADS-4C Conference (2025)</w:t>
      </w:r>
    </w:p>
    <w:p>
      <w:pPr>
        <w:pStyle w:val="FirstParagraph"/>
      </w:pPr>
      <w:r>
        <w:drawing>
          <wp:inline>
            <wp:extent cx="5334000" cy="3000375"/>
            <wp:effectExtent b="0" l="0" r="0" t="0"/>
            <wp:docPr descr="" title="" id="301" name="Picture"/>
            <a:graphic>
              <a:graphicData uri="http://schemas.openxmlformats.org/drawingml/2006/picture">
                <pic:pic>
                  <pic:nvPicPr>
                    <pic:cNvPr descr="community-analysis-and-feedback_files/figure-docx//1dI8-_iVqbkzNMf11M4dK85E8ZW3OyZECs_YwMKw5fhs_g362974128df_0_0.png" id="302" name="Picture"/>
                    <pic:cNvPicPr>
                      <a:picLocks noChangeArrowheads="1" noChangeAspect="1"/>
                    </pic:cNvPicPr>
                  </pic:nvPicPr>
                  <pic:blipFill>
                    <a:blip r:embed="rId30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76"/>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176"/>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303">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176"/>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304">
        <w:r>
          <w:rPr>
            <w:rStyle w:val="Hyperlink"/>
          </w:rPr>
          <w:t xml:space="preserve">poster on posters!</w:t>
        </w:r>
      </w:hyperlink>
    </w:p>
    <w:bookmarkStart w:id="353" w:name="making-a-group-poster"/>
    <w:p>
      <w:pPr>
        <w:pStyle w:val="Heading2"/>
      </w:pPr>
      <w:r>
        <w:rPr>
          <w:rStyle w:val="SectionNumber"/>
        </w:rPr>
        <w:t xml:space="preserve">6.1</w:t>
      </w:r>
      <w:r>
        <w:tab/>
      </w:r>
      <w:r>
        <w:t xml:space="preserve">Making a Group Poster</w:t>
      </w:r>
    </w:p>
    <w:bookmarkStart w:id="305" w:name="preparing-to-make-a-poster"/>
    <w:p>
      <w:pPr>
        <w:pStyle w:val="Heading3"/>
      </w:pPr>
      <w:r>
        <w:rPr>
          <w:rStyle w:val="SectionNumber"/>
        </w:rPr>
        <w:t xml:space="preserve">6.1.1</w:t>
      </w:r>
      <w:r>
        <w:tab/>
      </w:r>
      <w:r>
        <w:t xml:space="preserve">Preparing to make a poster</w:t>
      </w:r>
    </w:p>
    <w:p>
      <w:pPr>
        <w:pStyle w:val="FirstParagraph"/>
      </w:pPr>
      <w:r>
        <w:t xml:space="preserve">An important part of scientific research is presenting your findings.</w:t>
      </w:r>
      <w:r>
        <w:t xml:space="preserve"> </w:t>
      </w:r>
      <w:r>
        <w:t xml:space="preserve">Poster is a powerful visual way to communicate new and exciting findings, share ideas and get feedback.</w:t>
      </w:r>
      <w:r>
        <w:t xml:space="preserve"> </w:t>
      </w:r>
      <w:r>
        <w:t xml:space="preserve">No wonder Poster sessions are an integral part of any conference or symposium.</w:t>
      </w:r>
      <w:r>
        <w:t xml:space="preserve"> </w:t>
      </w:r>
      <w:r>
        <w:t xml:space="preserve">Throughout research project work, students will work with their groups to put together a scientific research poster.</w:t>
      </w:r>
    </w:p>
    <w:bookmarkEnd w:id="305"/>
    <w:bookmarkStart w:id="307" w:name="part-1---choose-a-template"/>
    <w:p>
      <w:pPr>
        <w:pStyle w:val="Heading3"/>
      </w:pPr>
      <w:r>
        <w:rPr>
          <w:rStyle w:val="SectionNumber"/>
        </w:rPr>
        <w:t xml:space="preserve">6.1.2</w:t>
      </w:r>
      <w:r>
        <w:tab/>
      </w:r>
      <w:r>
        <w:t xml:space="preserve">Part 1 - Choose a Template</w:t>
      </w:r>
    </w:p>
    <w:p>
      <w:pPr>
        <w:pStyle w:val="FirstParagraph"/>
      </w:pPr>
      <w:r>
        <w:rPr>
          <w:iCs/>
          <w:i/>
        </w:rPr>
        <w:t xml:space="preserve">Estimated time: 5 minutes</w:t>
      </w:r>
    </w:p>
    <w:p>
      <w:pPr>
        <w:numPr>
          <w:ilvl w:val="0"/>
          <w:numId w:val="1177"/>
        </w:numPr>
        <w:pStyle w:val="Compact"/>
      </w:pPr>
      <w:r>
        <w:t xml:space="preserve">With your group, open a suggested</w:t>
      </w:r>
      <w:r>
        <w:t xml:space="preserve"> </w:t>
      </w:r>
      <w:hyperlink r:id="rId306">
        <w:r>
          <w:rPr>
            <w:rStyle w:val="Hyperlink"/>
          </w:rPr>
          <w:t xml:space="preserve">poster template</w:t>
        </w:r>
      </w:hyperlink>
      <w:r>
        <w:t xml:space="preserve"> </w:t>
      </w:r>
      <w:r>
        <w:t xml:space="preserve">to use for your poster.</w:t>
      </w:r>
    </w:p>
    <w:p>
      <w:pPr>
        <w:numPr>
          <w:ilvl w:val="0"/>
          <w:numId w:val="1177"/>
        </w:numPr>
        <w:pStyle w:val="Compact"/>
      </w:pPr>
      <w:r>
        <w:t xml:space="preserve">Discuss with your group how you will divide up the work and exchange important information (e.g. phone numbers, email). Consider the following sections:</w:t>
      </w:r>
    </w:p>
    <w:p>
      <w:pPr>
        <w:numPr>
          <w:ilvl w:val="0"/>
          <w:numId w:val="1178"/>
        </w:numPr>
        <w:pStyle w:val="Compact"/>
      </w:pPr>
      <w:r>
        <w:t xml:space="preserve">Abstract/Introduction</w:t>
      </w:r>
    </w:p>
    <w:p>
      <w:pPr>
        <w:numPr>
          <w:ilvl w:val="0"/>
          <w:numId w:val="1178"/>
        </w:numPr>
        <w:pStyle w:val="Compact"/>
      </w:pPr>
      <w:r>
        <w:t xml:space="preserve">Methods</w:t>
      </w:r>
    </w:p>
    <w:p>
      <w:pPr>
        <w:numPr>
          <w:ilvl w:val="0"/>
          <w:numId w:val="1178"/>
        </w:numPr>
        <w:pStyle w:val="Compact"/>
      </w:pPr>
      <w:r>
        <w:t xml:space="preserve">Results</w:t>
      </w:r>
    </w:p>
    <w:p>
      <w:pPr>
        <w:numPr>
          <w:ilvl w:val="0"/>
          <w:numId w:val="1178"/>
        </w:numPr>
        <w:pStyle w:val="Compact"/>
      </w:pPr>
      <w:r>
        <w:t xml:space="preserve">Conclusions/Discussion</w:t>
      </w:r>
    </w:p>
    <w:p>
      <w:pPr>
        <w:numPr>
          <w:ilvl w:val="0"/>
          <w:numId w:val="1178"/>
        </w:numPr>
        <w:pStyle w:val="Compact"/>
      </w:pPr>
      <w:r>
        <w:t xml:space="preserve">References</w:t>
      </w:r>
    </w:p>
    <w:p>
      <w:pPr>
        <w:numPr>
          <w:ilvl w:val="0"/>
          <w:numId w:val="1178"/>
        </w:numPr>
        <w:pStyle w:val="Compact"/>
      </w:pPr>
      <w:r>
        <w:t xml:space="preserve">Acknowledgments</w:t>
      </w:r>
    </w:p>
    <w:p>
      <w:pPr>
        <w:pStyle w:val="FirstParagraph"/>
      </w:pPr>
      <w:r>
        <w:t xml:space="preserve">Notice these posters are sized at 36 x 42 inches, but there are many other commonly used sizes.</w:t>
      </w:r>
      <w:r>
        <w:t xml:space="preserve"> </w:t>
      </w:r>
      <w:r>
        <w:t xml:space="preserve">Refer to your instructor on what poster size to use; not every poster will fit every stand when printed (if applicable).</w:t>
      </w:r>
      <w:r>
        <w:t xml:space="preserve"> </w:t>
      </w:r>
      <w:r>
        <w:t xml:space="preserve">Notice that the posters in this slidedeck come in two-column, three-column, and mixed formats.</w:t>
      </w:r>
      <w:r>
        <w:t xml:space="preserve"> </w:t>
      </w:r>
      <w:r>
        <w:t xml:space="preserve">Think about your figures and tables and select a format that makes the most sense for them.</w:t>
      </w:r>
      <w:r>
        <w:t xml:space="preserve"> </w:t>
      </w:r>
      <w:r>
        <w:t xml:space="preserve">There are also some example posters in the last two slides that we will use to examine the anatomy of a research poster further in the next part.</w:t>
      </w:r>
    </w:p>
    <w:bookmarkEnd w:id="307"/>
    <w:bookmarkStart w:id="345" w:name="X9dd2b8024e6c3fdd878c8e33fa6eaacd3888b94"/>
    <w:p>
      <w:pPr>
        <w:pStyle w:val="Heading3"/>
      </w:pPr>
      <w:r>
        <w:rPr>
          <w:rStyle w:val="SectionNumber"/>
        </w:rPr>
        <w:t xml:space="preserve">6.1.3</w:t>
      </w:r>
      <w:r>
        <w:tab/>
      </w:r>
      <w:r>
        <w:t xml:space="preserve">Part 2 - Make an Academic Research Poster</w:t>
      </w:r>
    </w:p>
    <w:p>
      <w:pPr>
        <w:pStyle w:val="FirstParagraph"/>
      </w:pPr>
      <w:r>
        <w:rPr>
          <w:iCs/>
          <w:i/>
        </w:rPr>
        <w:t xml:space="preserve">Estimated time: —</w:t>
      </w:r>
    </w:p>
    <w:p>
      <w:pPr>
        <w:pStyle w:val="BodyTex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311" w:name="X617250bed78d561e84c31c5ecdd196317cafb67"/>
    <w:p>
      <w:pPr>
        <w:pStyle w:val="Heading4"/>
      </w:pPr>
      <w:r>
        <w:rPr>
          <w:rStyle w:val="SectionNumber"/>
        </w:rPr>
        <w:t xml:space="preserve">6.1.3.1</w:t>
      </w:r>
      <w:r>
        <w:tab/>
      </w:r>
      <w:r>
        <w:t xml:space="preserve">The header: title, authors, and affiliations</w:t>
      </w:r>
    </w:p>
    <w:p>
      <w:pPr>
        <w:pStyle w:val="FirstParagraph"/>
      </w:pPr>
      <w:r>
        <w:drawing>
          <wp:inline>
            <wp:extent cx="5334000" cy="3000375"/>
            <wp:effectExtent b="0" l="0" r="0" t="0"/>
            <wp:docPr descr="" title="" id="309" name="Picture"/>
            <a:graphic>
              <a:graphicData uri="http://schemas.openxmlformats.org/drawingml/2006/picture">
                <pic:pic>
                  <pic:nvPicPr>
                    <pic:cNvPr descr="community-analysis-and-feedback_files/figure-docx//1hYKF7Ss3vJ8rrUIH7ByNh1BUlRa2fhsJhq8MXzEowCc_g33d6e3b928f_0_67.png" id="310" name="Picture"/>
                    <pic:cNvPicPr>
                      <a:picLocks noChangeArrowheads="1" noChangeAspect="1"/>
                    </pic:cNvPicPr>
                  </pic:nvPicPr>
                  <pic:blipFill>
                    <a:blip r:embed="rId3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179"/>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179"/>
        </w:numPr>
        <w:pStyle w:val="Compact"/>
      </w:pPr>
      <w:r>
        <w:t xml:space="preserve">If multiple institutions exist, you will need to use superscript to denote who has what affiliation (see the example poster).</w:t>
      </w:r>
    </w:p>
    <w:p>
      <w:pPr>
        <w:pStyle w:val="FirstParagraph"/>
      </w:pPr>
      <w:r>
        <w:t xml:space="preserve">Include the C-MOOR logo, the logo of your institution(s), and the most immediately relevant funding source (if applicable) in the header.</w:t>
      </w:r>
    </w:p>
    <w:p>
      <w:pPr>
        <w:pStyle w:val="BodyText"/>
      </w:pPr>
      <w:r>
        <w:rPr>
          <w:bCs/>
          <w:b/>
        </w:rPr>
        <w:t xml:space="preserve">Check the header of your poster:</w:t>
      </w:r>
    </w:p>
    <w:p>
      <w:pPr>
        <w:pStyle w:val="SourceCode"/>
      </w:pPr>
      <w:r>
        <w:rPr>
          <w:rStyle w:val="VerbatimChar"/>
        </w:rPr>
        <w:t xml:space="preserve">- All authors are listed</w:t>
      </w:r>
      <w:r>
        <w:br/>
      </w:r>
      <w:r>
        <w:rPr>
          <w:rStyle w:val="VerbatimChar"/>
        </w:rPr>
        <w:t xml:space="preserve">- All authors’ home institutions are referenced</w:t>
      </w:r>
      <w:r>
        <w:br/>
      </w:r>
      <w:r>
        <w:rPr>
          <w:rStyle w:val="VerbatimChar"/>
        </w:rPr>
        <w:t xml:space="preserve">- The title of the poster is short and focused on your specific project topic</w:t>
      </w:r>
      <w:r>
        <w:br/>
      </w:r>
      <w:r>
        <w:rPr>
          <w:rStyle w:val="VerbatimChar"/>
        </w:rPr>
        <w:t xml:space="preserve">- Appropriate logos are included: E.g. the C-MOOR logo, the logo of your institution</w:t>
      </w:r>
      <w:r>
        <w:br/>
      </w:r>
      <w:r>
        <w:rPr>
          <w:rStyle w:val="VerbatimChar"/>
        </w:rPr>
        <w:t xml:space="preserve">- Relevant funding source (if applicable) is listed</w:t>
      </w:r>
    </w:p>
    <w:p>
      <w:pPr>
        <w:pStyle w:val="FirstParagraph"/>
      </w:pPr>
      <w:r>
        <w:t xml:space="preserve">A note on the title:</w:t>
      </w:r>
    </w:p>
    <w:p>
      <w:pPr>
        <w:numPr>
          <w:ilvl w:val="0"/>
          <w:numId w:val="1180"/>
        </w:numPr>
        <w:pStyle w:val="Compact"/>
      </w:pPr>
      <w:r>
        <w:t xml:space="preserve">The title of the poster describes the main result of your research</w:t>
      </w:r>
    </w:p>
    <w:p>
      <w:pPr>
        <w:numPr>
          <w:ilvl w:val="0"/>
          <w:numId w:val="1180"/>
        </w:numPr>
        <w:pStyle w:val="Compact"/>
      </w:pPr>
      <w:r>
        <w:t xml:space="preserve">The title of the poster does not overstate the findings or significance of your research</w:t>
      </w:r>
    </w:p>
    <w:bookmarkEnd w:id="311"/>
    <w:bookmarkStart w:id="315" w:name="abstract"/>
    <w:p>
      <w:pPr>
        <w:pStyle w:val="Heading4"/>
      </w:pPr>
      <w:r>
        <w:rPr>
          <w:rStyle w:val="SectionNumber"/>
        </w:rPr>
        <w:t xml:space="preserve">6.1.3.2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313" name="Picture"/>
            <a:graphic>
              <a:graphicData uri="http://schemas.openxmlformats.org/drawingml/2006/picture">
                <pic:pic>
                  <pic:nvPicPr>
                    <pic:cNvPr descr="community-analysis-and-feedback_files/figure-docx//1dI8-_iVqbkzNMf11M4dK85E8ZW3OyZECs_YwMKw5fhs_g36d8202a6d3_0_0.png" id="314" name="Picture"/>
                    <pic:cNvPicPr>
                      <a:picLocks noChangeArrowheads="1" noChangeAspect="1"/>
                    </pic:cNvPicPr>
                  </pic:nvPicPr>
                  <pic:blipFill>
                    <a:blip r:embed="rId3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be well designed and communicated, and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w:t>
      </w:r>
    </w:p>
    <w:p>
      <w:pPr>
        <w:pStyle w:val="BodyText"/>
      </w:pPr>
      <w:r>
        <w:rPr>
          <w:bCs/>
          <w:b/>
        </w:rPr>
        <w:t xml:space="preserve">Your abstract should do the following:</w:t>
      </w:r>
    </w:p>
    <w:p>
      <w:pPr>
        <w:numPr>
          <w:ilvl w:val="0"/>
          <w:numId w:val="1181"/>
        </w:numPr>
        <w:pStyle w:val="Compact"/>
      </w:pPr>
      <w:r>
        <w:rPr>
          <w:bCs/>
          <w:b/>
        </w:rPr>
        <w:t xml:space="preserve">Clearly and briefly</w:t>
      </w:r>
      <w:r>
        <w:t xml:space="preserve"> </w:t>
      </w:r>
      <w:r>
        <w:t xml:space="preserve">state purpose,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182"/>
        </w:numPr>
        <w:pStyle w:val="Compact"/>
      </w:pPr>
      <w:r>
        <w:rPr>
          <w:bCs/>
          <w:b/>
        </w:rPr>
        <w:t xml:space="preserve">Clearly and briefly</w:t>
      </w:r>
      <w:r>
        <w:t xml:space="preserve"> </w:t>
      </w:r>
      <w:r>
        <w:t xml:space="preserve">summarize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183"/>
        </w:numPr>
        <w:pStyle w:val="Compact"/>
      </w:pPr>
      <w:r>
        <w:rPr>
          <w:bCs/>
          <w:b/>
        </w:rPr>
        <w:t xml:space="preserve">Clearly and briefly</w:t>
      </w:r>
      <w:r>
        <w:t xml:space="preserve"> </w:t>
      </w: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p>
      <w:pPr>
        <w:numPr>
          <w:ilvl w:val="0"/>
          <w:numId w:val="1184"/>
        </w:numPr>
        <w:pStyle w:val="Compact"/>
      </w:pPr>
      <w:r>
        <w:rPr>
          <w:bCs/>
          <w:b/>
        </w:rPr>
        <w:t xml:space="preserve">Clearly and briefly</w:t>
      </w:r>
      <w:r>
        <w:t xml:space="preserve"> </w:t>
      </w:r>
      <w:r>
        <w:t xml:space="preserve">summarize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pStyle w:val="FirstParagraph"/>
      </w:pPr>
      <w:r>
        <w:rPr>
          <w:iCs/>
          <w:i/>
          <w:bCs/>
          <w:b/>
        </w:rPr>
        <w:t xml:space="preserve">Overall, the Abstract is heavy on summary aspect of things, and lean on details aspect of things</w:t>
      </w:r>
      <w:r>
        <w:t xml:space="preserve">.</w:t>
      </w:r>
    </w:p>
    <w:bookmarkEnd w:id="315"/>
    <w:bookmarkStart w:id="322" w:name="introduction-9"/>
    <w:p>
      <w:pPr>
        <w:pStyle w:val="Heading4"/>
      </w:pPr>
      <w:r>
        <w:rPr>
          <w:rStyle w:val="SectionNumber"/>
        </w:rPr>
        <w:t xml:space="preserve">6.1.3.3</w:t>
      </w:r>
      <w:r>
        <w:tab/>
      </w:r>
      <w:r>
        <w:t xml:space="preserve">Introduction</w:t>
      </w:r>
    </w:p>
    <w:p>
      <w:pPr>
        <w:pStyle w:val="FirstParagraph"/>
      </w:pPr>
      <w:r>
        <w:drawing>
          <wp:inline>
            <wp:extent cx="5334000" cy="3000375"/>
            <wp:effectExtent b="0" l="0" r="0" t="0"/>
            <wp:docPr descr="" title="" id="317" name="Picture"/>
            <a:graphic>
              <a:graphicData uri="http://schemas.openxmlformats.org/drawingml/2006/picture">
                <pic:pic>
                  <pic:nvPicPr>
                    <pic:cNvPr descr="community-analysis-and-feedback_files/figure-docx//1dI8-_iVqbkzNMf11M4dK85E8ZW3OyZECs_YwMKw5fhs_g362974128df_0_18.png" id="318" name="Picture"/>
                    <pic:cNvPicPr>
                      <a:picLocks noChangeArrowheads="1" noChangeAspect="1"/>
                    </pic:cNvPicPr>
                  </pic:nvPicPr>
                  <pic:blipFill>
                    <a:blip r:embed="rId3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introduction typically appears immediately after the Abstract section, and while abstract is very brief and consise, Introduction provides more context and background information to your research.</w:t>
      </w:r>
      <w:r>
        <w:t xml:space="preserve"> </w:t>
      </w:r>
      <w:r>
        <w:t xml:space="preserve">Indeed, the main goal of the Introduction is to</w:t>
      </w:r>
      <w:r>
        <w:t xml:space="preserve"> </w:t>
      </w:r>
      <w:r>
        <w:rPr>
          <w:bCs/>
          <w:b/>
        </w:rPr>
        <w:t xml:space="preserve">clearly elaborate on relevant background information and provide context for research gap and hypothesis</w:t>
      </w:r>
      <w:r>
        <w:t xml:space="preserve">.</w:t>
      </w:r>
    </w:p>
    <w:p>
      <w:pPr>
        <w:pStyle w:val="BodyText"/>
      </w:pPr>
      <w:r>
        <w:rPr>
          <w:iCs/>
          <w:i/>
          <w:bCs/>
          <w:b/>
        </w:rPr>
        <w:t xml:space="preserve">Overall, the Introduction is longer than the Abstract, heavier on providing research context and background, and leaner on result summary and conclusions.</w:t>
      </w:r>
      <w:r>
        <w:t xml:space="preserve">.</w:t>
      </w:r>
    </w:p>
    <w:p>
      <w:pPr>
        <w:numPr>
          <w:ilvl w:val="0"/>
          <w:numId w:val="1185"/>
        </w:numPr>
        <w:pStyle w:val="Compact"/>
      </w:pPr>
      <w:r>
        <w:t xml:space="preserve">Sometimes, you will se an Introduction section used instead of the Abstract + Introduction sections, in which case, the Introduction will contain both, abstract information plus additional background information, such as this published PacBio’s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FirstParagraph"/>
      </w:pPr>
      <w:r>
        <w:drawing>
          <wp:inline>
            <wp:extent cx="5334000" cy="3000375"/>
            <wp:effectExtent b="0" l="0" r="0" t="0"/>
            <wp:docPr descr="" title="" id="320" name="Picture"/>
            <a:graphic>
              <a:graphicData uri="http://schemas.openxmlformats.org/drawingml/2006/picture">
                <pic:pic>
                  <pic:nvPicPr>
                    <pic:cNvPr descr="community-analysis-and-feedback_files/figure-docx//1hYKF7Ss3vJ8rrUIH7ByNh1BUlRa2fhsJhq8MXzEowCc_g33d6e3b928f_0_149.png" id="321" name="Picture"/>
                    <pic:cNvPicPr>
                      <a:picLocks noChangeArrowheads="1" noChangeAspect="1"/>
                    </pic:cNvPicPr>
                  </pic:nvPicPr>
                  <pic:blipFill>
                    <a:blip r:embed="rId319"/>
                    <a:stretch>
                      <a:fillRect/>
                    </a:stretch>
                  </pic:blipFill>
                  <pic:spPr bwMode="auto">
                    <a:xfrm>
                      <a:off x="0" y="0"/>
                      <a:ext cx="5334000" cy="3000375"/>
                    </a:xfrm>
                    <a:prstGeom prst="rect">
                      <a:avLst/>
                    </a:prstGeom>
                    <a:noFill/>
                    <a:ln w="9525">
                      <a:noFill/>
                      <a:headEnd/>
                      <a:tailEnd/>
                    </a:ln>
                  </pic:spPr>
                </pic:pic>
              </a:graphicData>
            </a:graphic>
          </wp:inline>
        </w:drawing>
      </w:r>
    </w:p>
    <w:bookmarkEnd w:id="322"/>
    <w:bookmarkStart w:id="326" w:name="materials-and-methods"/>
    <w:p>
      <w:pPr>
        <w:pStyle w:val="Heading4"/>
      </w:pPr>
      <w:r>
        <w:rPr>
          <w:rStyle w:val="SectionNumber"/>
        </w:rPr>
        <w:t xml:space="preserve">6.1.3.4</w:t>
      </w:r>
      <w:r>
        <w:tab/>
      </w:r>
      <w:r>
        <w:t xml:space="preserve">Materials and Methods</w:t>
      </w:r>
    </w:p>
    <w:p>
      <w:pPr>
        <w:pStyle w:val="FirstParagraph"/>
      </w:pPr>
      <w:r>
        <w:drawing>
          <wp:inline>
            <wp:extent cx="5334000" cy="3000375"/>
            <wp:effectExtent b="0" l="0" r="0" t="0"/>
            <wp:docPr descr="" title="" id="324" name="Picture"/>
            <a:graphic>
              <a:graphicData uri="http://schemas.openxmlformats.org/drawingml/2006/picture">
                <pic:pic>
                  <pic:nvPicPr>
                    <pic:cNvPr descr="community-analysis-and-feedback_files/figure-docx//1hYKF7Ss3vJ8rrUIH7ByNh1BUlRa2fhsJhq8MXzEowCc_g33d6e3b928f_1_1.png" id="325" name="Picture"/>
                    <pic:cNvPicPr>
                      <a:picLocks noChangeArrowheads="1" noChangeAspect="1"/>
                    </pic:cNvPicPr>
                  </pic:nvPicPr>
                  <pic:blipFill>
                    <a:blip r:embed="rId3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326"/>
    <w:bookmarkStart w:id="330" w:name="results"/>
    <w:p>
      <w:pPr>
        <w:pStyle w:val="Heading4"/>
      </w:pPr>
      <w:r>
        <w:rPr>
          <w:rStyle w:val="SectionNumber"/>
        </w:rPr>
        <w:t xml:space="preserve">6.1.3.5</w:t>
      </w:r>
      <w:r>
        <w:tab/>
      </w:r>
      <w:r>
        <w:t xml:space="preserve">Results</w:t>
      </w:r>
    </w:p>
    <w:p>
      <w:pPr>
        <w:pStyle w:val="FirstParagraph"/>
      </w:pPr>
      <w:r>
        <w:drawing>
          <wp:inline>
            <wp:extent cx="5334000" cy="3000375"/>
            <wp:effectExtent b="0" l="0" r="0" t="0"/>
            <wp:docPr descr="" title="" id="328" name="Picture"/>
            <a:graphic>
              <a:graphicData uri="http://schemas.openxmlformats.org/drawingml/2006/picture">
                <pic:pic>
                  <pic:nvPicPr>
                    <pic:cNvPr descr="community-analysis-and-feedback_files/figure-docx//1hYKF7Ss3vJ8rrUIH7ByNh1BUlRa2fhsJhq8MXzEowCc_g33d6e3b928f_0_6.png" id="329" name="Picture"/>
                    <pic:cNvPicPr>
                      <a:picLocks noChangeArrowheads="1" noChangeAspect="1"/>
                    </pic:cNvPicPr>
                  </pic:nvPicPr>
                  <pic:blipFill>
                    <a:blip r:embed="rId3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186"/>
        </w:numPr>
        <w:pStyle w:val="Compact"/>
      </w:pPr>
      <w:r>
        <w:t xml:space="preserve">Has high resolution images, well spaced and labeled parts and text.</w:t>
      </w:r>
    </w:p>
    <w:p>
      <w:pPr>
        <w:numPr>
          <w:ilvl w:val="0"/>
          <w:numId w:val="1186"/>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187"/>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187"/>
        </w:numPr>
        <w:pStyle w:val="Compact"/>
      </w:pPr>
      <w:r>
        <w:t xml:space="preserve">The legend should be in a smaller font than the main text on the poster.</w:t>
      </w:r>
    </w:p>
    <w:p>
      <w:pPr>
        <w:numPr>
          <w:ilvl w:val="0"/>
          <w:numId w:val="1187"/>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187"/>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188"/>
        </w:numPr>
        <w:pStyle w:val="Compact"/>
      </w:pPr>
      <w:r>
        <w:t xml:space="preserve">Figures and Tables can have additional (optional) text. E.g.an optional text can describe the findings of the figure upfront to engage.</w:t>
      </w:r>
    </w:p>
    <w:p>
      <w:pPr>
        <w:numPr>
          <w:ilvl w:val="0"/>
          <w:numId w:val="1188"/>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188"/>
        </w:numPr>
        <w:pStyle w:val="Compact"/>
      </w:pPr>
      <w:r>
        <w:t xml:space="preserve">Bullet pointed text that summarizes the main findings of the figures/tables.</w:t>
      </w:r>
    </w:p>
    <w:bookmarkEnd w:id="330"/>
    <w:bookmarkStart w:id="334" w:name="conclusionsdiscussion"/>
    <w:p>
      <w:pPr>
        <w:pStyle w:val="Heading4"/>
      </w:pPr>
      <w:r>
        <w:rPr>
          <w:rStyle w:val="SectionNumber"/>
        </w:rPr>
        <w:t xml:space="preserve">6.1.3.6</w:t>
      </w:r>
      <w:r>
        <w:tab/>
      </w:r>
      <w:r>
        <w:t xml:space="preserve">Conclusions/Discussion</w:t>
      </w:r>
    </w:p>
    <w:p>
      <w:pPr>
        <w:pStyle w:val="FirstParagraph"/>
      </w:pPr>
      <w:r>
        <w:drawing>
          <wp:inline>
            <wp:extent cx="5334000" cy="3000375"/>
            <wp:effectExtent b="0" l="0" r="0" t="0"/>
            <wp:docPr descr="" title="" id="332" name="Picture"/>
            <a:graphic>
              <a:graphicData uri="http://schemas.openxmlformats.org/drawingml/2006/picture">
                <pic:pic>
                  <pic:nvPicPr>
                    <pic:cNvPr descr="community-analysis-and-feedback_files/figure-docx//1dI8-_iVqbkzNMf11M4dK85E8ZW3OyZECs_YwMKw5fhs_g362974128df_0_52.png" id="333" name="Picture"/>
                    <pic:cNvPicPr>
                      <a:picLocks noChangeArrowheads="1" noChangeAspect="1"/>
                    </pic:cNvPicPr>
                  </pic:nvPicPr>
                  <pic:blipFill>
                    <a:blip r:embed="rId3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189"/>
        </w:numPr>
        <w:pStyle w:val="Compact"/>
      </w:pPr>
      <w:r>
        <w:t xml:space="preserve">What do your results mean?</w:t>
      </w:r>
    </w:p>
    <w:p>
      <w:pPr>
        <w:numPr>
          <w:ilvl w:val="0"/>
          <w:numId w:val="1189"/>
        </w:numPr>
        <w:pStyle w:val="Compact"/>
      </w:pPr>
      <w:r>
        <w:t xml:space="preserve">How do they fit into the bigger picture?</w:t>
      </w:r>
    </w:p>
    <w:p>
      <w:pPr>
        <w:numPr>
          <w:ilvl w:val="0"/>
          <w:numId w:val="1189"/>
        </w:numPr>
        <w:pStyle w:val="Compact"/>
      </w:pPr>
      <w:r>
        <w:t xml:space="preserve">If any experiments did not give expected results, hypothesize why that might have been the case and propose alternate experiments that could confirm or clarify your results.</w:t>
      </w:r>
    </w:p>
    <w:p>
      <w:pPr>
        <w:numPr>
          <w:ilvl w:val="0"/>
          <w:numId w:val="1189"/>
        </w:numPr>
        <w:pStyle w:val="Compact"/>
      </w:pPr>
      <w:r>
        <w:t xml:space="preserve">Include at least one sentence of future work that you would do if you had more time or what students in upcoming semesters could do to continue to answer your questions.</w:t>
      </w:r>
    </w:p>
    <w:bookmarkEnd w:id="334"/>
    <w:bookmarkStart w:id="340" w:name="references"/>
    <w:p>
      <w:pPr>
        <w:pStyle w:val="Heading4"/>
      </w:pPr>
      <w:r>
        <w:rPr>
          <w:rStyle w:val="SectionNumber"/>
        </w:rPr>
        <w:t xml:space="preserve">6.1.3.7</w:t>
      </w:r>
      <w:r>
        <w:tab/>
      </w:r>
      <w:r>
        <w:t xml:space="preserve">References</w:t>
      </w:r>
    </w:p>
    <w:p>
      <w:pPr>
        <w:pStyle w:val="FirstParagraph"/>
      </w:pPr>
      <w:r>
        <w:drawing>
          <wp:inline>
            <wp:extent cx="5334000" cy="3000375"/>
            <wp:effectExtent b="0" l="0" r="0" t="0"/>
            <wp:docPr descr="" title="" id="336" name="Picture"/>
            <a:graphic>
              <a:graphicData uri="http://schemas.openxmlformats.org/drawingml/2006/picture">
                <pic:pic>
                  <pic:nvPicPr>
                    <pic:cNvPr descr="community-analysis-and-feedback_files/figure-docx//1dI8-_iVqbkzNMf11M4dK85E8ZW3OyZECs_YwMKw5fhs_g362974128df_0_80.png" id="337" name="Picture"/>
                    <pic:cNvPicPr>
                      <a:picLocks noChangeArrowheads="1" noChangeAspect="1"/>
                    </pic:cNvPicPr>
                  </pic:nvPicPr>
                  <pic:blipFill>
                    <a:blip r:embed="rId3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338">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339">
        <w:r>
          <w:rPr>
            <w:rStyle w:val="Hyperlink"/>
          </w:rPr>
          <w:t xml:space="preserve">doi:10.7554/eLife.00886</w:t>
        </w:r>
      </w:hyperlink>
    </w:p>
    <w:bookmarkEnd w:id="340"/>
    <w:bookmarkStart w:id="344" w:name="acknowledgements"/>
    <w:p>
      <w:pPr>
        <w:pStyle w:val="Heading4"/>
      </w:pPr>
      <w:r>
        <w:rPr>
          <w:rStyle w:val="SectionNumber"/>
        </w:rPr>
        <w:t xml:space="preserve">6.1.3.8</w:t>
      </w:r>
      <w:r>
        <w:tab/>
      </w:r>
      <w:r>
        <w:t xml:space="preserve">Acknowledgements</w:t>
      </w:r>
    </w:p>
    <w:p>
      <w:pPr>
        <w:pStyle w:val="FirstParagraph"/>
      </w:pPr>
      <w:r>
        <w:drawing>
          <wp:inline>
            <wp:extent cx="5334000" cy="3000375"/>
            <wp:effectExtent b="0" l="0" r="0" t="0"/>
            <wp:docPr descr="" title="" id="342" name="Picture"/>
            <a:graphic>
              <a:graphicData uri="http://schemas.openxmlformats.org/drawingml/2006/picture">
                <pic:pic>
                  <pic:nvPicPr>
                    <pic:cNvPr descr="community-analysis-and-feedback_files/figure-docx//1dI8-_iVqbkzNMf11M4dK85E8ZW3OyZECs_YwMKw5fhs_g362974128df_0_30.png" id="343" name="Picture"/>
                    <pic:cNvPicPr>
                      <a:picLocks noChangeArrowheads="1" noChangeAspect="1"/>
                    </pic:cNvPicPr>
                  </pic:nvPicPr>
                  <pic:blipFill>
                    <a:blip r:embed="rId3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344"/>
    <w:bookmarkEnd w:id="345"/>
    <w:bookmarkStart w:id="346" w:name="part-3---proofread-and-add-final-touches"/>
    <w:p>
      <w:pPr>
        <w:pStyle w:val="Heading3"/>
      </w:pPr>
      <w:r>
        <w:rPr>
          <w:rStyle w:val="SectionNumber"/>
        </w:rPr>
        <w:t xml:space="preserve">6.1.4</w:t>
      </w:r>
      <w:r>
        <w:tab/>
      </w:r>
      <w:r>
        <w:t xml:space="preserve">Part 3 - Proofread and Add Final Touches</w:t>
      </w:r>
    </w:p>
    <w:p>
      <w:pPr>
        <w:pStyle w:val="FirstParagraph"/>
      </w:pPr>
      <w:r>
        <w:rPr>
          <w:iCs/>
          <w:i/>
        </w:rPr>
        <w:t xml:space="preserve">Estimated time: 30 min to an hour</w:t>
      </w:r>
    </w:p>
    <w:p>
      <w:pPr>
        <w:numPr>
          <w:ilvl w:val="0"/>
          <w:numId w:val="1190"/>
        </w:numPr>
        <w:pStyle w:val="Compact"/>
      </w:pPr>
      <w:r>
        <w:t xml:space="preserve">Each group member should re-read the poster from beginning to end and fix any typos or grammatical errors.</w:t>
      </w:r>
    </w:p>
    <w:p>
      <w:pPr>
        <w:numPr>
          <w:ilvl w:val="0"/>
          <w:numId w:val="1190"/>
        </w:numPr>
        <w:pStyle w:val="Compact"/>
      </w:pPr>
      <w:r>
        <w:t xml:space="preserve">Check the alignment of figures, text boxes, titles, etc.</w:t>
      </w:r>
    </w:p>
    <w:p>
      <w:pPr>
        <w:numPr>
          <w:ilvl w:val="0"/>
          <w:numId w:val="1190"/>
        </w:numPr>
        <w:pStyle w:val="Compact"/>
      </w:pPr>
      <w:r>
        <w:t xml:space="preserve">Add some finishing touches. You can play with the color, the font, add additional images if it’s relevant.</w:t>
      </w:r>
    </w:p>
    <w:bookmarkEnd w:id="346"/>
    <w:bookmarkStart w:id="352" w:name="part-4---canvas-discussion"/>
    <w:p>
      <w:pPr>
        <w:pStyle w:val="Heading3"/>
      </w:pPr>
      <w:r>
        <w:rPr>
          <w:rStyle w:val="SectionNumber"/>
        </w:rPr>
        <w:t xml:space="preserve">6.1.5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191"/>
        </w:numPr>
        <w:pStyle w:val="Compact"/>
      </w:pPr>
      <w:r>
        <w:t xml:space="preserve">Convert your poster to a pdf.</w:t>
      </w:r>
    </w:p>
    <w:p>
      <w:pPr>
        <w:numPr>
          <w:ilvl w:val="0"/>
          <w:numId w:val="1191"/>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191"/>
        </w:numPr>
        <w:pStyle w:val="Compact"/>
      </w:pPr>
      <w:r>
        <w:t xml:space="preserve">Have one member of your group post a pdf of your poster in the Canvas C-MOOR Poster Discussion.</w:t>
      </w:r>
    </w:p>
    <w:p>
      <w:pPr>
        <w:numPr>
          <w:ilvl w:val="1"/>
          <w:numId w:val="1192"/>
        </w:numPr>
        <w:pStyle w:val="Compact"/>
      </w:pPr>
      <w:r>
        <w:t xml:space="preserve">With your poster, introduce your group members and copy and paste your abstract into the post.</w:t>
      </w:r>
    </w:p>
    <w:p>
      <w:pPr>
        <w:numPr>
          <w:ilvl w:val="1"/>
          <w:numId w:val="1192"/>
        </w:numPr>
        <w:pStyle w:val="Compact"/>
      </w:pPr>
      <w:r>
        <w:t xml:space="preserve">Insert your pdf into the post and edit the link so that it automatically shows the inline preview. This will make it easier for students to view your poster.</w:t>
      </w:r>
    </w:p>
    <w:p>
      <w:pPr>
        <w:numPr>
          <w:ilvl w:val="0"/>
          <w:numId w:val="1191"/>
        </w:numPr>
        <w:pStyle w:val="Compact"/>
      </w:pPr>
      <w:r>
        <w:t xml:space="preserve">As an individual, read through the other posters from different groups.</w:t>
      </w:r>
    </w:p>
    <w:p>
      <w:pPr>
        <w:numPr>
          <w:ilvl w:val="0"/>
          <w:numId w:val="1191"/>
        </w:numPr>
        <w:pStyle w:val="Compact"/>
      </w:pPr>
      <w:r>
        <w:t xml:space="preserve">Post comments</w:t>
      </w:r>
    </w:p>
    <w:bookmarkStart w:id="347" w:name="grading-criteria-9"/>
    <w:p>
      <w:pPr>
        <w:pStyle w:val="Heading4"/>
      </w:pPr>
      <w:r>
        <w:rPr>
          <w:rStyle w:val="SectionNumber"/>
        </w:rPr>
        <w:t xml:space="preserve">6.1.5.1</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347"/>
    <w:bookmarkStart w:id="351" w:name="footnotes-17"/>
    <w:p>
      <w:pPr>
        <w:pStyle w:val="Heading4"/>
      </w:pPr>
      <w:r>
        <w:rPr>
          <w:rStyle w:val="SectionNumber"/>
        </w:rPr>
        <w:t xml:space="preserve">6.1.5.2</w:t>
      </w:r>
      <w:r>
        <w:tab/>
      </w:r>
      <w:r>
        <w:t xml:space="preserve">Footnotes</w:t>
      </w:r>
    </w:p>
    <w:p>
      <w:pPr>
        <w:pStyle w:val="FirstParagraph"/>
      </w:pPr>
      <w:r>
        <w:rPr>
          <w:bCs/>
          <w:b/>
        </w:rPr>
        <w:t xml:space="preserve">Resources</w:t>
      </w:r>
    </w:p>
    <w:p>
      <w:pPr>
        <w:numPr>
          <w:ilvl w:val="0"/>
          <w:numId w:val="1193"/>
        </w:numPr>
        <w:pStyle w:val="Compact"/>
      </w:pPr>
      <w:r>
        <w:t xml:space="preserve">[Google Doc]</w:t>
      </w:r>
    </w:p>
    <w:p>
      <w:pPr>
        <w:numPr>
          <w:ilvl w:val="0"/>
          <w:numId w:val="1193"/>
        </w:numPr>
        <w:pStyle w:val="Compact"/>
      </w:pPr>
      <w:hyperlink r:id="rId348">
        <w:r>
          <w:rPr>
            <w:rStyle w:val="Hyperlink"/>
          </w:rPr>
          <w:t xml:space="preserve">Generic rubric</w:t>
        </w:r>
      </w:hyperlink>
    </w:p>
    <w:p>
      <w:pPr>
        <w:pStyle w:val="FirstParagraph"/>
      </w:pPr>
      <w:r>
        <w:rPr>
          <w:bCs/>
          <w:b/>
        </w:rPr>
        <w:t xml:space="preserve">References</w:t>
      </w:r>
    </w:p>
    <w:p>
      <w:pPr>
        <w:numPr>
          <w:ilvl w:val="0"/>
          <w:numId w:val="1194"/>
        </w:numPr>
        <w:pStyle w:val="Compact"/>
      </w:pPr>
      <w:hyperlink r:id="rId349">
        <w:r>
          <w:rPr>
            <w:rStyle w:val="Hyperlink"/>
          </w:rPr>
          <w:t xml:space="preserve">Abstract vs. Introduction</w:t>
        </w:r>
      </w:hyperlink>
    </w:p>
    <w:p>
      <w:pPr>
        <w:numPr>
          <w:ilvl w:val="0"/>
          <w:numId w:val="1194"/>
        </w:numPr>
        <w:pStyle w:val="Compact"/>
      </w:pPr>
      <w:r>
        <w:t xml:space="preserve">[Preparing and presenting effective research posters] (</w:t>
      </w:r>
      <w:hyperlink r:id="rId350">
        <w:r>
          <w:rPr>
            <w:rStyle w:val="Hyperlink"/>
          </w:rPr>
          <w:t xml:space="preserve">https://onlinelibrary.wiley.com/doi/10.1111/j.1475-6773.2006.00588.x</w:t>
        </w:r>
      </w:hyperlink>
      <w:r>
        <w:t xml:space="preserve">)</w:t>
      </w:r>
    </w:p>
    <w:p>
      <w:pPr>
        <w:pStyle w:val="FirstParagraph"/>
      </w:pPr>
      <w:r>
        <w:rPr>
          <w:bCs/>
          <w:b/>
        </w:rPr>
        <w:t xml:space="preserve">Contributions and Affiliations</w:t>
      </w:r>
    </w:p>
    <w:p>
      <w:pPr>
        <w:numPr>
          <w:ilvl w:val="0"/>
          <w:numId w:val="1195"/>
        </w:numPr>
        <w:pStyle w:val="Compact"/>
      </w:pPr>
      <w:r>
        <w:t xml:space="preserve">Stephanie R. Coffman, Clovis Community College</w:t>
      </w:r>
    </w:p>
    <w:p>
      <w:pPr>
        <w:numPr>
          <w:ilvl w:val="0"/>
          <w:numId w:val="1195"/>
        </w:numPr>
        <w:pStyle w:val="Compact"/>
      </w:pPr>
      <w:r>
        <w:t xml:space="preserve">Valeriya Gaysinskaya, Johns Hopkins University</w:t>
      </w:r>
    </w:p>
    <w:p>
      <w:pPr>
        <w:numPr>
          <w:ilvl w:val="0"/>
          <w:numId w:val="1195"/>
        </w:numPr>
        <w:pStyle w:val="Compact"/>
      </w:pPr>
      <w:r>
        <w:t xml:space="preserve">Frederick Tan, Johns Hopkins University</w:t>
      </w:r>
    </w:p>
    <w:p>
      <w:pPr>
        <w:numPr>
          <w:ilvl w:val="0"/>
          <w:numId w:val="1195"/>
        </w:numPr>
        <w:pStyle w:val="Compact"/>
      </w:pPr>
      <w:r>
        <w:t xml:space="preserve">Sayumi York, Notre Dame of Maryland University</w:t>
      </w:r>
    </w:p>
    <w:p>
      <w:pPr>
        <w:pStyle w:val="FirstParagraph"/>
      </w:pPr>
      <w:r>
        <w:t xml:space="preserve">Last Revised: August 2025</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351"/>
    <w:bookmarkEnd w:id="352"/>
    <w:bookmarkEnd w:id="353"/>
    <w:bookmarkStart w:id="358" w:name="lecture---scientific-posters"/>
    <w:p>
      <w:pPr>
        <w:pStyle w:val="Heading2"/>
      </w:pPr>
      <w:r>
        <w:rPr>
          <w:rStyle w:val="SectionNumber"/>
        </w:rPr>
        <w:t xml:space="preserve">6.2</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355" name="Picture"/>
            <a:graphic>
              <a:graphicData uri="http://schemas.openxmlformats.org/drawingml/2006/picture">
                <pic:pic>
                  <pic:nvPicPr>
                    <pic:cNvPr descr="community-analysis-and-feedback_files/figure-docx//1-orSi8DpN22hMt9-6p_rHZnte1YXXLe-a132HDSyd0U_g35f391192_00.png" id="356" name="Picture"/>
                    <pic:cNvPicPr>
                      <a:picLocks noChangeArrowheads="1" noChangeAspect="1"/>
                    </pic:cNvPicPr>
                  </pic:nvPicPr>
                  <pic:blipFill>
                    <a:blip r:embed="rId3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57">
        <w:r>
          <w:rPr>
            <w:rStyle w:val="Hyperlink"/>
          </w:rPr>
          <w:t xml:space="preserve">Scientific Posters</w:t>
        </w:r>
      </w:hyperlink>
    </w:p>
    <w:bookmarkEnd w:id="358"/>
    <w:bookmarkStart w:id="366" w:name="activity---scientific-posters"/>
    <w:p>
      <w:pPr>
        <w:pStyle w:val="Heading2"/>
      </w:pPr>
      <w:r>
        <w:rPr>
          <w:rStyle w:val="SectionNumber"/>
        </w:rPr>
        <w:t xml:space="preserve">6.3</w:t>
      </w:r>
      <w:r>
        <w:tab/>
      </w:r>
      <w:r>
        <w:t xml:space="preserve">Activity - Scientific Posters</w:t>
      </w:r>
    </w:p>
    <w:bookmarkStart w:id="363" w:name="activity-1"/>
    <w:p>
      <w:pPr>
        <w:pStyle w:val="Heading3"/>
      </w:pPr>
      <w:r>
        <w:rPr>
          <w:rStyle w:val="SectionNumber"/>
        </w:rPr>
        <w:t xml:space="preserve">6.3.1</w:t>
      </w:r>
      <w:r>
        <w:tab/>
      </w:r>
      <w:r>
        <w:t xml:space="preserve">Activity</w:t>
      </w:r>
    </w:p>
    <w:p>
      <w:pPr>
        <w:pStyle w:val="FirstParagraph"/>
      </w:pPr>
      <w:r>
        <w:rPr>
          <w:iCs/>
          <w:i/>
        </w:rPr>
        <w:t xml:space="preserve">Estimated time: —</w:t>
      </w:r>
    </w:p>
    <w:bookmarkStart w:id="362" w:name="instructions-2"/>
    <w:p>
      <w:pPr>
        <w:pStyle w:val="Heading4"/>
      </w:pPr>
      <w:r>
        <w:rPr>
          <w:rStyle w:val="SectionNumber"/>
        </w:rPr>
        <w:t xml:space="preserve">6.3.1.1</w:t>
      </w:r>
      <w:r>
        <w:tab/>
      </w:r>
      <w:r>
        <w:t xml:space="preserve">Instructions</w:t>
      </w:r>
    </w:p>
    <w:p>
      <w:pPr>
        <w:numPr>
          <w:ilvl w:val="0"/>
          <w:numId w:val="1196"/>
        </w:numPr>
      </w:pPr>
      <w:r>
        <w:t xml:space="preserve">Review</w:t>
      </w:r>
      <w:r>
        <w:t xml:space="preserve"> </w:t>
      </w:r>
      <w:hyperlink r:id="rId359">
        <w:r>
          <w:rPr>
            <w:rStyle w:val="Hyperlink"/>
            <w:bCs/>
            <w:b/>
          </w:rPr>
          <w:t xml:space="preserve">Presentations Guidelines for Posters</w:t>
        </w:r>
      </w:hyperlink>
    </w:p>
    <w:p>
      <w:pPr>
        <w:numPr>
          <w:ilvl w:val="0"/>
          <w:numId w:val="1196"/>
        </w:numPr>
      </w:pPr>
      <w:r>
        <w:t xml:space="preserve">Skim three posters from among the following (must be Biology if from UMBC Posters)</w:t>
      </w:r>
    </w:p>
    <w:p>
      <w:pPr>
        <w:numPr>
          <w:ilvl w:val="0"/>
          <w:numId w:val="1197"/>
        </w:numPr>
      </w:pPr>
      <w:hyperlink r:id="rId33">
        <w:r>
          <w:rPr>
            <w:rStyle w:val="Hyperlink"/>
            <w:bCs/>
            <w:b/>
          </w:rPr>
          <w:t xml:space="preserve">Look at This! Category on the Academy Discussion Forum</w:t>
        </w:r>
      </w:hyperlink>
    </w:p>
    <w:p>
      <w:pPr>
        <w:numPr>
          <w:ilvl w:val="0"/>
          <w:numId w:val="1197"/>
        </w:numPr>
      </w:pPr>
      <w:hyperlink r:id="rId360">
        <w:r>
          <w:rPr>
            <w:rStyle w:val="Hyperlink"/>
            <w:bCs/>
            <w:b/>
          </w:rPr>
          <w:t xml:space="preserve">UMBC Biology Posters</w:t>
        </w:r>
      </w:hyperlink>
    </w:p>
    <w:p>
      <w:pPr>
        <w:numPr>
          <w:ilvl w:val="0"/>
          <w:numId w:val="1197"/>
        </w:numPr>
      </w:pPr>
      <w:hyperlink r:id="rId361">
        <w:r>
          <w:rPr>
            <w:rStyle w:val="Hyperlink"/>
            <w:bCs/>
            <w:b/>
          </w:rPr>
          <w:t xml:space="preserve">The example PacBio Poster</w:t>
        </w:r>
      </w:hyperlink>
    </w:p>
    <w:p>
      <w:pPr>
        <w:numPr>
          <w:ilvl w:val="0"/>
          <w:numId w:val="1198"/>
        </w:numPr>
        <w:pStyle w:val="Compact"/>
      </w:pPr>
      <w:r>
        <w:t xml:space="preserve">Pick one poster and address the following points.</w:t>
      </w:r>
    </w:p>
    <w:p>
      <w:pPr>
        <w:numPr>
          <w:ilvl w:val="0"/>
          <w:numId w:val="1199"/>
        </w:numPr>
      </w:pPr>
      <w:r>
        <w:rPr>
          <w:bCs/>
          <w:b/>
        </w:rPr>
        <w:t xml:space="preserve">Notice</w:t>
      </w:r>
      <w:r>
        <w:t xml:space="preserve"> </w:t>
      </w:r>
      <w:r>
        <w:t xml:space="preserve">– What about this poster most interests you?</w:t>
      </w:r>
    </w:p>
    <w:p>
      <w:pPr>
        <w:numPr>
          <w:ilvl w:val="0"/>
          <w:numId w:val="1199"/>
        </w:numPr>
      </w:pPr>
      <w:r>
        <w:rPr>
          <w:bCs/>
          <w:b/>
        </w:rPr>
        <w:t xml:space="preserve">Wonder</w:t>
      </w:r>
      <w:r>
        <w:t xml:space="preserve"> </w:t>
      </w:r>
      <w:r>
        <w:t xml:space="preserve">– Two or three questions you would ask the authors.</w:t>
      </w:r>
    </w:p>
    <w:p>
      <w:pPr>
        <w:numPr>
          <w:ilvl w:val="0"/>
          <w:numId w:val="1199"/>
        </w:numPr>
      </w:pPr>
      <w:r>
        <w:rPr>
          <w:bCs/>
          <w:b/>
        </w:rPr>
        <w:t xml:space="preserve">Support</w:t>
      </w:r>
      <w:r>
        <w:t xml:space="preserve"> </w:t>
      </w:r>
      <w:r>
        <w:t xml:space="preserve">– Two or three suggestions on how the poster could be improved.</w:t>
      </w:r>
    </w:p>
    <w:bookmarkEnd w:id="362"/>
    <w:bookmarkEnd w:id="363"/>
    <w:bookmarkStart w:id="364" w:name="grading-criteria-10"/>
    <w:p>
      <w:pPr>
        <w:pStyle w:val="Heading3"/>
      </w:pPr>
      <w:r>
        <w:rPr>
          <w:rStyle w:val="SectionNumber"/>
        </w:rPr>
        <w:t xml:space="preserve">6.3.2</w:t>
      </w:r>
      <w:r>
        <w:tab/>
      </w:r>
      <w:r>
        <w:t xml:space="preserve">Grading Criteria</w:t>
      </w:r>
    </w:p>
    <w:p>
      <w:pPr>
        <w:pStyle w:val="FirstParagraph"/>
      </w:pPr>
      <w:r>
        <w:t xml:space="preserve">Comment on your class’ LMS (Blackboard, Canvas, Google Classroom) discussion board or refer to your instructor’s choice.</w:t>
      </w:r>
    </w:p>
    <w:bookmarkEnd w:id="364"/>
    <w:bookmarkStart w:id="365" w:name="footnotes-18"/>
    <w:p>
      <w:pPr>
        <w:pStyle w:val="Heading3"/>
      </w:pPr>
      <w:r>
        <w:rPr>
          <w:rStyle w:val="SectionNumber"/>
        </w:rPr>
        <w:t xml:space="preserve">6.3.3</w:t>
      </w:r>
      <w:r>
        <w:tab/>
      </w:r>
      <w:r>
        <w:t xml:space="preserve">Footnotes</w:t>
      </w:r>
    </w:p>
    <w:p>
      <w:pPr>
        <w:pStyle w:val="FirstParagraph"/>
      </w:pPr>
      <w:r>
        <w:rPr>
          <w:bCs/>
          <w:b/>
        </w:rPr>
        <w:t xml:space="preserve">Contributions and Affiliations</w:t>
      </w:r>
    </w:p>
    <w:p>
      <w:pPr>
        <w:numPr>
          <w:ilvl w:val="0"/>
          <w:numId w:val="1200"/>
        </w:numPr>
        <w:pStyle w:val="Compact"/>
      </w:pPr>
      <w:r>
        <w:t xml:space="preserve">Valeriya Gaysinskaya, Johns Hopkins University</w:t>
      </w:r>
    </w:p>
    <w:p>
      <w:pPr>
        <w:numPr>
          <w:ilvl w:val="0"/>
          <w:numId w:val="1200"/>
        </w:numPr>
        <w:pStyle w:val="Compact"/>
      </w:pPr>
      <w:r>
        <w:t xml:space="preserve">Frederick Tan, Johns Hopkins University</w:t>
      </w:r>
    </w:p>
    <w:p>
      <w:pPr>
        <w:numPr>
          <w:ilvl w:val="0"/>
          <w:numId w:val="1200"/>
        </w:numPr>
        <w:pStyle w:val="Compact"/>
      </w:pPr>
      <w:r>
        <w:t xml:space="preserve">Sayumi York, Notre Dame of Maryland University</w:t>
      </w:r>
    </w:p>
    <w:p>
      <w:pPr>
        <w:pStyle w:val="FirstParagraph"/>
      </w:pPr>
      <w:r>
        <w:t xml:space="preserve">Last Revised: January 2026</w:t>
      </w:r>
    </w:p>
    <w:bookmarkEnd w:id="365"/>
    <w:bookmarkEnd w:id="366"/>
    <w:bookmarkStart w:id="377" w:name="activity---share-your-poster"/>
    <w:p>
      <w:pPr>
        <w:pStyle w:val="Heading2"/>
      </w:pPr>
      <w:r>
        <w:rPr>
          <w:rStyle w:val="SectionNumber"/>
        </w:rPr>
        <w:t xml:space="preserve">6.4</w:t>
      </w:r>
      <w:r>
        <w:tab/>
      </w:r>
      <w:r>
        <w:t xml:space="preserve">Activity - Share Your Poster</w:t>
      </w:r>
    </w:p>
    <w:bookmarkStart w:id="370" w:name="introduction-10"/>
    <w:p>
      <w:pPr>
        <w:pStyle w:val="Heading3"/>
      </w:pPr>
      <w:r>
        <w:rPr>
          <w:rStyle w:val="SectionNumber"/>
        </w:rPr>
        <w:t xml:space="preserve">6.4.1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367" w:name="activity-1-share-your-poster"/>
    <w:p>
      <w:pPr>
        <w:pStyle w:val="Heading4"/>
      </w:pPr>
      <w:r>
        <w:rPr>
          <w:rStyle w:val="SectionNumber"/>
        </w:rPr>
        <w:t xml:space="preserve">6.4.1.1</w:t>
      </w:r>
      <w:r>
        <w:tab/>
      </w:r>
      <w:r>
        <w:t xml:space="preserve">Activity 1 – Share Your Poster</w:t>
      </w:r>
    </w:p>
    <w:p>
      <w:pPr>
        <w:pStyle w:val="FirstParagraph"/>
      </w:pPr>
      <w:r>
        <w:rPr>
          <w:iCs/>
          <w:i/>
        </w:rPr>
        <w:t xml:space="preserve">Estimated time: 20 min</w:t>
      </w:r>
    </w:p>
    <w:bookmarkEnd w:id="367"/>
    <w:bookmarkStart w:id="368" w:name="instructions-3"/>
    <w:p>
      <w:pPr>
        <w:pStyle w:val="Heading4"/>
      </w:pPr>
      <w:r>
        <w:rPr>
          <w:rStyle w:val="SectionNumber"/>
        </w:rPr>
        <w:t xml:space="preserve">6.4.1.2</w:t>
      </w:r>
      <w:r>
        <w:tab/>
      </w:r>
      <w:r>
        <w:t xml:space="preserve">Instructions</w:t>
      </w:r>
    </w:p>
    <w:p>
      <w:pPr>
        <w:numPr>
          <w:ilvl w:val="0"/>
          <w:numId w:val="1201"/>
        </w:numPr>
        <w:pStyle w:val="Compact"/>
      </w:pPr>
      <w:r>
        <w:t xml:space="preserve">Convert and/or download your poster as a .png file in full resolution. Make sure you look at the .png file and confirm the poster is high enough quality that even small text can be read.</w:t>
      </w:r>
    </w:p>
    <w:p>
      <w:pPr>
        <w:numPr>
          <w:ilvl w:val="0"/>
          <w:numId w:val="1202"/>
        </w:numPr>
      </w:pPr>
      <w:r>
        <w:t xml:space="preserve">In Google Slides:</w:t>
      </w:r>
    </w:p>
    <w:p>
      <w:pPr>
        <w:numPr>
          <w:ilvl w:val="1"/>
          <w:numId w:val="1203"/>
        </w:numPr>
      </w:pPr>
      <w:r>
        <w:t xml:space="preserve">Go to File &gt; Download &gt; select PNG image or JPEG image.</w:t>
      </w:r>
    </w:p>
    <w:p>
      <w:pPr>
        <w:numPr>
          <w:ilvl w:val="1"/>
          <w:numId w:val="1203"/>
        </w:numPr>
      </w:pPr>
      <w:r>
        <w:t xml:space="preserve">Locate the downloaded file on your computer. By default, most computers will download files to the</w:t>
      </w:r>
      <w:r>
        <w:t xml:space="preserve"> </w:t>
      </w:r>
      <w:r>
        <w:t xml:space="preserve">“</w:t>
      </w:r>
      <w:r>
        <w:t xml:space="preserve">Download</w:t>
      </w:r>
      <w:r>
        <w:t xml:space="preserve">”</w:t>
      </w:r>
      <w:r>
        <w:t xml:space="preserve"> </w:t>
      </w:r>
      <w:r>
        <w:t xml:space="preserve">folder or the Desktop.</w:t>
      </w:r>
    </w:p>
    <w:p>
      <w:pPr>
        <w:numPr>
          <w:ilvl w:val="0"/>
          <w:numId w:val="1202"/>
        </w:numPr>
      </w:pPr>
      <w:r>
        <w:t xml:space="preserve">In PowerPoint:</w:t>
      </w:r>
    </w:p>
    <w:p>
      <w:pPr>
        <w:numPr>
          <w:ilvl w:val="1"/>
          <w:numId w:val="1204"/>
        </w:numPr>
      </w:pPr>
      <w:r>
        <w:t xml:space="preserve">Enter the File tab to the top of the window, to the left of the Home tab</w:t>
      </w:r>
    </w:p>
    <w:p>
      <w:pPr>
        <w:numPr>
          <w:ilvl w:val="1"/>
          <w:numId w:val="1204"/>
        </w:numPr>
      </w:pPr>
      <w:r>
        <w:t xml:space="preserve">Select Save As</w:t>
      </w:r>
    </w:p>
    <w:p>
      <w:pPr>
        <w:numPr>
          <w:ilvl w:val="1"/>
          <w:numId w:val="1204"/>
        </w:numPr>
      </w:pPr>
      <w:r>
        <w:t xml:space="preserve">Select This PC</w:t>
      </w:r>
    </w:p>
    <w:p>
      <w:pPr>
        <w:numPr>
          <w:ilvl w:val="1"/>
          <w:numId w:val="1204"/>
        </w:numPr>
      </w:pPr>
      <w:r>
        <w:t xml:space="preserve">In the field underneath the file name, select the</w:t>
      </w:r>
      <w:r>
        <w:t xml:space="preserve"> </w:t>
      </w:r>
      <w:r>
        <w:rPr>
          <w:iCs/>
          <w:i/>
        </w:rPr>
        <w:t xml:space="preserve">.png or</w:t>
      </w:r>
      <w:r>
        <w:rPr>
          <w:iCs/>
          <w:i/>
        </w:rPr>
        <w:t xml:space="preserve"> </w:t>
      </w:r>
      <w:r>
        <w:t xml:space="preserve">.jpg format</w:t>
      </w:r>
    </w:p>
    <w:p>
      <w:pPr>
        <w:numPr>
          <w:ilvl w:val="1"/>
          <w:numId w:val="1204"/>
        </w:numPr>
      </w:pPr>
      <w:r>
        <w:t xml:space="preserve">Select save</w:t>
      </w:r>
    </w:p>
    <w:p>
      <w:pPr>
        <w:numPr>
          <w:ilvl w:val="1"/>
          <w:numId w:val="1204"/>
        </w:numPr>
      </w:pPr>
      <w:r>
        <w:t xml:space="preserve">Locate the saved file on your computer. By default, most computers will save the file in the same location as the original PowerPoint (.pptx) file.</w:t>
      </w:r>
    </w:p>
    <w:p>
      <w:pPr>
        <w:numPr>
          <w:ilvl w:val="0"/>
          <w:numId w:val="1205"/>
        </w:numPr>
      </w:pPr>
      <w:r>
        <w:t xml:space="preserve">Have one person on behalf of the group create a New Topic on your instructor’s chosen forum below with the title of your poster as the topic title and your .png file as the contents in either the:</w:t>
      </w:r>
    </w:p>
    <w:p>
      <w:pPr>
        <w:numPr>
          <w:ilvl w:val="1"/>
          <w:numId w:val="1206"/>
        </w:numPr>
      </w:pPr>
      <w:hyperlink r:id="rId33">
        <w:r>
          <w:rPr>
            <w:rStyle w:val="Hyperlink"/>
          </w:rPr>
          <w:t xml:space="preserve">C-MOOR Academy Discussion Forum’s Look at This!</w:t>
        </w:r>
      </w:hyperlink>
      <w:r>
        <w:t xml:space="preserve"> </w:t>
      </w:r>
      <w:r>
        <w:t xml:space="preserve">category if every member of your group agrees to share your work publicly.</w:t>
      </w:r>
    </w:p>
    <w:p>
      <w:pPr>
        <w:numPr>
          <w:ilvl w:val="1"/>
          <w:numId w:val="1206"/>
        </w:numPr>
      </w:pPr>
      <w:r>
        <w:t xml:space="preserve">Class category on the C-MOOR Academy Discussion Forum (if applicable) to keep your work private</w:t>
      </w:r>
    </w:p>
    <w:p>
      <w:pPr>
        <w:numPr>
          <w:ilvl w:val="1"/>
          <w:numId w:val="1206"/>
        </w:numPr>
      </w:pPr>
      <w:r>
        <w:t xml:space="preserve">The forum or outlet of your instructor’s choice</w:t>
      </w:r>
    </w:p>
    <w:p>
      <w:pPr>
        <w:numPr>
          <w:ilvl w:val="0"/>
          <w:numId w:val="1205"/>
        </w:numPr>
      </w:pPr>
      <w:r>
        <w:t xml:space="preserve">Have each person in the group reply to your topic using your own words answering your choice of 2 of the following 5 questions, with the question included as part of the post. Your answers should be specific and refer directly to your research poster:</w:t>
      </w:r>
    </w:p>
    <w:p>
      <w:pPr>
        <w:numPr>
          <w:ilvl w:val="1"/>
          <w:numId w:val="1207"/>
        </w:numPr>
        <w:pStyle w:val="Compact"/>
      </w:pPr>
      <w:r>
        <w:t xml:space="preserve">What was your favorite part about doing the research project and why?</w:t>
      </w:r>
    </w:p>
    <w:p>
      <w:pPr>
        <w:numPr>
          <w:ilvl w:val="1"/>
          <w:numId w:val="1207"/>
        </w:numPr>
        <w:pStyle w:val="Compact"/>
      </w:pPr>
      <w:r>
        <w:t xml:space="preserve">What was something about your project or the research process that surprised you and why?</w:t>
      </w:r>
    </w:p>
    <w:p>
      <w:pPr>
        <w:numPr>
          <w:ilvl w:val="1"/>
          <w:numId w:val="1207"/>
        </w:numPr>
        <w:pStyle w:val="Compact"/>
      </w:pPr>
      <w:r>
        <w:t xml:space="preserve">What is one specific skill in biology and/or research that you learned through this project? Give an example how you used this in your project.</w:t>
      </w:r>
    </w:p>
    <w:p>
      <w:pPr>
        <w:numPr>
          <w:ilvl w:val="1"/>
          <w:numId w:val="1207"/>
        </w:numPr>
        <w:pStyle w:val="Compact"/>
      </w:pPr>
      <w:r>
        <w:t xml:space="preserve">What is an example of a challenge that you had to overcome during this research project?</w:t>
      </w:r>
    </w:p>
    <w:p>
      <w:pPr>
        <w:numPr>
          <w:ilvl w:val="1"/>
          <w:numId w:val="1207"/>
        </w:numPr>
        <w:pStyle w:val="Compact"/>
      </w:pPr>
      <w:r>
        <w:t xml:space="preserve">What is one thing you learned from this project that you can take forward in your future work? How do you see it being helpful in your chosen field?</w:t>
      </w:r>
    </w:p>
    <w:bookmarkEnd w:id="368"/>
    <w:bookmarkStart w:id="369" w:name="questions-1"/>
    <w:p>
      <w:pPr>
        <w:pStyle w:val="Heading4"/>
      </w:pPr>
      <w:r>
        <w:rPr>
          <w:rStyle w:val="SectionNumber"/>
        </w:rPr>
        <w:t xml:space="preserve">6.4.1.3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A copy of your written answers 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Provide the URL of your Discussion Forum post (if applicable)</w:t>
            </w:r>
          </w:p>
        </w:tc>
      </w:tr>
      <w:tr>
        <w:tc>
          <w:tcPr/>
          <w:p>
            <w:pPr>
              <w:pStyle w:val="Compact"/>
            </w:pPr>
          </w:p>
        </w:tc>
      </w:tr>
    </w:tbl>
    <w:p>
      <w:pPr>
        <w:pStyle w:val="BodyText"/>
      </w:pPr>
    </w:p>
    <w:bookmarkEnd w:id="369"/>
    <w:bookmarkEnd w:id="370"/>
    <w:bookmarkStart w:id="373" w:name="activity-2-present-your-poster"/>
    <w:p>
      <w:pPr>
        <w:pStyle w:val="Heading3"/>
      </w:pPr>
      <w:r>
        <w:rPr>
          <w:rStyle w:val="SectionNumber"/>
        </w:rPr>
        <w:t xml:space="preserve">6.4.2</w:t>
      </w:r>
      <w:r>
        <w:tab/>
      </w:r>
      <w:r>
        <w:t xml:space="preserve">Activity 2 – Present Your Poster</w:t>
      </w:r>
    </w:p>
    <w:p>
      <w:pPr>
        <w:pStyle w:val="FirstParagraph"/>
      </w:pPr>
      <w:r>
        <w:rPr>
          <w:iCs/>
          <w:i/>
        </w:rPr>
        <w:t xml:space="preserve">Estimated time: 40 min</w:t>
      </w:r>
    </w:p>
    <w:bookmarkStart w:id="371" w:name="instructions-4"/>
    <w:p>
      <w:pPr>
        <w:pStyle w:val="Heading4"/>
      </w:pPr>
      <w:r>
        <w:rPr>
          <w:rStyle w:val="SectionNumber"/>
        </w:rPr>
        <w:t xml:space="preserve">6.4.2.1</w:t>
      </w:r>
      <w:r>
        <w:tab/>
      </w:r>
      <w:r>
        <w:t xml:space="preserve">Instructions</w:t>
      </w:r>
    </w:p>
    <w:p>
      <w:pPr>
        <w:numPr>
          <w:ilvl w:val="0"/>
          <w:numId w:val="1208"/>
        </w:numPr>
      </w:pPr>
      <w:r>
        <w:t xml:space="preserve">Create a plan for a 5 min presentation taking into consideration:</w:t>
      </w:r>
    </w:p>
    <w:p>
      <w:pPr>
        <w:numPr>
          <w:ilvl w:val="1"/>
          <w:numId w:val="1209"/>
        </w:numPr>
      </w:pPr>
      <w:r>
        <w:t xml:space="preserve">Who will speak when</w:t>
      </w:r>
    </w:p>
    <w:p>
      <w:pPr>
        <w:numPr>
          <w:ilvl w:val="1"/>
          <w:numId w:val="1209"/>
        </w:numPr>
      </w:pPr>
      <w:r>
        <w:t xml:space="preserve">What each person will cover</w:t>
      </w:r>
    </w:p>
    <w:p>
      <w:pPr>
        <w:numPr>
          <w:ilvl w:val="0"/>
          <w:numId w:val="1208"/>
        </w:numPr>
      </w:pPr>
      <w:r>
        <w:t xml:space="preserve">Practice your presentation</w:t>
      </w:r>
    </w:p>
    <w:p>
      <w:pPr>
        <w:numPr>
          <w:ilvl w:val="1"/>
          <w:numId w:val="1210"/>
        </w:numPr>
      </w:pPr>
      <w:r>
        <w:t xml:space="preserve">In your group</w:t>
      </w:r>
    </w:p>
    <w:p>
      <w:pPr>
        <w:numPr>
          <w:ilvl w:val="1"/>
          <w:numId w:val="1210"/>
        </w:numPr>
      </w:pPr>
      <w:r>
        <w:t xml:space="preserve">To the class</w:t>
      </w:r>
    </w:p>
    <w:bookmarkEnd w:id="371"/>
    <w:bookmarkStart w:id="372" w:name="questions-2"/>
    <w:p>
      <w:pPr>
        <w:pStyle w:val="Heading4"/>
      </w:pPr>
      <w:r>
        <w:rPr>
          <w:rStyle w:val="SectionNumber"/>
        </w:rPr>
        <w:t xml:space="preserve">6.4.2.2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372"/>
    <w:bookmarkEnd w:id="373"/>
    <w:bookmarkStart w:id="374" w:name="grading-criteria-11"/>
    <w:p>
      <w:pPr>
        <w:pStyle w:val="Heading3"/>
      </w:pPr>
      <w:r>
        <w:rPr>
          <w:rStyle w:val="SectionNumber"/>
        </w:rPr>
        <w:t xml:space="preserve">6.4.3</w:t>
      </w:r>
      <w:r>
        <w:tab/>
      </w:r>
      <w:r>
        <w:t xml:space="preserve">Grading Criteria</w:t>
      </w:r>
    </w:p>
    <w:p>
      <w:pPr>
        <w:numPr>
          <w:ilvl w:val="0"/>
          <w:numId w:val="1211"/>
        </w:numPr>
        <w:pStyle w:val="Compact"/>
      </w:pPr>
      <w:r>
        <w:t xml:space="preserve">Submit your work on your LMS (Blackboard, Canvas, Google Classroom) or refer to your instructor’s choice.</w:t>
      </w:r>
    </w:p>
    <w:bookmarkEnd w:id="374"/>
    <w:bookmarkStart w:id="376" w:name="footnotes-19"/>
    <w:p>
      <w:pPr>
        <w:pStyle w:val="Heading3"/>
      </w:pPr>
      <w:r>
        <w:rPr>
          <w:rStyle w:val="SectionNumber"/>
        </w:rPr>
        <w:t xml:space="preserve">6.4.4</w:t>
      </w:r>
      <w:r>
        <w:tab/>
      </w:r>
      <w:r>
        <w:t xml:space="preserve">Footnotes</w:t>
      </w:r>
    </w:p>
    <w:p>
      <w:pPr>
        <w:pStyle w:val="FirstParagraph"/>
      </w:pPr>
      <w:r>
        <w:rPr>
          <w:bCs/>
          <w:b/>
        </w:rPr>
        <w:t xml:space="preserve">Resources</w:t>
      </w:r>
    </w:p>
    <w:p>
      <w:pPr>
        <w:numPr>
          <w:ilvl w:val="0"/>
          <w:numId w:val="1212"/>
        </w:numPr>
        <w:pStyle w:val="Compact"/>
      </w:pPr>
      <w:hyperlink r:id="rId375">
        <w:r>
          <w:rPr>
            <w:rStyle w:val="Hyperlink"/>
          </w:rPr>
          <w:t xml:space="preserve">Google Doc</w:t>
        </w:r>
      </w:hyperlink>
    </w:p>
    <w:p>
      <w:pPr>
        <w:pStyle w:val="FirstParagraph"/>
      </w:pPr>
      <w:r>
        <w:rPr>
          <w:bCs/>
          <w:b/>
        </w:rPr>
        <w:t xml:space="preserve">Contributions and Affiliations</w:t>
      </w:r>
    </w:p>
    <w:p>
      <w:pPr>
        <w:numPr>
          <w:ilvl w:val="0"/>
          <w:numId w:val="1213"/>
        </w:numPr>
        <w:pStyle w:val="Compact"/>
      </w:pPr>
      <w:r>
        <w:t xml:space="preserve">Valeriya Gaysinskaya, Johns Hopkins University</w:t>
      </w:r>
    </w:p>
    <w:p>
      <w:pPr>
        <w:numPr>
          <w:ilvl w:val="0"/>
          <w:numId w:val="1213"/>
        </w:numPr>
        <w:pStyle w:val="Compact"/>
      </w:pPr>
      <w:r>
        <w:t xml:space="preserve">Frederick Tan, Johns Hopkins University</w:t>
      </w:r>
    </w:p>
    <w:p>
      <w:pPr>
        <w:numPr>
          <w:ilvl w:val="0"/>
          <w:numId w:val="1213"/>
        </w:numPr>
        <w:pStyle w:val="Compact"/>
      </w:pPr>
      <w:r>
        <w:t xml:space="preserve">Sayumi York, Notre Dame of Maryland University</w:t>
      </w:r>
    </w:p>
    <w:p>
      <w:pPr>
        <w:pStyle w:val="FirstParagraph"/>
      </w:pPr>
      <w:r>
        <w:t xml:space="preserve">Last Revised: January 2026</w:t>
      </w:r>
    </w:p>
    <w:bookmarkEnd w:id="376"/>
    <w:bookmarkEnd w:id="377"/>
    <w:bookmarkEnd w:id="378"/>
    <w:bookmarkStart w:id="407" w:name="professional-development"/>
    <w:p>
      <w:pPr>
        <w:pStyle w:val="Heading1"/>
      </w:pPr>
      <w:r>
        <w:rPr>
          <w:rStyle w:val="SectionNumber"/>
        </w:rPr>
        <w:t xml:space="preserve">7</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380" name="Picture"/>
            <a:graphic>
              <a:graphicData uri="http://schemas.openxmlformats.org/drawingml/2006/picture">
                <pic:pic>
                  <pic:nvPicPr>
                    <pic:cNvPr descr="community-analysis-and-feedback_files/figure-docx//1hYKF7Ss3vJ8rrUIH7ByNh1BUlRa2fhsJhq8MXzEowCc_g344ad28629a_0_229.png" id="381" name="Picture"/>
                    <pic:cNvPicPr>
                      <a:picLocks noChangeArrowheads="1" noChangeAspect="1"/>
                    </pic:cNvPicPr>
                  </pic:nvPicPr>
                  <pic:blipFill>
                    <a:blip r:embed="rId379"/>
                    <a:stretch>
                      <a:fillRect/>
                    </a:stretch>
                  </pic:blipFill>
                  <pic:spPr bwMode="auto">
                    <a:xfrm>
                      <a:off x="0" y="0"/>
                      <a:ext cx="5334000" cy="3000375"/>
                    </a:xfrm>
                    <a:prstGeom prst="rect">
                      <a:avLst/>
                    </a:prstGeom>
                    <a:noFill/>
                    <a:ln w="9525">
                      <a:noFill/>
                      <a:headEnd/>
                      <a:tailEnd/>
                    </a:ln>
                  </pic:spPr>
                </pic:pic>
              </a:graphicData>
            </a:graphic>
          </wp:inline>
        </w:drawing>
      </w:r>
    </w:p>
    <w:bookmarkStart w:id="386" w:name="lecture---next-steps"/>
    <w:p>
      <w:pPr>
        <w:pStyle w:val="Heading2"/>
      </w:pPr>
      <w:r>
        <w:rPr>
          <w:rStyle w:val="SectionNumber"/>
        </w:rPr>
        <w:t xml:space="preserve">7.1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383" name="Picture"/>
            <a:graphic>
              <a:graphicData uri="http://schemas.openxmlformats.org/drawingml/2006/picture">
                <pic:pic>
                  <pic:nvPicPr>
                    <pic:cNvPr descr="community-analysis-and-feedback_files/figure-docx//1cH7vm_lAxe_JUlr1H_M5Ujas-pTUY8qPBthTcSOiIXA_g35f391192_00.png" id="384" name="Picture"/>
                    <pic:cNvPicPr>
                      <a:picLocks noChangeArrowheads="1" noChangeAspect="1"/>
                    </pic:cNvPicPr>
                  </pic:nvPicPr>
                  <pic:blipFill>
                    <a:blip r:embed="rId38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85">
        <w:r>
          <w:rPr>
            <w:rStyle w:val="Hyperlink"/>
          </w:rPr>
          <w:t xml:space="preserve">Slides: Next Steps</w:t>
        </w:r>
      </w:hyperlink>
    </w:p>
    <w:bookmarkEnd w:id="386"/>
    <w:bookmarkStart w:id="404" w:name="activity---next-steps"/>
    <w:p>
      <w:pPr>
        <w:pStyle w:val="Heading2"/>
      </w:pPr>
      <w:r>
        <w:rPr>
          <w:rStyle w:val="SectionNumber"/>
        </w:rPr>
        <w:t xml:space="preserve">7.2</w:t>
      </w:r>
      <w:r>
        <w:tab/>
      </w:r>
      <w:r>
        <w:t xml:space="preserve">Activity - Next Steps</w:t>
      </w:r>
    </w:p>
    <w:bookmarkStart w:id="387" w:name="introduction-11"/>
    <w:p>
      <w:pPr>
        <w:pStyle w:val="Heading3"/>
      </w:pPr>
      <w:r>
        <w:rPr>
          <w:rStyle w:val="SectionNumber"/>
        </w:rPr>
        <w:t xml:space="preserve">7.2.1</w:t>
      </w:r>
      <w:r>
        <w:tab/>
      </w:r>
      <w:r>
        <w:t xml:space="preserve">Introduction</w:t>
      </w:r>
    </w:p>
    <w:p>
      <w:pPr>
        <w:pStyle w:val="FirstParagraph"/>
      </w:pPr>
      <w:r>
        <w:t xml:space="preserve">Congratulations on completing your research project! Take a moment and reflect on all that you’ve accomplished during this semester, especially those of you for whom this was your first research experience! Did you experience all the ups and downs of the research project from coming up with a research idea hypothesis, dealing with unexpected set-backs, and discovering something new?</w:t>
      </w:r>
    </w:p>
    <w:p>
      <w:pPr>
        <w:pStyle w:val="BodyText"/>
      </w:pPr>
      <w:r>
        <w:t xml:space="preserve">We’ll wrap up here with several next steps including completing feedback to improve the next offering of this course, researching opportunities to do more science, exploring communities where scientists openly share insights, and optionally sharing more work.</w:t>
      </w:r>
    </w:p>
    <w:bookmarkEnd w:id="387"/>
    <w:bookmarkStart w:id="389" w:name="activity-1-complete-feedback"/>
    <w:p>
      <w:pPr>
        <w:pStyle w:val="Heading3"/>
      </w:pPr>
      <w:r>
        <w:rPr>
          <w:rStyle w:val="SectionNumber"/>
        </w:rPr>
        <w:t xml:space="preserve">7.2.2</w:t>
      </w:r>
      <w:r>
        <w:tab/>
      </w:r>
      <w:r>
        <w:t xml:space="preserve">Activity 1 – Complete Feedback</w:t>
      </w:r>
    </w:p>
    <w:p>
      <w:pPr>
        <w:pStyle w:val="FirstParagraph"/>
      </w:pPr>
      <w:r>
        <w:rPr>
          <w:iCs/>
          <w:i/>
        </w:rPr>
        <w:t xml:space="preserve">Estimated time: 15 min</w:t>
      </w:r>
    </w:p>
    <w:bookmarkStart w:id="388" w:name="instructions-5"/>
    <w:p>
      <w:pPr>
        <w:pStyle w:val="Heading4"/>
      </w:pPr>
      <w:r>
        <w:rPr>
          <w:rStyle w:val="SectionNumber"/>
        </w:rPr>
        <w:t xml:space="preserve">7.2.2.1</w:t>
      </w:r>
      <w:r>
        <w:tab/>
      </w:r>
      <w:r>
        <w:t xml:space="preserve">Instructions</w:t>
      </w:r>
    </w:p>
    <w:p>
      <w:pPr>
        <w:pStyle w:val="FirstParagraph"/>
      </w:pPr>
      <w:r>
        <w:t xml:space="preserve">Help us improve this course!</w:t>
      </w:r>
      <w:r>
        <w:t xml:space="preserve"> </w:t>
      </w:r>
      <w:r>
        <w:t xml:space="preserve">If you’re willing to have your feedback used in an official educational research survey, you will need to use a pre-authorized survey link from C-MOOR. Either way, your instructor will connect you to any feedback form.</w:t>
      </w:r>
    </w:p>
    <w:bookmarkEnd w:id="388"/>
    <w:bookmarkEnd w:id="389"/>
    <w:bookmarkStart w:id="392" w:name="activity-2-research-opportunities"/>
    <w:p>
      <w:pPr>
        <w:pStyle w:val="Heading3"/>
      </w:pPr>
      <w:r>
        <w:rPr>
          <w:rStyle w:val="SectionNumber"/>
        </w:rPr>
        <w:t xml:space="preserve">7.2.3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Knowing what you know now about research, what related skills are you interested in developing further and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390">
              <w:r>
                <w:rPr>
                  <w:rStyle w:val="Hyperlink"/>
                </w:rPr>
                <w:t xml:space="preserve">https://www.nsf.gov/funding/initiatives/reu/students</w:t>
              </w:r>
            </w:hyperlink>
          </w:p>
        </w:tc>
      </w:tr>
      <w:tr>
        <w:tc>
          <w:tcPr/>
          <w:p>
            <w:pPr>
              <w:pStyle w:val="Compact"/>
              <w:jc w:val="left"/>
            </w:pPr>
            <w:r>
              <w:t xml:space="preserve">b. Search –</w:t>
            </w:r>
            <w:r>
              <w:t xml:space="preserve"> </w:t>
            </w:r>
            <w:hyperlink r:id="rId391">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392"/>
    <w:bookmarkStart w:id="400" w:name="activity-3-explore-communities"/>
    <w:p>
      <w:pPr>
        <w:pStyle w:val="Heading3"/>
      </w:pPr>
      <w:r>
        <w:rPr>
          <w:rStyle w:val="SectionNumber"/>
        </w:rPr>
        <w:t xml:space="preserve">7.2.4</w:t>
      </w:r>
      <w:r>
        <w:tab/>
      </w:r>
      <w:r>
        <w:t xml:space="preserve">Activity 3 – Explore Communities</w:t>
      </w:r>
    </w:p>
    <w:p>
      <w:pPr>
        <w:pStyle w:val="FirstParagraph"/>
      </w:pPr>
      <w:r>
        <w:rPr>
          <w:iCs/>
          <w:i/>
        </w:rPr>
        <w:t xml:space="preserve">Estimated time: 15 min</w:t>
      </w:r>
    </w:p>
    <w:bookmarkStart w:id="393" w:name="instructions-6"/>
    <w:p>
      <w:pPr>
        <w:pStyle w:val="Heading4"/>
      </w:pPr>
      <w:r>
        <w:rPr>
          <w:rStyle w:val="SectionNumber"/>
        </w:rPr>
        <w:t xml:space="preserve">7.2.4.1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393"/>
    <w:bookmarkStart w:id="399" w:name="questions-3"/>
    <w:p>
      <w:pPr>
        <w:pStyle w:val="Heading4"/>
      </w:pPr>
      <w:r>
        <w:rPr>
          <w:rStyle w:val="SectionNumber"/>
        </w:rPr>
        <w:t xml:space="preserve">7.2.4.2</w:t>
      </w:r>
      <w:r>
        <w:tab/>
      </w:r>
      <w:r>
        <w:t xml:space="preserve">Questions</w:t>
      </w:r>
    </w:p>
    <w:p>
      <w:pPr>
        <w:numPr>
          <w:ilvl w:val="0"/>
          <w:numId w:val="1214"/>
        </w:numPr>
        <w:pStyle w:val="Compact"/>
      </w:pPr>
      <w:r>
        <w:t xml:space="preserve">Specialized Communities</w:t>
      </w:r>
    </w:p>
    <w:p>
      <w:pPr>
        <w:numPr>
          <w:ilvl w:val="0"/>
          <w:numId w:val="1215"/>
        </w:numPr>
        <w:pStyle w:val="Compact"/>
      </w:pPr>
      <w:r>
        <w:t xml:space="preserve">SEQanswers: the next-generation sequencing community</w:t>
      </w:r>
    </w:p>
    <w:p>
      <w:pPr>
        <w:numPr>
          <w:ilvl w:val="0"/>
          <w:numId w:val="1216"/>
        </w:numPr>
        <w:pStyle w:val="Compact"/>
      </w:pPr>
      <w:hyperlink r:id="rId394">
        <w:r>
          <w:rPr>
            <w:rStyle w:val="Hyperlink"/>
          </w:rPr>
          <w:t xml:space="preserve">https://www.seqanswers.com</w:t>
        </w:r>
      </w:hyperlink>
    </w:p>
    <w:p>
      <w:pPr>
        <w:numPr>
          <w:ilvl w:val="0"/>
          <w:numId w:val="1217"/>
        </w:numPr>
        <w:pStyle w:val="Compact"/>
      </w:pPr>
      <w:r>
        <w:t xml:space="preserve">Biostars: bioinformatics explained</w:t>
      </w:r>
    </w:p>
    <w:p>
      <w:pPr>
        <w:numPr>
          <w:ilvl w:val="0"/>
          <w:numId w:val="1218"/>
        </w:numPr>
        <w:pStyle w:val="Compact"/>
      </w:pPr>
      <w:hyperlink r:id="rId395">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219"/>
        </w:numPr>
        <w:pStyle w:val="Compact"/>
      </w:pPr>
      <w:r>
        <w:t xml:space="preserve">General Communities</w:t>
      </w:r>
    </w:p>
    <w:p>
      <w:pPr>
        <w:numPr>
          <w:ilvl w:val="0"/>
          <w:numId w:val="1220"/>
        </w:numPr>
        <w:pStyle w:val="Compact"/>
      </w:pPr>
      <w:r>
        <w:t xml:space="preserve">Reddit: The heart of the internet</w:t>
      </w:r>
    </w:p>
    <w:p>
      <w:pPr>
        <w:numPr>
          <w:ilvl w:val="0"/>
          <w:numId w:val="1221"/>
        </w:numPr>
        <w:pStyle w:val="Compact"/>
      </w:pPr>
      <w:hyperlink r:id="rId396">
        <w:r>
          <w:rPr>
            <w:rStyle w:val="Hyperlink"/>
          </w:rPr>
          <w:t xml:space="preserve">https://www.reddit.com/r/metagenomics</w:t>
        </w:r>
      </w:hyperlink>
    </w:p>
    <w:p>
      <w:pPr>
        <w:numPr>
          <w:ilvl w:val="0"/>
          <w:numId w:val="1222"/>
        </w:numPr>
        <w:pStyle w:val="Compact"/>
      </w:pPr>
      <w:r>
        <w:t xml:space="preserve">Twitter/X: It’s what’s happening</w:t>
      </w:r>
    </w:p>
    <w:p>
      <w:pPr>
        <w:numPr>
          <w:ilvl w:val="0"/>
          <w:numId w:val="1223"/>
        </w:numPr>
        <w:pStyle w:val="Compact"/>
      </w:pPr>
      <w:hyperlink r:id="rId397">
        <w:r>
          <w:rPr>
            <w:rStyle w:val="Hyperlink"/>
          </w:rPr>
          <w:t xml:space="preserve">https://x.com/search?q=%23metagenomics</w:t>
        </w:r>
      </w:hyperlink>
    </w:p>
    <w:p>
      <w:pPr>
        <w:numPr>
          <w:ilvl w:val="0"/>
          <w:numId w:val="1224"/>
        </w:numPr>
        <w:pStyle w:val="Compact"/>
      </w:pPr>
      <w:r>
        <w:t xml:space="preserve">Bluesky: Social media as it should be</w:t>
      </w:r>
    </w:p>
    <w:p>
      <w:pPr>
        <w:numPr>
          <w:ilvl w:val="0"/>
          <w:numId w:val="1225"/>
        </w:numPr>
        <w:pStyle w:val="Compact"/>
      </w:pPr>
      <w:hyperlink r:id="rId398">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399"/>
    <w:bookmarkEnd w:id="400"/>
    <w:bookmarkStart w:id="401" w:name="grading-criteria-12"/>
    <w:p>
      <w:pPr>
        <w:pStyle w:val="Heading3"/>
      </w:pPr>
      <w:r>
        <w:rPr>
          <w:rStyle w:val="SectionNumber"/>
        </w:rPr>
        <w:t xml:space="preserve">7.2.5</w:t>
      </w:r>
      <w:r>
        <w:tab/>
      </w:r>
      <w:r>
        <w:t xml:space="preserve">Grading Criteria</w:t>
      </w:r>
    </w:p>
    <w:p>
      <w:pPr>
        <w:numPr>
          <w:ilvl w:val="0"/>
          <w:numId w:val="1226"/>
        </w:numPr>
        <w:pStyle w:val="Compact"/>
      </w:pPr>
      <w:r>
        <w:t xml:space="preserve">Download as Microsoft Word (.docx) and upload to your LMS (Blackboard, Canvas, Google Classroom) or refer to your instructor’s choice.</w:t>
      </w:r>
    </w:p>
    <w:bookmarkEnd w:id="401"/>
    <w:bookmarkStart w:id="403" w:name="footnotes-20"/>
    <w:p>
      <w:pPr>
        <w:pStyle w:val="Heading3"/>
      </w:pPr>
      <w:r>
        <w:rPr>
          <w:rStyle w:val="SectionNumber"/>
        </w:rPr>
        <w:t xml:space="preserve">7.2.6</w:t>
      </w:r>
      <w:r>
        <w:tab/>
      </w:r>
      <w:r>
        <w:t xml:space="preserve">Footnotes</w:t>
      </w:r>
    </w:p>
    <w:p>
      <w:pPr>
        <w:pStyle w:val="FirstParagraph"/>
      </w:pPr>
      <w:r>
        <w:rPr>
          <w:bCs/>
          <w:b/>
        </w:rPr>
        <w:t xml:space="preserve">Resources</w:t>
      </w:r>
    </w:p>
    <w:p>
      <w:pPr>
        <w:numPr>
          <w:ilvl w:val="0"/>
          <w:numId w:val="1227"/>
        </w:numPr>
        <w:pStyle w:val="Compact"/>
      </w:pPr>
      <w:hyperlink r:id="rId402">
        <w:r>
          <w:rPr>
            <w:rStyle w:val="Hyperlink"/>
          </w:rPr>
          <w:t xml:space="preserve">Google Doc</w:t>
        </w:r>
      </w:hyperlink>
    </w:p>
    <w:p>
      <w:pPr>
        <w:pStyle w:val="FirstParagraph"/>
      </w:pPr>
      <w:r>
        <w:rPr>
          <w:bCs/>
          <w:b/>
        </w:rPr>
        <w:t xml:space="preserve">Contributions and Affiliations</w:t>
      </w:r>
    </w:p>
    <w:p>
      <w:pPr>
        <w:numPr>
          <w:ilvl w:val="0"/>
          <w:numId w:val="1228"/>
        </w:numPr>
        <w:pStyle w:val="Compact"/>
      </w:pPr>
      <w:r>
        <w:t xml:space="preserve">Valeriya Gaysinskaya, Johns Hopkins University</w:t>
      </w:r>
    </w:p>
    <w:p>
      <w:pPr>
        <w:numPr>
          <w:ilvl w:val="0"/>
          <w:numId w:val="1228"/>
        </w:numPr>
        <w:pStyle w:val="Compact"/>
      </w:pPr>
      <w:r>
        <w:t xml:space="preserve">Frederick Tan, Johns Hopkins University</w:t>
      </w:r>
    </w:p>
    <w:p>
      <w:pPr>
        <w:numPr>
          <w:ilvl w:val="0"/>
          <w:numId w:val="1228"/>
        </w:numPr>
        <w:pStyle w:val="Compact"/>
      </w:pPr>
      <w:r>
        <w:t xml:space="preserve">Sayumi York, Notre Dame of Maryland Univeristy</w:t>
      </w:r>
    </w:p>
    <w:bookmarkEnd w:id="403"/>
    <w:bookmarkEnd w:id="404"/>
    <w:bookmarkStart w:id="406" w:name="create-your-cv"/>
    <w:p>
      <w:pPr>
        <w:pStyle w:val="Heading2"/>
      </w:pPr>
      <w:r>
        <w:rPr>
          <w:rStyle w:val="SectionNumber"/>
        </w:rPr>
        <w:t xml:space="preserve">7.3</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405" w:name="resume-or-cv"/>
    <w:p>
      <w:pPr>
        <w:pStyle w:val="Heading4"/>
      </w:pPr>
      <w:r>
        <w:rPr>
          <w:rStyle w:val="SectionNumber"/>
        </w:rPr>
        <w:t xml:space="preserve">7.3.0.1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229"/>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229"/>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229"/>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230"/>
        </w:numPr>
        <w:pStyle w:val="Compact"/>
      </w:pPr>
      <w:r>
        <w:t xml:space="preserve">☐   You credit the source of your data (Citation, SRA #, Project #)</w:t>
      </w:r>
    </w:p>
    <w:p>
      <w:pPr>
        <w:numPr>
          <w:ilvl w:val="0"/>
          <w:numId w:val="1230"/>
        </w:numPr>
        <w:pStyle w:val="Compact"/>
      </w:pPr>
      <w:r>
        <w:t xml:space="preserve">☐   You describe why your research project matters</w:t>
      </w:r>
    </w:p>
    <w:p>
      <w:pPr>
        <w:numPr>
          <w:ilvl w:val="0"/>
          <w:numId w:val="1230"/>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405"/>
    <w:bookmarkEnd w:id="406"/>
    <w:bookmarkEnd w:id="407"/>
    <w:bookmarkStart w:id="429" w:name="c-moor-scholars"/>
    <w:p>
      <w:pPr>
        <w:pStyle w:val="Heading1"/>
      </w:pPr>
      <w:r>
        <w:rPr>
          <w:rStyle w:val="SectionNumber"/>
        </w:rPr>
        <w:t xml:space="preserve">8</w:t>
      </w:r>
      <w:r>
        <w:tab/>
      </w:r>
      <w:r>
        <w:t xml:space="preserve">C-MOOR Scholars</w:t>
      </w:r>
    </w:p>
    <w:bookmarkStart w:id="416" w:name="c-moor-scholars-1"/>
    <w:p>
      <w:pPr>
        <w:pStyle w:val="Heading2"/>
      </w:pPr>
      <w:r>
        <w:rPr>
          <w:rStyle w:val="SectionNumber"/>
        </w:rPr>
        <w:t xml:space="preserve">8.1</w:t>
      </w:r>
      <w:r>
        <w:tab/>
      </w:r>
      <w:r>
        <w:t xml:space="preserve">C-MOOR Scholars</w:t>
      </w:r>
    </w:p>
    <w:p>
      <w:pPr>
        <w:pStyle w:val="FirstParagraph"/>
      </w:pPr>
      <w:r>
        <w:drawing>
          <wp:inline>
            <wp:extent cx="5334000" cy="3000375"/>
            <wp:effectExtent b="0" l="0" r="0" t="0"/>
            <wp:docPr descr="" title="" id="409" name="Picture"/>
            <a:graphic>
              <a:graphicData uri="http://schemas.openxmlformats.org/drawingml/2006/picture">
                <pic:pic>
                  <pic:nvPicPr>
                    <pic:cNvPr descr="community-analysis-and-feedback_files/figure-docx//1dI8-_iVqbkzNMf11M4dK85E8ZW3OyZECs_YwMKw5fhs_g362a06a915d_2_4.png" id="410" name="Picture"/>
                    <pic:cNvPicPr>
                      <a:picLocks noChangeArrowheads="1" noChangeAspect="1"/>
                    </pic:cNvPicPr>
                  </pic:nvPicPr>
                  <pic:blipFill>
                    <a:blip r:embed="rId4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411">
        <w:r>
          <w:rPr>
            <w:rStyle w:val="Hyperlink"/>
          </w:rPr>
          <w:t xml:space="preserve">C-MOOR Scholars Interest Form</w:t>
        </w:r>
      </w:hyperlink>
      <w:r>
        <w:t xml:space="preserve"> </w:t>
      </w:r>
      <w:r>
        <w:t xml:space="preserve">if interested, and meet some</w:t>
      </w:r>
      <w:r>
        <w:t xml:space="preserve"> </w:t>
      </w:r>
      <w:hyperlink r:id="rId412">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231"/>
        </w:numPr>
        <w:pStyle w:val="Compact"/>
      </w:pPr>
      <w:r>
        <w:t xml:space="preserve">A place to grow your skills</w:t>
      </w:r>
    </w:p>
    <w:p>
      <w:pPr>
        <w:numPr>
          <w:ilvl w:val="0"/>
          <w:numId w:val="1231"/>
        </w:numPr>
        <w:pStyle w:val="Compact"/>
      </w:pPr>
      <w:r>
        <w:t xml:space="preserve">A place to network</w:t>
      </w:r>
    </w:p>
    <w:p>
      <w:pPr>
        <w:numPr>
          <w:ilvl w:val="0"/>
          <w:numId w:val="1231"/>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232"/>
        </w:numPr>
        <w:pStyle w:val="Compact"/>
      </w:pPr>
      <w:r>
        <w:t xml:space="preserve">A commitment to pursuing research as a career</w:t>
      </w:r>
    </w:p>
    <w:p>
      <w:pPr>
        <w:numPr>
          <w:ilvl w:val="0"/>
          <w:numId w:val="1232"/>
        </w:numPr>
        <w:pStyle w:val="Compact"/>
      </w:pPr>
      <w:r>
        <w:t xml:space="preserve">A graded class where we score work</w:t>
      </w:r>
    </w:p>
    <w:p>
      <w:pPr>
        <w:numPr>
          <w:ilvl w:val="0"/>
          <w:numId w:val="1232"/>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413">
        <w:r>
          <w:rPr>
            <w:rStyle w:val="Hyperlink"/>
          </w:rPr>
          <w:t xml:space="preserve">C-MOOR Academy Discussion Forum</w:t>
        </w:r>
      </w:hyperlink>
      <w:r>
        <w:t xml:space="preserve"> </w:t>
      </w:r>
      <w:r>
        <w:t xml:space="preserve">to hear about any remote opportunities we have.</w:t>
      </w:r>
    </w:p>
    <w:bookmarkStart w:id="415" w:name="c-moor-scholars-links"/>
    <w:p>
      <w:pPr>
        <w:pStyle w:val="Heading3"/>
      </w:pPr>
      <w:r>
        <w:rPr>
          <w:rStyle w:val="SectionNumber"/>
        </w:rPr>
        <w:t xml:space="preserve">8.1.1</w:t>
      </w:r>
      <w:r>
        <w:tab/>
      </w:r>
      <w:r>
        <w:t xml:space="preserve">C-MOOR Scholars links</w:t>
      </w:r>
    </w:p>
    <w:p>
      <w:pPr>
        <w:pStyle w:val="FirstParagraph"/>
      </w:pPr>
      <w:r>
        <w:t xml:space="preserve">Share your interests via C-MOOR Scholars Interest Form and learn how C-MOOR community can support you.</w:t>
      </w:r>
    </w:p>
    <w:p>
      <w:pPr>
        <w:numPr>
          <w:ilvl w:val="0"/>
          <w:numId w:val="1233"/>
        </w:numPr>
        <w:pStyle w:val="Compact"/>
      </w:pPr>
      <w:hyperlink r:id="rId414">
        <w:r>
          <w:rPr>
            <w:rStyle w:val="Hyperlink"/>
          </w:rPr>
          <w:t xml:space="preserve">C-MOOR Scholars Interest Form</w:t>
        </w:r>
      </w:hyperlink>
    </w:p>
    <w:p>
      <w:pPr>
        <w:pStyle w:val="FirstParagraph"/>
      </w:pPr>
      <w:r>
        <w:t xml:space="preserve">Meet some of the C-MOOR Scholars and learn how you can support them</w:t>
      </w:r>
    </w:p>
    <w:p>
      <w:pPr>
        <w:numPr>
          <w:ilvl w:val="0"/>
          <w:numId w:val="1234"/>
        </w:numPr>
        <w:pStyle w:val="Compact"/>
      </w:pPr>
      <w:hyperlink r:id="rId412">
        <w:r>
          <w:rPr>
            <w:rStyle w:val="Hyperlink"/>
          </w:rPr>
          <w:t xml:space="preserve">C-MOOR Scholars at CCC</w:t>
        </w:r>
      </w:hyperlink>
    </w:p>
    <w:bookmarkEnd w:id="415"/>
    <w:bookmarkEnd w:id="416"/>
    <w:bookmarkStart w:id="423" w:name="pursue-further-research"/>
    <w:p>
      <w:pPr>
        <w:pStyle w:val="Heading2"/>
      </w:pPr>
      <w:r>
        <w:rPr>
          <w:rStyle w:val="SectionNumber"/>
        </w:rPr>
        <w:t xml:space="preserve">8.2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418" name="Picture"/>
            <a:graphic>
              <a:graphicData uri="http://schemas.openxmlformats.org/drawingml/2006/picture">
                <pic:pic>
                  <pic:nvPicPr>
                    <pic:cNvPr descr="community-analysis-and-feedback_files/figure-docx//1dI8-_iVqbkzNMf11M4dK85E8ZW3OyZECs_YwMKw5fhs_g362974128df_0_98.png" id="419" name="Picture"/>
                    <pic:cNvPicPr>
                      <a:picLocks noChangeArrowheads="1" noChangeAspect="1"/>
                    </pic:cNvPicPr>
                  </pic:nvPicPr>
                  <pic:blipFill>
                    <a:blip r:embed="rId417"/>
                    <a:stretch>
                      <a:fillRect/>
                    </a:stretch>
                  </pic:blipFill>
                  <pic:spPr bwMode="auto">
                    <a:xfrm>
                      <a:off x="0" y="0"/>
                      <a:ext cx="5334000" cy="3000375"/>
                    </a:xfrm>
                    <a:prstGeom prst="rect">
                      <a:avLst/>
                    </a:prstGeom>
                    <a:noFill/>
                    <a:ln w="9525">
                      <a:noFill/>
                      <a:headEnd/>
                      <a:tailEnd/>
                    </a:ln>
                  </pic:spPr>
                </pic:pic>
              </a:graphicData>
            </a:graphic>
          </wp:inline>
        </w:drawing>
      </w:r>
    </w:p>
    <w:bookmarkStart w:id="421" w:name="Xc738158caaf65c8ffd3c6f2ca9b7fa0c34fc752"/>
    <w:p>
      <w:pPr>
        <w:pStyle w:val="Heading3"/>
      </w:pPr>
      <w:r>
        <w:rPr>
          <w:rStyle w:val="SectionNumber"/>
        </w:rPr>
        <w:t xml:space="preserve">8.2.1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235"/>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235"/>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420">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421"/>
    <w:bookmarkStart w:id="422" w:name="find-a-research-lab-to-join"/>
    <w:p>
      <w:pPr>
        <w:pStyle w:val="Heading3"/>
      </w:pPr>
      <w:r>
        <w:rPr>
          <w:rStyle w:val="SectionNumber"/>
        </w:rPr>
        <w:t xml:space="preserve">8.2.2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236"/>
        </w:numPr>
        <w:pStyle w:val="Compact"/>
      </w:pPr>
      <w:r>
        <w:t xml:space="preserve">☐  An introduction about yourself (name, class year, institution, major)</w:t>
      </w:r>
    </w:p>
    <w:p>
      <w:pPr>
        <w:numPr>
          <w:ilvl w:val="0"/>
          <w:numId w:val="1236"/>
        </w:numPr>
        <w:pStyle w:val="Compact"/>
      </w:pPr>
      <w:r>
        <w:t xml:space="preserve">☐  1-2 sentences about your previous experience in research</w:t>
      </w:r>
    </w:p>
    <w:p>
      <w:pPr>
        <w:numPr>
          <w:ilvl w:val="0"/>
          <w:numId w:val="1236"/>
        </w:numPr>
        <w:pStyle w:val="Compact"/>
      </w:pPr>
      <w:r>
        <w:t xml:space="preserve">☐  1-2 sentences about why you’re interested in their lab specifically</w:t>
      </w:r>
    </w:p>
    <w:p>
      <w:pPr>
        <w:numPr>
          <w:ilvl w:val="0"/>
          <w:numId w:val="1236"/>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422"/>
    <w:bookmarkEnd w:id="423"/>
    <w:bookmarkStart w:id="428" w:name="biodigs"/>
    <w:p>
      <w:pPr>
        <w:pStyle w:val="Heading2"/>
      </w:pPr>
      <w:r>
        <w:rPr>
          <w:rStyle w:val="SectionNumber"/>
        </w:rPr>
        <w:t xml:space="preserve">8.3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425" name="Picture"/>
            <a:graphic>
              <a:graphicData uri="http://schemas.openxmlformats.org/drawingml/2006/picture">
                <pic:pic>
                  <pic:nvPicPr>
                    <pic:cNvPr descr="community-analysis-and-feedback_files/figure-docx//1dI8-_iVqbkzNMf11M4dK85E8ZW3OyZECs_YwMKw5fhs_g362a06a915d_2_10.png" id="426" name="Picture"/>
                    <pic:cNvPicPr>
                      <a:picLocks noChangeArrowheads="1" noChangeAspect="1"/>
                    </pic:cNvPicPr>
                  </pic:nvPicPr>
                  <pic:blipFill>
                    <a:blip r:embed="rId4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427">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428"/>
    <w:bookmarkEnd w:id="429"/>
    <w:bookmarkStart w:id="448" w:name="online-community"/>
    <w:p>
      <w:pPr>
        <w:pStyle w:val="Heading1"/>
      </w:pPr>
      <w:r>
        <w:rPr>
          <w:rStyle w:val="SectionNumber"/>
        </w:rPr>
        <w:t xml:space="preserve">9</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430">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237"/>
        </w:numPr>
        <w:pStyle w:val="Compact"/>
      </w:pPr>
      <w:hyperlink r:id="rId431">
        <w:r>
          <w:rPr>
            <w:rStyle w:val="Hyperlink"/>
          </w:rPr>
          <w:t xml:space="preserve">C-MOOR Academy Discussion Forum</w:t>
        </w:r>
      </w:hyperlink>
      <w:r>
        <w:t xml:space="preserve"> </w:t>
      </w:r>
      <w:r>
        <w:t xml:space="preserve">for help with and example miniCUREs</w:t>
      </w:r>
    </w:p>
    <w:p>
      <w:pPr>
        <w:numPr>
          <w:ilvl w:val="0"/>
          <w:numId w:val="1237"/>
        </w:numPr>
        <w:pStyle w:val="Compact"/>
      </w:pPr>
      <w:hyperlink r:id="rId432">
        <w:r>
          <w:rPr>
            <w:rStyle w:val="Hyperlink"/>
          </w:rPr>
          <w:t xml:space="preserve">Galaxy forum</w:t>
        </w:r>
      </w:hyperlink>
      <w:r>
        <w:t xml:space="preserve"> </w:t>
      </w:r>
      <w:r>
        <w:t xml:space="preserve">for all things Galaxy</w:t>
      </w:r>
    </w:p>
    <w:p>
      <w:pPr>
        <w:numPr>
          <w:ilvl w:val="0"/>
          <w:numId w:val="1237"/>
        </w:numPr>
        <w:pStyle w:val="Compact"/>
      </w:pPr>
      <w:hyperlink r:id="rId433">
        <w:r>
          <w:rPr>
            <w:rStyle w:val="Hyperlink"/>
          </w:rPr>
          <w:t xml:space="preserve">Bioconductor forum</w:t>
        </w:r>
      </w:hyperlink>
      <w:r>
        <w:t xml:space="preserve"> </w:t>
      </w:r>
      <w:r>
        <w:t xml:space="preserve">for all things R/Bioconductor</w:t>
      </w:r>
    </w:p>
    <w:p>
      <w:pPr>
        <w:numPr>
          <w:ilvl w:val="0"/>
          <w:numId w:val="1237"/>
        </w:numPr>
        <w:pStyle w:val="Compact"/>
      </w:pPr>
      <w:hyperlink r:id="rId434">
        <w:r>
          <w:rPr>
            <w:rStyle w:val="Hyperlink"/>
          </w:rPr>
          <w:t xml:space="preserve">AnVIL forum</w:t>
        </w:r>
      </w:hyperlink>
      <w:r>
        <w:t xml:space="preserve"> </w:t>
      </w:r>
      <w:r>
        <w:t xml:space="preserve">for all things related to the cloud computing platform, AnVIL</w:t>
      </w:r>
    </w:p>
    <w:p>
      <w:pPr>
        <w:numPr>
          <w:ilvl w:val="0"/>
          <w:numId w:val="1237"/>
        </w:numPr>
        <w:pStyle w:val="Compact"/>
      </w:pPr>
      <w:hyperlink r:id="rId435">
        <w:r>
          <w:rPr>
            <w:rStyle w:val="Hyperlink"/>
          </w:rPr>
          <w:t xml:space="preserve">BioDIGS</w:t>
        </w:r>
      </w:hyperlink>
      <w:r>
        <w:t xml:space="preserve"> </w:t>
      </w:r>
      <w:r>
        <w:t xml:space="preserve">for interactions with the GDSCN BioDIGS consortium</w:t>
      </w:r>
    </w:p>
    <w:p>
      <w:pPr>
        <w:pStyle w:val="FirstParagraph"/>
      </w:pPr>
      <w:r>
        <w:drawing>
          <wp:inline>
            <wp:extent cx="5334000" cy="3000375"/>
            <wp:effectExtent b="0" l="0" r="0" t="0"/>
            <wp:docPr descr="" title="" id="437" name="Picture"/>
            <a:graphic>
              <a:graphicData uri="http://schemas.openxmlformats.org/drawingml/2006/picture">
                <pic:pic>
                  <pic:nvPicPr>
                    <pic:cNvPr descr="community-analysis-and-feedback_files/figure-docx//1fH9s5OLcRF5meZtFWTJe89RFvJSh125kdjhdqp5smqA_g302b08c5e6e_0_16.png" id="438" name="Picture"/>
                    <pic:cNvPicPr>
                      <a:picLocks noChangeArrowheads="1" noChangeAspect="1"/>
                    </pic:cNvPicPr>
                  </pic:nvPicPr>
                  <pic:blipFill>
                    <a:blip r:embed="rId4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440" name="Picture"/>
            <a:graphic>
              <a:graphicData uri="http://schemas.openxmlformats.org/drawingml/2006/picture">
                <pic:pic>
                  <pic:nvPicPr>
                    <pic:cNvPr descr="community-analysis-and-feedback_files/figure-docx//1fH9s5OLcRF5meZtFWTJe89RFvJSh125kdjhdqp5smqA_g302b08c5e6e_0_5.png" id="441" name="Picture"/>
                    <pic:cNvPicPr>
                      <a:picLocks noChangeArrowheads="1" noChangeAspect="1"/>
                    </pic:cNvPicPr>
                  </pic:nvPicPr>
                  <pic:blipFill>
                    <a:blip r:embed="rId4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443" name="Picture"/>
            <a:graphic>
              <a:graphicData uri="http://schemas.openxmlformats.org/drawingml/2006/picture">
                <pic:pic>
                  <pic:nvPicPr>
                    <pic:cNvPr descr="community-analysis-and-feedback_files/figure-docx//1fH9s5OLcRF5meZtFWTJe89RFvJSh125kdjhdqp5smqA_g302b08c5e6e_0_22.png" id="444" name="Picture"/>
                    <pic:cNvPicPr>
                      <a:picLocks noChangeArrowheads="1" noChangeAspect="1"/>
                    </pic:cNvPicPr>
                  </pic:nvPicPr>
                  <pic:blipFill>
                    <a:blip r:embed="rId4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446" name="Picture"/>
            <a:graphic>
              <a:graphicData uri="http://schemas.openxmlformats.org/drawingml/2006/picture">
                <pic:pic>
                  <pic:nvPicPr>
                    <pic:cNvPr descr="community-analysis-and-feedback_files/figure-docx//1fH9s5OLcRF5meZtFWTJe89RFvJSh125kdjhdqp5smqA_g302b08c5e6e_0_12.png" id="447" name="Picture"/>
                    <pic:cNvPicPr>
                      <a:picLocks noChangeArrowheads="1" noChangeAspect="1"/>
                    </pic:cNvPicPr>
                  </pic:nvPicPr>
                  <pic:blipFill>
                    <a:blip r:embed="rId445"/>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448"/>
    <w:bookmarkStart w:id="479" w:name="spreadsheets-101"/>
    <w:p>
      <w:pPr>
        <w:pStyle w:val="Heading1"/>
      </w:pPr>
      <w:r>
        <w:rPr>
          <w:rStyle w:val="SectionNumber"/>
        </w:rPr>
        <w:t xml:space="preserve">10</w:t>
      </w:r>
      <w:r>
        <w:tab/>
      </w:r>
      <w:r>
        <w:t xml:space="preserve">Spreadsheets 101</w:t>
      </w:r>
    </w:p>
    <w:p>
      <w:pPr>
        <w:pStyle w:val="FirstParagraph"/>
      </w:pPr>
      <w:r>
        <w:rPr>
          <w:bCs/>
          <w:b/>
        </w:rPr>
        <w:t xml:space="preserve">Spreadsheets</w:t>
      </w:r>
      <w:r>
        <w:t xml:space="preserve"> </w:t>
      </w:r>
      <w:r>
        <w:t xml:space="preserve">are tables that organize data using rows and columns. Spreadsheets are used in nearly every field of study and in personal life. The two most popular spreadsheet programs are Google Sheets and Microsoft Excel. While they can do approximately the same things, the exact steps to perform analyses are slightly different.</w:t>
      </w:r>
      <w:r>
        <w:t xml:space="preserve"> </w:t>
      </w:r>
      <w:r>
        <w:t xml:space="preserve">To keep things standardized between students we ask all students to use Google Sheets, which is also free for users with a Gmail account</w:t>
      </w:r>
      <w:r>
        <w:t xml:space="preserve">.</w:t>
      </w:r>
    </w:p>
    <w:p>
      <w:pPr>
        <w:pStyle w:val="BodyText"/>
      </w:pPr>
      <w:r>
        <w:t xml:space="preserve">This section will cover some of the basic functions of Google Sheets.</w:t>
      </w:r>
    </w:p>
    <w:bookmarkStart w:id="449" w:name="right-clicking"/>
    <w:p>
      <w:pPr>
        <w:pStyle w:val="Heading4"/>
      </w:pPr>
      <w:r>
        <w:rPr>
          <w:rStyle w:val="SectionNumber"/>
        </w:rPr>
        <w:t xml:space="preserve">10.0.0.1</w:t>
      </w:r>
      <w:r>
        <w:tab/>
      </w:r>
      <w:r>
        <w:rPr>
          <w:bCs/>
          <w:b/>
        </w:rPr>
        <w:t xml:space="preserve">Right clicking?</w:t>
      </w:r>
    </w:p>
    <w:bookmarkEnd w:id="449"/>
    <w:p>
      <w:pPr>
        <w:pStyle w:val="FirstParagraph"/>
      </w:pPr>
      <w:r>
        <w:t xml:space="preserve">A traditional mouse has a left button, a right button, and sometimes a center button. Typically, you click with the left button. Right clicking refers to clicking with the right button.</w:t>
      </w:r>
    </w:p>
    <w:p>
      <w:pPr>
        <w:pStyle w:val="BodyText"/>
      </w:pPr>
      <w:r>
        <w:t xml:space="preserve">Modern laptops and tablets have translated this feature in different ways. If you’re not using a mouse or find that clicking with the right or right-bottom corner of the trackpad doesn’t work, try the following:</w:t>
      </w:r>
    </w:p>
    <w:p>
      <w:pPr>
        <w:numPr>
          <w:ilvl w:val="0"/>
          <w:numId w:val="1238"/>
        </w:numPr>
        <w:pStyle w:val="Compact"/>
      </w:pPr>
      <w:r>
        <w:t xml:space="preserve">Right click by holding Ctrl and left-clicking</w:t>
      </w:r>
    </w:p>
    <w:p>
      <w:pPr>
        <w:numPr>
          <w:ilvl w:val="0"/>
          <w:numId w:val="1238"/>
        </w:numPr>
        <w:pStyle w:val="Compact"/>
      </w:pPr>
      <w:r>
        <w:t xml:space="preserve">Tapping with two fingers as opposed to one</w:t>
      </w:r>
    </w:p>
    <w:bookmarkStart w:id="453" w:name="getting-a-copy-of-the-spreadsheet"/>
    <w:p>
      <w:pPr>
        <w:pStyle w:val="Heading3"/>
      </w:pPr>
      <w:r>
        <w:rPr>
          <w:rStyle w:val="SectionNumber"/>
        </w:rPr>
        <w:t xml:space="preserve">10.0.1</w:t>
      </w:r>
      <w:r>
        <w:tab/>
      </w:r>
      <w:r>
        <w:t xml:space="preserve">Getting a copy of the spreadsheet</w:t>
      </w:r>
    </w:p>
    <w:p>
      <w:pPr>
        <w:pStyle w:val="FirstParagraph"/>
      </w:pPr>
      <w:r>
        <w:drawing>
          <wp:inline>
            <wp:extent cx="5334000" cy="3000375"/>
            <wp:effectExtent b="0" l="0" r="0" t="0"/>
            <wp:docPr descr="" title="" id="451" name="Picture"/>
            <a:graphic>
              <a:graphicData uri="http://schemas.openxmlformats.org/drawingml/2006/picture">
                <pic:pic>
                  <pic:nvPicPr>
                    <pic:cNvPr descr="resources_files/figure-docx//1ah82NLd1weER1SUEJ9aPFDWT2vLg5wK5JW6tjdVkf6o_g3b212331eba_0_25.png" id="452" name="Picture"/>
                    <pic:cNvPicPr>
                      <a:picLocks noChangeArrowheads="1" noChangeAspect="1"/>
                    </pic:cNvPicPr>
                  </pic:nvPicPr>
                  <pic:blipFill>
                    <a:blip r:embed="rId4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Spreadsheets are featured in some of our C-MOOR curricula. We keep an original copy of the spreadsheet that can’t be edited by students and ask users to create a new copy to do their calculations in.</w:t>
      </w:r>
    </w:p>
    <w:p>
      <w:pPr>
        <w:pStyle w:val="BodyText"/>
      </w:pPr>
      <w:r>
        <w:t xml:space="preserve">You will need to make a copy of the original spreadsheet in order to interact with it. To do so, in the top left corner of the window, under the name of the spreadsheet and to the right of the spreadsheet icon, click</w:t>
      </w:r>
      <w:r>
        <w:t xml:space="preserve"> </w:t>
      </w:r>
      <w:r>
        <w:rPr>
          <w:bCs/>
          <w:b/>
        </w:rPr>
        <w:t xml:space="preserve">File &gt; Make a copy</w:t>
      </w:r>
      <w:r>
        <w:t xml:space="preserve">. This new copy is yours to keep track of in your Google Drive.</w:t>
      </w:r>
    </w:p>
    <w:bookmarkEnd w:id="453"/>
    <w:bookmarkStart w:id="457" w:name="basic-spreadsheet-terms"/>
    <w:p>
      <w:pPr>
        <w:pStyle w:val="Heading3"/>
      </w:pPr>
      <w:r>
        <w:rPr>
          <w:rStyle w:val="SectionNumber"/>
        </w:rPr>
        <w:t xml:space="preserve">10.0.2</w:t>
      </w:r>
      <w:r>
        <w:tab/>
      </w:r>
      <w:r>
        <w:t xml:space="preserve">Basic spreadsheet terms</w:t>
      </w:r>
    </w:p>
    <w:p>
      <w:pPr>
        <w:pStyle w:val="FirstParagraph"/>
      </w:pPr>
      <w:r>
        <w:drawing>
          <wp:inline>
            <wp:extent cx="5334000" cy="3000375"/>
            <wp:effectExtent b="0" l="0" r="0" t="0"/>
            <wp:docPr descr="" title="" id="455" name="Picture"/>
            <a:graphic>
              <a:graphicData uri="http://schemas.openxmlformats.org/drawingml/2006/picture">
                <pic:pic>
                  <pic:nvPicPr>
                    <pic:cNvPr descr="resources_files/figure-docx//1ah82NLd1weER1SUEJ9aPFDWT2vLg5wK5JW6tjdVkf6o_g3b212331eba_0_5.png" id="456" name="Picture"/>
                    <pic:cNvPicPr>
                      <a:picLocks noChangeArrowheads="1" noChangeAspect="1"/>
                    </pic:cNvPicPr>
                  </pic:nvPicPr>
                  <pic:blipFill>
                    <a:blip r:embed="rId4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Columns</w:t>
      </w:r>
      <w:r>
        <w:t xml:space="preserve">: Refers to the vertical groupings of data types and called by a letter (ex. Column A, B, C, and D.</w:t>
      </w:r>
    </w:p>
    <w:p>
      <w:pPr>
        <w:pStyle w:val="BodyText"/>
      </w:pPr>
      <w:r>
        <w:rPr>
          <w:bCs/>
          <w:b/>
        </w:rPr>
        <w:t xml:space="preserve">Rows</w:t>
      </w:r>
      <w:r>
        <w:t xml:space="preserve">: Refers to the horizontal grouping of data types and called by a number (ex. Row 1, 2, 3…). In this example data, each row refers to a pet.</w:t>
      </w:r>
    </w:p>
    <w:p>
      <w:pPr>
        <w:pStyle w:val="BodyText"/>
      </w:pPr>
      <w:r>
        <w:rPr>
          <w:bCs/>
          <w:b/>
        </w:rPr>
        <w:t xml:space="preserve">Cells</w:t>
      </w:r>
      <w:r>
        <w:t xml:space="preserve">: Refer to the intersection between a given row and column and can be called by a combination of their column and row. Example: B2 refers to the intersection of column B, row 2 (which contains</w:t>
      </w:r>
      <w:r>
        <w:t xml:space="preserve"> </w:t>
      </w:r>
      <w:r>
        <w:t xml:space="preserve">“</w:t>
      </w:r>
      <w:r>
        <w:t xml:space="preserve">Dog</w:t>
      </w:r>
      <w:r>
        <w:t xml:space="preserve">”</w:t>
      </w:r>
      <w:r>
        <w:t xml:space="preserve">).</w:t>
      </w:r>
    </w:p>
    <w:p>
      <w:pPr>
        <w:pStyle w:val="BodyText"/>
      </w:pPr>
      <w:r>
        <w:rPr>
          <w:bCs/>
          <w:b/>
        </w:rPr>
        <w:t xml:space="preserve">Header</w:t>
      </w:r>
      <w:r>
        <w:t xml:space="preserve">: Used to refer to the first row, which contains metadata or describes the data in each column.</w:t>
      </w:r>
    </w:p>
    <w:bookmarkEnd w:id="457"/>
    <w:bookmarkStart w:id="464" w:name="summary-statistics-by-row-or-column"/>
    <w:p>
      <w:pPr>
        <w:pStyle w:val="Heading3"/>
      </w:pPr>
      <w:r>
        <w:rPr>
          <w:rStyle w:val="SectionNumber"/>
        </w:rPr>
        <w:t xml:space="preserve">10.0.3</w:t>
      </w:r>
      <w:r>
        <w:tab/>
      </w:r>
      <w:r>
        <w:t xml:space="preserve">Summary statistics by row or column</w:t>
      </w:r>
    </w:p>
    <w:p>
      <w:pPr>
        <w:pStyle w:val="FirstParagraph"/>
      </w:pPr>
      <w:r>
        <w:drawing>
          <wp:inline>
            <wp:extent cx="5334000" cy="3000375"/>
            <wp:effectExtent b="0" l="0" r="0" t="0"/>
            <wp:docPr descr="" title="" id="459" name="Picture"/>
            <a:graphic>
              <a:graphicData uri="http://schemas.openxmlformats.org/drawingml/2006/picture">
                <pic:pic>
                  <pic:nvPicPr>
                    <pic:cNvPr descr="resources_files/figure-docx//1ah82NLd1weER1SUEJ9aPFDWT2vLg5wK5JW6tjdVkf6o_g3b212331eba_0_11.png" id="460" name="Picture"/>
                    <pic:cNvPicPr>
                      <a:picLocks noChangeArrowheads="1" noChangeAspect="1"/>
                    </pic:cNvPicPr>
                  </pic:nvPicPr>
                  <pic:blipFill>
                    <a:blip r:embed="rId4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Clicking on a column or row gives you the count of how many filled in cells there are in the bottom right area of the window. Notice how there are 11 cells filled and reported but only 10 of them contain real data.</w:t>
      </w:r>
      <w:r>
        <w:t xml:space="preserve"> </w:t>
      </w:r>
      <w:r>
        <w:t xml:space="preserve">Cell A1 contains</w:t>
      </w:r>
      <w:r>
        <w:t xml:space="preserve"> </w:t>
      </w:r>
      <w:r>
        <w:t xml:space="preserve">“</w:t>
      </w:r>
      <w:r>
        <w:t xml:space="preserve">Name</w:t>
      </w:r>
      <w:r>
        <w:t xml:space="preserve">”</w:t>
      </w:r>
      <w:r>
        <w:t xml:space="preserve">, which is a label for what kind of data is stored, but not data itself. Keep this in mind when answering questions about count.</w:t>
      </w:r>
    </w:p>
    <w:p>
      <w:pPr>
        <w:pStyle w:val="BodyText"/>
      </w:pPr>
      <w:r>
        <w:drawing>
          <wp:inline>
            <wp:extent cx="5334000" cy="3000375"/>
            <wp:effectExtent b="0" l="0" r="0" t="0"/>
            <wp:docPr descr="" title="" id="462" name="Picture"/>
            <a:graphic>
              <a:graphicData uri="http://schemas.openxmlformats.org/drawingml/2006/picture">
                <pic:pic>
                  <pic:nvPicPr>
                    <pic:cNvPr descr="resources_files/figure-docx//1ah82NLd1weER1SUEJ9aPFDWT2vLg5wK5JW6tjdVkf6o_g3b212331eba_0_16.png" id="463" name="Picture"/>
                    <pic:cNvPicPr>
                      <a:picLocks noChangeArrowheads="1" noChangeAspect="1"/>
                    </pic:cNvPicPr>
                  </pic:nvPicPr>
                  <pic:blipFill>
                    <a:blip r:embed="rId46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numerical data is detected, you can click on the field in the bottom right corner and toggle it to</w:t>
      </w:r>
      <w:r>
        <w:t xml:space="preserve"> </w:t>
      </w:r>
      <w:r>
        <w:rPr>
          <w:bCs/>
          <w:b/>
        </w:rPr>
        <w:t xml:space="preserve">display the sum, average, minimum, maximum, count value, and count value only including numbers</w:t>
      </w:r>
      <w:r>
        <w:t xml:space="preserve">.</w:t>
      </w:r>
    </w:p>
    <w:bookmarkEnd w:id="464"/>
    <w:bookmarkStart w:id="468" w:name="adding-data-to-cells"/>
    <w:p>
      <w:pPr>
        <w:pStyle w:val="Heading3"/>
      </w:pPr>
      <w:r>
        <w:rPr>
          <w:rStyle w:val="SectionNumber"/>
        </w:rPr>
        <w:t xml:space="preserve">10.0.4</w:t>
      </w:r>
      <w:r>
        <w:tab/>
      </w:r>
      <w:r>
        <w:t xml:space="preserve">Adding data to cells</w:t>
      </w:r>
    </w:p>
    <w:p>
      <w:pPr>
        <w:pStyle w:val="FirstParagraph"/>
      </w:pPr>
      <w:r>
        <w:t xml:space="preserve">To add data to a cell, click on the cell and enter your data. Confirm the entry with the</w:t>
      </w:r>
      <w:r>
        <w:t xml:space="preserve"> </w:t>
      </w:r>
      <w:r>
        <w:t xml:space="preserve">“</w:t>
      </w:r>
      <w:r>
        <w:t xml:space="preserve">Enter</w:t>
      </w:r>
      <w:r>
        <w:t xml:space="preserve">”</w:t>
      </w:r>
      <w:r>
        <w:t xml:space="preserve"> </w:t>
      </w:r>
      <w:r>
        <w:t xml:space="preserve">or</w:t>
      </w:r>
      <w:r>
        <w:t xml:space="preserve"> </w:t>
      </w:r>
      <w:r>
        <w:t xml:space="preserve">“</w:t>
      </w:r>
      <w:r>
        <w:t xml:space="preserve">Return</w:t>
      </w:r>
      <w:r>
        <w:t xml:space="preserve">”</w:t>
      </w:r>
      <w:r>
        <w:t xml:space="preserve"> </w:t>
      </w:r>
      <w:r>
        <w:t xml:space="preserve">key on your keyboard or by clicking or moving to another cell with the arrow keys.</w:t>
      </w:r>
    </w:p>
    <w:p>
      <w:pPr>
        <w:pStyle w:val="BodyText"/>
      </w:pPr>
      <w:r>
        <w:rPr>
          <w:bCs/>
          <w:b/>
        </w:rPr>
        <w:t xml:space="preserve">Notice: Above the columns there is a field where you can see what is in a selected cell.</w:t>
      </w:r>
    </w:p>
    <w:p>
      <w:pPr>
        <w:pStyle w:val="BodyText"/>
      </w:pPr>
      <w:r>
        <w:drawing>
          <wp:inline>
            <wp:extent cx="5334000" cy="3000375"/>
            <wp:effectExtent b="0" l="0" r="0" t="0"/>
            <wp:docPr descr="" title="" id="466" name="Picture"/>
            <a:graphic>
              <a:graphicData uri="http://schemas.openxmlformats.org/drawingml/2006/picture">
                <pic:pic>
                  <pic:nvPicPr>
                    <pic:cNvPr descr="resources_files/figure-docx//1ah82NLd1weER1SUEJ9aPFDWT2vLg5wK5JW6tjdVkf6o_g3b212331eba_0_19.png" id="467" name="Picture"/>
                    <pic:cNvPicPr>
                      <a:picLocks noChangeArrowheads="1" noChangeAspect="1"/>
                    </pic:cNvPicPr>
                  </pic:nvPicPr>
                  <pic:blipFill>
                    <a:blip r:embed="rId4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add calculations to a cell, use the = sign. Spreadsheet software will treat any cell with an = sign as a calculation, and it will treat any cell without an = sign as text. To do this, compare what happens when you have cells with the following.</w:t>
      </w:r>
    </w:p>
    <w:p>
      <w:pPr>
        <w:numPr>
          <w:ilvl w:val="0"/>
          <w:numId w:val="1239"/>
        </w:numPr>
        <w:pStyle w:val="Compact"/>
      </w:pPr>
      <w:r>
        <w:t xml:space="preserve">1+1</w:t>
      </w:r>
    </w:p>
    <w:p>
      <w:pPr>
        <w:numPr>
          <w:ilvl w:val="0"/>
          <w:numId w:val="1239"/>
        </w:numPr>
        <w:pStyle w:val="Compact"/>
      </w:pPr>
      <w:r>
        <w:t xml:space="preserve">= 1+1</w:t>
      </w:r>
    </w:p>
    <w:p>
      <w:pPr>
        <w:pStyle w:val="FirstParagraph"/>
      </w:pPr>
      <w:r>
        <w:t xml:space="preserve">1+1 will remain at 1+1, where as = 1+1 will cause the cell to calculate 2. We can see the original calculation we put into the cell above the columns. Calculations only work for numerical values. Cells with invalid calculations will cause a pop-up to warn you the cell is invalid.</w:t>
      </w:r>
    </w:p>
    <w:p>
      <w:pPr>
        <w:pStyle w:val="BodyText"/>
      </w:pPr>
      <w:r>
        <w:t xml:space="preserve">To add calculations based on cell values, the formula must contain the specific cell. We can manually type out the combination of column and row that refers to a cell (ex. D2, or:</w:t>
      </w:r>
    </w:p>
    <w:p>
      <w:pPr>
        <w:numPr>
          <w:ilvl w:val="0"/>
          <w:numId w:val="1240"/>
        </w:numPr>
        <w:pStyle w:val="Compact"/>
      </w:pPr>
      <w:r>
        <w:t xml:space="preserve">Type = into a cell</w:t>
      </w:r>
    </w:p>
    <w:p>
      <w:pPr>
        <w:numPr>
          <w:ilvl w:val="0"/>
          <w:numId w:val="1240"/>
        </w:numPr>
        <w:pStyle w:val="Compact"/>
      </w:pPr>
      <w:r>
        <w:t xml:space="preserve">Click on the cell you want to use in a calculation</w:t>
      </w:r>
    </w:p>
    <w:p>
      <w:pPr>
        <w:numPr>
          <w:ilvl w:val="0"/>
          <w:numId w:val="1240"/>
        </w:numPr>
        <w:pStyle w:val="Compact"/>
      </w:pPr>
      <w:r>
        <w:t xml:space="preserve">Complete the calculation formula.</w:t>
      </w:r>
    </w:p>
    <w:p>
      <w:pPr>
        <w:pStyle w:val="FirstParagraph"/>
      </w:pPr>
      <w:r>
        <w:rPr>
          <w:bCs/>
          <w:b/>
        </w:rPr>
        <w:t xml:space="preserve">Notice: The cell used has colored borders matching the formula.</w:t>
      </w:r>
      <w:r>
        <w:t xml:space="preserve"> </w:t>
      </w:r>
      <w:r>
        <w:t xml:space="preserve">You can interact with these borders to select different cells and find what is currently selected.</w:t>
      </w:r>
    </w:p>
    <w:bookmarkEnd w:id="468"/>
    <w:bookmarkStart w:id="472" w:name="applying-a-calculation-to-many-cells"/>
    <w:p>
      <w:pPr>
        <w:pStyle w:val="Heading3"/>
      </w:pPr>
      <w:r>
        <w:rPr>
          <w:rStyle w:val="SectionNumber"/>
        </w:rPr>
        <w:t xml:space="preserve">10.0.5</w:t>
      </w:r>
      <w:r>
        <w:tab/>
      </w:r>
      <w:r>
        <w:t xml:space="preserve">Applying a calculation to many cells</w:t>
      </w:r>
    </w:p>
    <w:p>
      <w:pPr>
        <w:pStyle w:val="FirstParagraph"/>
      </w:pPr>
      <w:r>
        <w:drawing>
          <wp:inline>
            <wp:extent cx="5334000" cy="3000375"/>
            <wp:effectExtent b="0" l="0" r="0" t="0"/>
            <wp:docPr descr="" title="" id="470" name="Picture"/>
            <a:graphic>
              <a:graphicData uri="http://schemas.openxmlformats.org/drawingml/2006/picture">
                <pic:pic>
                  <pic:nvPicPr>
                    <pic:cNvPr descr="resources_files/figure-docx//1ah82NLd1weER1SUEJ9aPFDWT2vLg5wK5JW6tjdVkf6o_g3b212331eba_0_22.png" id="471" name="Picture"/>
                    <pic:cNvPicPr>
                      <a:picLocks noChangeArrowheads="1" noChangeAspect="1"/>
                    </pic:cNvPicPr>
                  </pic:nvPicPr>
                  <pic:blipFill>
                    <a:blip r:embed="rId4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use the calculation multiple times, we can do the following, all of which will copy the formula and carry down the selected cells so you don’t have to reselect the cells used for new rows and columns. Try the following below to see what we mean.</w:t>
      </w:r>
    </w:p>
    <w:p>
      <w:pPr>
        <w:pStyle w:val="BodyText"/>
      </w:pPr>
      <w:r>
        <w:rPr>
          <w:bCs/>
          <w:b/>
        </w:rPr>
        <w:t xml:space="preserve">Method 1)</w:t>
      </w:r>
      <w:r>
        <w:t xml:space="preserve"> </w:t>
      </w:r>
      <w:r>
        <w:t xml:space="preserve">Copy-paste the cell’s contents into new cells one by one. You can copy the cell with Ctrl+C or right clicking the cell and selecting copy. You can paste the calculation formula into new cells with Ctrl+V or right clicking the new cell and selecting paste.</w:t>
      </w:r>
    </w:p>
    <w:p>
      <w:pPr>
        <w:pStyle w:val="BodyText"/>
      </w:pPr>
      <w:r>
        <w:rPr>
          <w:bCs/>
          <w:b/>
        </w:rPr>
        <w:t xml:space="preserve">Method 2)</w:t>
      </w:r>
      <w:r>
        <w:t xml:space="preserve"> </w:t>
      </w:r>
      <w:r>
        <w:t xml:space="preserve">Paste into multiple cells at one time. If you have a calculation that needs to be applied many times, it can be inconvenient to paste a copied formula over and over. In this case, select multiple cells by holding down the shift key and paste into all of them at once.</w:t>
      </w:r>
    </w:p>
    <w:p>
      <w:pPr>
        <w:pStyle w:val="BodyText"/>
      </w:pPr>
      <w:r>
        <w:rPr>
          <w:bCs/>
          <w:b/>
        </w:rPr>
        <w:t xml:space="preserve">Method 3)</w:t>
      </w:r>
      <w:r>
        <w:t xml:space="preserve"> </w:t>
      </w:r>
      <w:r>
        <w:t xml:space="preserve">Drag the contents of the cell to copy the contents to new cells. When a cell is selected, a blue dot appears in the bottom right corner of the cell. Click and drag this dot and the formula will be applied to other cells</w:t>
      </w:r>
    </w:p>
    <w:bookmarkEnd w:id="472"/>
    <w:bookmarkStart w:id="476" w:name="manipulating-the-spreadsheet"/>
    <w:p>
      <w:pPr>
        <w:pStyle w:val="Heading3"/>
      </w:pPr>
      <w:r>
        <w:rPr>
          <w:rStyle w:val="SectionNumber"/>
        </w:rPr>
        <w:t xml:space="preserve">10.0.6</w:t>
      </w:r>
      <w:r>
        <w:tab/>
      </w:r>
      <w:r>
        <w:t xml:space="preserve">Manipulating the spreadsheet</w:t>
      </w:r>
    </w:p>
    <w:p>
      <w:pPr>
        <w:pStyle w:val="FirstParagraph"/>
      </w:pPr>
      <w:r>
        <w:drawing>
          <wp:inline>
            <wp:extent cx="5334000" cy="3000375"/>
            <wp:effectExtent b="0" l="0" r="0" t="0"/>
            <wp:docPr descr="" title="" id="474" name="Picture"/>
            <a:graphic>
              <a:graphicData uri="http://schemas.openxmlformats.org/drawingml/2006/picture">
                <pic:pic>
                  <pic:nvPicPr>
                    <pic:cNvPr descr="resources_files/figure-docx//1ah82NLd1weER1SUEJ9aPFDWT2vLg5wK5JW6tjdVkf6o_g3b212331eba_0_28.png" id="475" name="Picture"/>
                    <pic:cNvPicPr>
                      <a:picLocks noChangeArrowheads="1" noChangeAspect="1"/>
                    </pic:cNvPicPr>
                  </pic:nvPicPr>
                  <pic:blipFill>
                    <a:blip r:embed="rId4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Right clicking a column or row brings up a menu with options for adding or deleting columns/rows, filtering data, or sorting the spreadsheet.</w:t>
      </w:r>
    </w:p>
    <w:p>
      <w:pPr>
        <w:pStyle w:val="BodyText"/>
      </w:pPr>
      <w:r>
        <w:rPr>
          <w:bCs/>
          <w:b/>
        </w:rPr>
        <w:t xml:space="preserve">Add or delete columns/rows</w:t>
      </w:r>
      <w:r>
        <w:t xml:space="preserve">: Insert or delete a column or row.</w:t>
      </w:r>
    </w:p>
    <w:p>
      <w:pPr>
        <w:pStyle w:val="BodyText"/>
      </w:pPr>
      <w:r>
        <w:rPr>
          <w:bCs/>
          <w:b/>
        </w:rPr>
        <w:t xml:space="preserve">Filtering data</w:t>
      </w:r>
      <w:r>
        <w:t xml:space="preserve">: Filter data so that only rows that have a specific value are shown. In the above example, you could filter by species and retain only rows (pets) that are dogs.</w:t>
      </w:r>
    </w:p>
    <w:p>
      <w:pPr>
        <w:pStyle w:val="BodyText"/>
      </w:pPr>
      <w:r>
        <w:rPr>
          <w:bCs/>
          <w:b/>
        </w:rPr>
        <w:t xml:space="preserve">Sort the spreadsheet</w:t>
      </w:r>
      <w:r>
        <w:t xml:space="preserve">: Sort the spreadsheet based on the values in the selected column (does not work for rows): alphabetically (A to Z), reverse alphabetically Z to A), lowest to highest (A to Z), highest to lowest (Z to A).</w:t>
      </w:r>
    </w:p>
    <w:bookmarkEnd w:id="476"/>
    <w:bookmarkStart w:id="478" w:name="useful-formulas-in-google-sheets"/>
    <w:p>
      <w:pPr>
        <w:pStyle w:val="Heading3"/>
      </w:pPr>
      <w:r>
        <w:rPr>
          <w:rStyle w:val="SectionNumber"/>
        </w:rPr>
        <w:t xml:space="preserve">10.0.7</w:t>
      </w:r>
      <w:r>
        <w:tab/>
      </w:r>
      <w:r>
        <w:t xml:space="preserve">Useful formulas in Google Sheets</w:t>
      </w:r>
    </w:p>
    <w:tbl>
      <w:tblPr>
        <w:tblStyle w:val="Table"/>
        <w:tblW w:type="pct" w:w="5000"/>
        <w:tblLook w:firstRow="1" w:lastRow="0" w:firstColumn="0" w:lastColumn="0" w:noHBand="0" w:noVBand="0" w:val="0020"/>
        <w:jc w:val="start"/>
      </w:tblPr>
      <w:tblGrid>
        <w:gridCol w:w="1760"/>
        <w:gridCol w:w="6160"/>
      </w:tblGrid>
      <w:tr>
        <w:trPr>
          <w:tblHeader w:val="true"/>
        </w:trPr>
        <w:tc>
          <w:tcPr/>
          <w:p>
            <w:pPr>
              <w:pStyle w:val="Compact"/>
              <w:jc w:val="left"/>
            </w:pPr>
            <w:r>
              <w:t xml:space="preserve">Calculation</w:t>
            </w:r>
          </w:p>
        </w:tc>
        <w:tc>
          <w:tcPr/>
          <w:p>
            <w:pPr>
              <w:pStyle w:val="Compact"/>
              <w:jc w:val="left"/>
            </w:pPr>
            <w:r>
              <w:t xml:space="preserve">Formula</w:t>
            </w:r>
          </w:p>
        </w:tc>
      </w:tr>
      <w:tr>
        <w:tc>
          <w:tcPr/>
          <w:p>
            <w:pPr>
              <w:pStyle w:val="Compact"/>
              <w:jc w:val="left"/>
            </w:pPr>
            <w:r>
              <w:t xml:space="preserve">Sum</w:t>
            </w:r>
          </w:p>
        </w:tc>
        <w:tc>
          <w:tcPr/>
          <w:p>
            <w:pPr>
              <w:pStyle w:val="Compact"/>
              <w:jc w:val="left"/>
            </w:pPr>
            <w:r>
              <w:t xml:space="preserve">=sum(CELLS)</w:t>
            </w:r>
          </w:p>
        </w:tc>
      </w:tr>
      <w:tr>
        <w:tc>
          <w:tcPr/>
          <w:p>
            <w:pPr>
              <w:pStyle w:val="Compact"/>
              <w:jc w:val="left"/>
            </w:pPr>
            <w:r>
              <w:t xml:space="preserve">Average (Mean)</w:t>
            </w:r>
          </w:p>
        </w:tc>
        <w:tc>
          <w:tcPr/>
          <w:p>
            <w:pPr>
              <w:pStyle w:val="Compact"/>
              <w:jc w:val="left"/>
            </w:pPr>
            <w:r>
              <w:t xml:space="preserve">=average(CELLS)</w:t>
            </w:r>
          </w:p>
        </w:tc>
      </w:tr>
      <w:tr>
        <w:tc>
          <w:tcPr/>
          <w:p>
            <w:pPr>
              <w:pStyle w:val="Compact"/>
              <w:jc w:val="left"/>
            </w:pPr>
            <w:r>
              <w:t xml:space="preserve">Median</w:t>
            </w:r>
          </w:p>
        </w:tc>
        <w:tc>
          <w:tcPr/>
          <w:p>
            <w:pPr>
              <w:pStyle w:val="Compact"/>
              <w:jc w:val="left"/>
            </w:pPr>
            <w:r>
              <w:t xml:space="preserve">=median(CELLS)</w:t>
            </w:r>
          </w:p>
        </w:tc>
      </w:tr>
      <w:tr>
        <w:tc>
          <w:tcPr/>
          <w:p>
            <w:pPr>
              <w:pStyle w:val="Compact"/>
              <w:jc w:val="left"/>
            </w:pPr>
            <w:r>
              <w:t xml:space="preserve">Maximum</w:t>
            </w:r>
          </w:p>
        </w:tc>
        <w:tc>
          <w:tcPr/>
          <w:p>
            <w:pPr>
              <w:pStyle w:val="Compact"/>
              <w:jc w:val="left"/>
            </w:pPr>
            <w:r>
              <w:t xml:space="preserve">=max(CELLS)</w:t>
            </w:r>
          </w:p>
        </w:tc>
      </w:tr>
      <w:tr>
        <w:tc>
          <w:tcPr/>
          <w:p>
            <w:pPr>
              <w:pStyle w:val="Compact"/>
              <w:jc w:val="left"/>
            </w:pPr>
            <w:r>
              <w:t xml:space="preserve">Minimum</w:t>
            </w:r>
          </w:p>
        </w:tc>
        <w:tc>
          <w:tcPr/>
          <w:p>
            <w:pPr>
              <w:pStyle w:val="Compact"/>
              <w:jc w:val="left"/>
            </w:pPr>
            <w:r>
              <w:t xml:space="preserve">=min(CELLS)</w:t>
            </w:r>
          </w:p>
        </w:tc>
      </w:tr>
      <w:tr>
        <w:tc>
          <w:tcPr/>
          <w:p>
            <w:pPr>
              <w:pStyle w:val="Compact"/>
              <w:jc w:val="left"/>
            </w:pPr>
            <w:r>
              <w:t xml:space="preserve">Count cells that meet a certain condition</w:t>
            </w:r>
          </w:p>
        </w:tc>
        <w:tc>
          <w:tcPr/>
          <w:p>
            <w:pPr>
              <w:pStyle w:val="Compact"/>
              <w:jc w:val="left"/>
            </w:pPr>
            <w:r>
              <w:t xml:space="preserve">= COUNTIF(CELLS,</w:t>
            </w:r>
            <w:r>
              <w:t xml:space="preserve"> </w:t>
            </w:r>
            <w:r>
              <w:t xml:space="preserve">“</w:t>
            </w:r>
            <w:r>
              <w:t xml:space="preserve">condition, where if true, the cell will be counted</w:t>
            </w:r>
            <w:r>
              <w:t xml:space="preserve">”</w:t>
            </w:r>
            <w:r>
              <w:t xml:space="preserve">)</w:t>
            </w:r>
          </w:p>
        </w:tc>
      </w:tr>
      <w:tr>
        <w:tc>
          <w:tcPr/>
          <w:p>
            <w:pPr>
              <w:pStyle w:val="Compact"/>
              <w:jc w:val="left"/>
            </w:pPr>
            <w:r>
              <w:t xml:space="preserve">Variance within a sample</w:t>
            </w:r>
          </w:p>
        </w:tc>
        <w:tc>
          <w:tcPr/>
          <w:p>
            <w:pPr>
              <w:pStyle w:val="Compact"/>
              <w:jc w:val="left"/>
            </w:pPr>
            <w:r>
              <w:t xml:space="preserve">=var.s(CELLS)</w:t>
            </w:r>
          </w:p>
        </w:tc>
      </w:tr>
    </w:tbl>
    <w:bookmarkStart w:id="477" w:name="on-variance"/>
    <w:p>
      <w:pPr>
        <w:pStyle w:val="Heading4"/>
      </w:pPr>
      <w:r>
        <w:rPr>
          <w:rStyle w:val="SectionNumber"/>
        </w:rPr>
        <w:t xml:space="preserve">10.0.7.1</w:t>
      </w:r>
      <w:r>
        <w:tab/>
      </w:r>
      <w:r>
        <w:rPr>
          <w:bCs/>
          <w:b/>
        </w:rPr>
        <w:t xml:space="preserve">On variance</w:t>
      </w:r>
    </w:p>
    <w:bookmarkEnd w:id="477"/>
    <w:p>
      <w:pPr>
        <w:pStyle w:val="FirstParagraph"/>
      </w:pPr>
      <w:r>
        <w:t xml:space="preserve">Variance is a measure of how spread out or consistent a dataset is, and is similar in concept to the standard deviation of a dataset (although there are differences in how they are calculated). For both variance and standard deviation there are alternate formulas for datasets that comprise a sample - var.s (which is used above), and for datasets that comprise entire populations (var.p). We use the population version when our dataset encompasses the entire population that we are interested in. Make sure you select the right formula for the right question! The majority of times, var.s will be more appropriate. If you’re not sure what to use, ask your instructor.</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478"/>
    <w:bookmarkEnd w:id="479"/>
    <w:bookmarkStart w:id="494" w:name="figure-and-tables-guide"/>
    <w:p>
      <w:pPr>
        <w:pStyle w:val="Heading1"/>
      </w:pPr>
      <w:r>
        <w:rPr>
          <w:rStyle w:val="SectionNumber"/>
        </w:rPr>
        <w:t xml:space="preserve">11</w:t>
      </w:r>
      <w:r>
        <w:tab/>
      </w:r>
      <w:r>
        <w:t xml:space="preserve">Figure and tables guide</w:t>
      </w:r>
    </w:p>
    <w:p>
      <w:pPr>
        <w:pStyle w:val="FirstParagraph"/>
      </w:pPr>
      <w:r>
        <w:t xml:space="preserve">Figures and tables are found in all forms of scientific communication: posters, papers, and presentations. The information on this page is specific to posters and papers, although a good presentation will build off the materials here.</w:t>
      </w:r>
    </w:p>
    <w:bookmarkStart w:id="489" w:name="figures"/>
    <w:p>
      <w:pPr>
        <w:pStyle w:val="Heading3"/>
      </w:pPr>
      <w:r>
        <w:rPr>
          <w:rStyle w:val="SectionNumber"/>
        </w:rPr>
        <w:t xml:space="preserve">11.0.1</w:t>
      </w:r>
      <w:r>
        <w:tab/>
      </w:r>
      <w:r>
        <w:t xml:space="preserve">Figures</w:t>
      </w:r>
    </w:p>
    <w:p>
      <w:pPr>
        <w:pStyle w:val="FirstParagraph"/>
      </w:pPr>
      <w:r>
        <w:drawing>
          <wp:inline>
            <wp:extent cx="5334000" cy="3000375"/>
            <wp:effectExtent b="0" l="0" r="0" t="0"/>
            <wp:docPr descr="" title="" id="481" name="Picture"/>
            <a:graphic>
              <a:graphicData uri="http://schemas.openxmlformats.org/drawingml/2006/picture">
                <pic:pic>
                  <pic:nvPicPr>
                    <pic:cNvPr descr="resources_files/figure-docx//1dI8-_iVqbkzNMf11M4dK85E8ZW3OyZECs_YwMKw5fhs_g3b458cb4825_0_4.png" id="482" name="Picture"/>
                    <pic:cNvPicPr>
                      <a:picLocks noChangeArrowheads="1" noChangeAspect="1"/>
                    </pic:cNvPicPr>
                  </pic:nvPicPr>
                  <pic:blipFill>
                    <a:blip r:embed="rId4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counts as a figure:</w:t>
      </w:r>
      <w:r>
        <w:t xml:space="preserve"> </w:t>
      </w:r>
      <w:r>
        <w:t xml:space="preserve">Pretty much everything that isn’t a table that contains graphical information: Photographs, charts/graphs, and diagrams (digital and traditional) all count as figures! If it’s an image, it probably belongs as a figure!</w:t>
      </w:r>
    </w:p>
    <w:p>
      <w:pPr>
        <w:pStyle w:val="BodyText"/>
      </w:pPr>
      <w:r>
        <w:rPr>
          <w:bCs/>
          <w:b/>
        </w:rPr>
        <w:t xml:space="preserve">Cleaning a figure:</w:t>
      </w:r>
      <w:r>
        <w:t xml:space="preserve"> </w:t>
      </w:r>
      <w:r>
        <w:t xml:space="preserve">Prepare the figure in a program like Google Slides or Powerpoint that will allow you to change the text size and fonts; you can do this with a creative use of cropping and text boxes with a solid white background. Add notes and adjustments where they would make the figure more easily understandable (ex. ordering samples by group and labeling their groups). The most important thing is that your figure is at a high enough quality and resolution that the pictures and text are not blurry!</w:t>
      </w:r>
    </w:p>
    <w:p>
      <w:pPr>
        <w:pStyle w:val="BodyText"/>
      </w:pPr>
      <w:r>
        <w:drawing>
          <wp:inline>
            <wp:extent cx="5334000" cy="3000375"/>
            <wp:effectExtent b="0" l="0" r="0" t="0"/>
            <wp:docPr descr="" title="" id="484" name="Picture"/>
            <a:graphic>
              <a:graphicData uri="http://schemas.openxmlformats.org/drawingml/2006/picture">
                <pic:pic>
                  <pic:nvPicPr>
                    <pic:cNvPr descr="resources_files/figure-docx//1dI8-_iVqbkzNMf11M4dK85E8ZW3OyZECs_YwMKw5fhs_g3b458cb4825_0_28.png" id="485" name="Picture"/>
                    <pic:cNvPicPr>
                      <a:picLocks noChangeArrowheads="1" noChangeAspect="1"/>
                    </pic:cNvPicPr>
                  </pic:nvPicPr>
                  <pic:blipFill>
                    <a:blip r:embed="rId48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Figure legends</w:t>
      </w:r>
      <w:r>
        <w:t xml:space="preserve">: Figure legends (also interchangably called figure captions) go underneath their figures. Figure legends should include the following (feel free to ask your peers or instructor to review your legends):</w:t>
      </w:r>
      <w:r>
        <w:t xml:space="preserve"> </w:t>
      </w:r>
      <w:r>
        <w:t xml:space="preserve">- A comprehensive title in bold that describes what the figure is about or the methods used to make the figure</w:t>
      </w:r>
      <w:r>
        <w:t xml:space="preserve"> </w:t>
      </w:r>
      <w:r>
        <w:t xml:space="preserve">- Text describing the main takeaway from the figure</w:t>
      </w:r>
      <w:r>
        <w:t xml:space="preserve"> </w:t>
      </w:r>
      <w:r>
        <w:t xml:space="preserve">- Text describing the methods used to generate the figure if needed</w:t>
      </w:r>
      <w:r>
        <w:t xml:space="preserve"> </w:t>
      </w:r>
      <w:r>
        <w:t xml:space="preserve">- Text detailing any other background information or methodology needed to understand the figure (ex. abbreviations, settings of a program, description of subsetted data)</w:t>
      </w:r>
      <w:r>
        <w:t xml:space="preserve"> </w:t>
      </w:r>
      <w:r>
        <w:t xml:space="preserve">- The legend/caption goes below the figure</w:t>
      </w:r>
    </w:p>
    <w:p>
      <w:pPr>
        <w:pStyle w:val="BodyText"/>
      </w:pPr>
      <w:r>
        <w:drawing>
          <wp:inline>
            <wp:extent cx="5334000" cy="3000375"/>
            <wp:effectExtent b="0" l="0" r="0" t="0"/>
            <wp:docPr descr="" title="" id="487" name="Picture"/>
            <a:graphic>
              <a:graphicData uri="http://schemas.openxmlformats.org/drawingml/2006/picture">
                <pic:pic>
                  <pic:nvPicPr>
                    <pic:cNvPr descr="resources_files/figure-docx//1dI8-_iVqbkzNMf11M4dK85E8ZW3OyZECs_YwMKw5fhs_g3b458cb4825_0_85.png" id="488" name="Picture"/>
                    <pic:cNvPicPr>
                      <a:picLocks noChangeArrowheads="1" noChangeAspect="1"/>
                    </pic:cNvPicPr>
                  </pic:nvPicPr>
                  <pic:blipFill>
                    <a:blip r:embed="rId48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Multi-panel figures:</w:t>
      </w:r>
      <w:r>
        <w:t xml:space="preserve"> </w:t>
      </w:r>
      <w:r>
        <w:t xml:space="preserve">You may encounter or want to make a figure with multiple panels. These figures are a collection of figures that are denoted alphabetically (ex. A, B, C, D…etc.). Multi-panel figures often are used to save space or group related figures together. In most published work you will see only figures in panels; your instructor may allow or encourage you to use tables in panels for your project.</w:t>
      </w:r>
    </w:p>
    <w:p>
      <w:pPr>
        <w:numPr>
          <w:ilvl w:val="0"/>
          <w:numId w:val="1241"/>
        </w:numPr>
        <w:pStyle w:val="Compact"/>
      </w:pPr>
      <w:r>
        <w:t xml:space="preserve">Each panel is denoted by a different letter.</w:t>
      </w:r>
    </w:p>
    <w:p>
      <w:pPr>
        <w:numPr>
          <w:ilvl w:val="0"/>
          <w:numId w:val="1241"/>
        </w:numPr>
        <w:pStyle w:val="Compact"/>
      </w:pPr>
      <w:r>
        <w:t xml:space="preserve">The title is comprehensive of both panels.</w:t>
      </w:r>
    </w:p>
    <w:p>
      <w:pPr>
        <w:numPr>
          <w:ilvl w:val="0"/>
          <w:numId w:val="1241"/>
        </w:numPr>
        <w:pStyle w:val="Compact"/>
      </w:pPr>
      <w:r>
        <w:t xml:space="preserve">Bolded letters draw the reader to the part of the legend specific to each panel.</w:t>
      </w:r>
    </w:p>
    <w:p>
      <w:pPr>
        <w:numPr>
          <w:ilvl w:val="0"/>
          <w:numId w:val="1241"/>
        </w:numPr>
        <w:pStyle w:val="Compact"/>
      </w:pPr>
      <w:r>
        <w:t xml:space="preserve">The standard information for the legend is included for each panel.</w:t>
      </w:r>
    </w:p>
    <w:bookmarkEnd w:id="489"/>
    <w:bookmarkStart w:id="493" w:name="tables"/>
    <w:p>
      <w:pPr>
        <w:pStyle w:val="Heading3"/>
      </w:pPr>
      <w:r>
        <w:rPr>
          <w:rStyle w:val="SectionNumber"/>
        </w:rPr>
        <w:t xml:space="preserve">11.0.2</w:t>
      </w:r>
      <w:r>
        <w:tab/>
      </w:r>
      <w:r>
        <w:t xml:space="preserve">Tables</w:t>
      </w:r>
    </w:p>
    <w:p>
      <w:pPr>
        <w:pStyle w:val="FirstParagraph"/>
      </w:pPr>
      <w:r>
        <w:drawing>
          <wp:inline>
            <wp:extent cx="5334000" cy="3000375"/>
            <wp:effectExtent b="0" l="0" r="0" t="0"/>
            <wp:docPr descr="" title="" id="491" name="Picture"/>
            <a:graphic>
              <a:graphicData uri="http://schemas.openxmlformats.org/drawingml/2006/picture">
                <pic:pic>
                  <pic:nvPicPr>
                    <pic:cNvPr descr="resources_files/figure-docx//1dI8-_iVqbkzNMf11M4dK85E8ZW3OyZECs_YwMKw5fhs_g3b458cb4825_0_60.png" id="492" name="Picture"/>
                    <pic:cNvPicPr>
                      <a:picLocks noChangeArrowheads="1" noChangeAspect="1"/>
                    </pic:cNvPicPr>
                  </pic:nvPicPr>
                  <pic:blipFill>
                    <a:blip r:embed="rId49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Tables contain information organized into rows and columns. Common examples of information that gets put in tables include: subject metadata (age, ethnicity, etc.) and sample sizes (how many samples of each condition) throughout the experiment. Tables generally stand alone and are not included in published multi-panel figures, though your instructor may allow or encourage you to do so for your project.</w:t>
      </w:r>
    </w:p>
    <w:p>
      <w:pPr>
        <w:pStyle w:val="BodyText"/>
      </w:pPr>
      <w:r>
        <w:rPr>
          <w:bCs/>
          <w:b/>
        </w:rPr>
        <w:t xml:space="preserve">Table legends</w:t>
      </w:r>
      <w:r>
        <w:t xml:space="preserve">:</w:t>
      </w:r>
      <w:r>
        <w:t xml:space="preserve"> </w:t>
      </w:r>
      <w:r>
        <w:t xml:space="preserve">- A title that describes the information contained in the table</w:t>
      </w:r>
      <w:r>
        <w:t xml:space="preserve"> </w:t>
      </w:r>
      <w:r>
        <w:t xml:space="preserve">- Any relevant background information including methods needed to understand the table. Examples: Abbreviations in the figure, settings used in a program, description of a subset of data used)</w:t>
      </w:r>
      <w:r>
        <w:t xml:space="preserve"> </w:t>
      </w:r>
      <w:r>
        <w:t xml:space="preserve">- Legend/caption goes above the table.</w:t>
      </w:r>
    </w:p>
    <w:bookmarkEnd w:id="493"/>
    <w:bookmarkEnd w:id="494"/>
    <w:bookmarkStart w:id="500" w:name="s-minicure-guide"/>
    <w:p>
      <w:pPr>
        <w:pStyle w:val="Heading1"/>
      </w:pPr>
      <w:r>
        <w:rPr>
          <w:rStyle w:val="SectionNumber"/>
        </w:rPr>
        <w:t xml:space="preserve">12</w:t>
      </w:r>
      <w:r>
        <w:tab/>
      </w:r>
      <w:r>
        <w:t xml:space="preserve">16S miniCURE Guide</w:t>
      </w:r>
    </w:p>
    <w:p>
      <w:pPr>
        <w:pStyle w:val="FirstParagraph"/>
      </w:pPr>
      <w:r>
        <w:drawing>
          <wp:inline>
            <wp:extent cx="5334000" cy="3000375"/>
            <wp:effectExtent b="0" l="0" r="0" t="0"/>
            <wp:docPr descr="" title="" id="496" name="Picture"/>
            <a:graphic>
              <a:graphicData uri="http://schemas.openxmlformats.org/drawingml/2006/picture">
                <pic:pic>
                  <pic:nvPicPr>
                    <pic:cNvPr descr="resources_files/figure-docx//1dEZtb0TgLbzhbr3HxQElwg8hENur2HMIzseg19OGd0g_g364010c1963_0_5.png" id="497" name="Picture"/>
                    <pic:cNvPicPr>
                      <a:picLocks noChangeArrowheads="1" noChangeAspect="1"/>
                    </pic:cNvPicPr>
                  </pic:nvPicPr>
                  <pic:blipFill>
                    <a:blip r:embed="rId4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have a</w:t>
      </w:r>
      <w:r>
        <w:t xml:space="preserve"> </w:t>
      </w:r>
      <w:hyperlink r:id="rId498">
        <w:r>
          <w:rPr>
            <w:rStyle w:val="Hyperlink"/>
          </w:rPr>
          <w:t xml:space="preserve">comprehensive guide for this miniCURE</w:t>
        </w:r>
      </w:hyperlink>
      <w:r>
        <w:t xml:space="preserve">!</w:t>
      </w:r>
    </w:p>
    <w:p>
      <w:pPr>
        <w:pStyle w:val="BodyText"/>
      </w:pPr>
      <w:r>
        <w:t xml:space="preserve">This guide is a complete packet that contains an overview of the learning objectives for ecah module, instructions for accessing modules on AnVIL, highlights of content, guided code blocks, and an overview of each dataset we have available for research projects!</w:t>
      </w:r>
    </w:p>
    <w:p>
      <w:pPr>
        <w:pStyle w:val="BodyText"/>
      </w:pPr>
      <w:r>
        <w:t xml:space="preserve">Download the PDF for a digital reference and print out selected sheets for use in the classroom!</w:t>
      </w:r>
    </w:p>
    <w:bookmarkStart w:id="499" w:name="footnotes-21"/>
    <w:p>
      <w:pPr>
        <w:pStyle w:val="Heading3"/>
      </w:pPr>
      <w:r>
        <w:rPr>
          <w:rStyle w:val="SectionNumber"/>
        </w:rPr>
        <w:t xml:space="preserve">12.0.1</w:t>
      </w:r>
      <w:r>
        <w:tab/>
      </w:r>
      <w:r>
        <w:t xml:space="preserve">Footnotes</w:t>
      </w:r>
    </w:p>
    <w:p>
      <w:pPr>
        <w:pStyle w:val="FirstParagraph"/>
      </w:pPr>
      <w:r>
        <w:rPr>
          <w:bCs/>
          <w:b/>
        </w:rPr>
        <w:t xml:space="preserve">Contributions and Affiliations</w:t>
      </w:r>
    </w:p>
    <w:p>
      <w:pPr>
        <w:numPr>
          <w:ilvl w:val="0"/>
          <w:numId w:val="1242"/>
        </w:numPr>
        <w:pStyle w:val="Compact"/>
      </w:pPr>
      <w:r>
        <w:t xml:space="preserve">Sayumi York, Notre Dame of Maryland University</w:t>
      </w:r>
    </w:p>
    <w:p>
      <w:pPr>
        <w:pStyle w:val="FirstParagraph"/>
      </w:pPr>
      <w:r>
        <w:t xml:space="preserve">Last Revised: August 2025</w:t>
      </w:r>
    </w:p>
    <w:bookmarkEnd w:id="499"/>
    <w:bookmarkEnd w:id="500"/>
    <w:bookmarkStart w:id="508" w:name="about-the-authors"/>
    <w:p>
      <w:pPr>
        <w:pStyle w:val="Heading1"/>
      </w:pPr>
      <w:r>
        <w:t xml:space="preserve">About the Authors</w:t>
      </w:r>
    </w:p>
    <w:p>
      <w:pPr>
        <w:pStyle w:val="FirstParagraph"/>
      </w:pPr>
      <w:r>
        <w:t xml:space="preserve">These credits are based on our</w:t>
      </w:r>
      <w:r>
        <w:t xml:space="preserve"> </w:t>
      </w:r>
      <w:hyperlink r:id="rId501">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502">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503">
              <w:r>
                <w:rPr>
                  <w:rStyle w:val="Hyperlink"/>
                </w:rPr>
                <w:t xml:space="preserve">Candace Savonen</w:t>
              </w:r>
            </w:hyperlink>
            <w:r>
              <w:t xml:space="preserve">,</w:t>
            </w:r>
            <w:r>
              <w:t xml:space="preserve"> </w:t>
            </w:r>
            <w:hyperlink r:id="rId504">
              <w:r>
                <w:rPr>
                  <w:rStyle w:val="Hyperlink"/>
                </w:rPr>
                <w:t xml:space="preserve">Carrie Wright</w:t>
              </w:r>
            </w:hyperlink>
            <w:r>
              <w:t xml:space="preserve">,</w:t>
            </w:r>
            <w:r>
              <w:t xml:space="preserve"> </w:t>
            </w:r>
            <w:hyperlink r:id="rId505">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503">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504">
              <w:r>
                <w:rPr>
                  <w:rStyle w:val="Hyperlink"/>
                </w:rPr>
                <w:t xml:space="preserve">Carrie Wright</w:t>
              </w:r>
            </w:hyperlink>
            <w:r>
              <w:t xml:space="preserve">,</w:t>
            </w:r>
            <w:r>
              <w:t xml:space="preserve"> </w:t>
            </w:r>
            <w:hyperlink r:id="rId505">
              <w:r>
                <w:rPr>
                  <w:rStyle w:val="Hyperlink"/>
                </w:rPr>
                <w:t xml:space="preserve">Ava Hoffman</w:t>
              </w:r>
            </w:hyperlink>
            <w:r>
              <w:t xml:space="preserve">,</w:t>
            </w:r>
            <w:r>
              <w:t xml:space="preserve"> </w:t>
            </w:r>
            <w:hyperlink r:id="rId503">
              <w:r>
                <w:rPr>
                  <w:rStyle w:val="Hyperlink"/>
                </w:rPr>
                <w:t xml:space="preserve">Candace Savonen</w:t>
              </w:r>
            </w:hyperlink>
          </w:p>
        </w:tc>
      </w:tr>
      <w:tr>
        <w:tc>
          <w:tcPr/>
          <w:p>
            <w:pPr>
              <w:pStyle w:val="Compact"/>
              <w:jc w:val="left"/>
            </w:pPr>
            <w:r>
              <w:t xml:space="preserve">Package Developers (</w:t>
            </w:r>
            <w:hyperlink r:id="rId506">
              <w:r>
                <w:rPr>
                  <w:rStyle w:val="Hyperlink"/>
                </w:rPr>
                <w:t xml:space="preserve">ottrpal</w:t>
              </w:r>
            </w:hyperlink>
            <w:r>
              <w:t xml:space="preserve">)</w:t>
            </w:r>
            <w:r>
              <w:t xml:space="preserve"> </w:t>
            </w:r>
            <w:hyperlink r:id="rId503">
              <w:r>
                <w:rPr>
                  <w:rStyle w:val="Hyperlink"/>
                </w:rPr>
                <w:t xml:space="preserve">Candace Savonen</w:t>
              </w:r>
            </w:hyperlink>
            <w:r>
              <w:t xml:space="preserve">,</w:t>
            </w:r>
            <w:r>
              <w:t xml:space="preserve"> </w:t>
            </w:r>
            <w:hyperlink r:id="rId507">
              <w:r>
                <w:rPr>
                  <w:rStyle w:val="Hyperlink"/>
                </w:rPr>
                <w:t xml:space="preserve">John Muschelli</w:t>
              </w:r>
            </w:hyperlink>
            <w:r>
              <w:t xml:space="preserve">,</w:t>
            </w:r>
            <w:r>
              <w:t xml:space="preserve"> </w:t>
            </w:r>
            <w:hyperlink r:id="rId504">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2026-06-05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508"/>
    <w:bookmarkStart w:id="509" w:name="references-1"/>
    <w:p>
      <w:pPr>
        <w:pStyle w:val="Heading1"/>
      </w:pPr>
      <w:r>
        <w:t xml:space="preserve">References</w:t>
      </w:r>
    </w:p>
    <w:bookmarkEnd w:id="5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8">
    <w:abstractNumId w:val="991"/>
  </w:num>
  <w:num w:numId="12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1" Target="media/rId161.png" /><Relationship Type="http://schemas.openxmlformats.org/officeDocument/2006/relationships/image" Id="rId152" Target="media/rId152.png" /><Relationship Type="http://schemas.openxmlformats.org/officeDocument/2006/relationships/image" Id="rId149" Target="media/rId149.png" /><Relationship Type="http://schemas.openxmlformats.org/officeDocument/2006/relationships/image" Id="rId138" Target="media/rId138.png" /><Relationship Type="http://schemas.openxmlformats.org/officeDocument/2006/relationships/image" Id="rId142" Target="media/rId142.png" /><Relationship Type="http://schemas.openxmlformats.org/officeDocument/2006/relationships/image" Id="rId248" Target="media/rId248.png" /><Relationship Type="http://schemas.openxmlformats.org/officeDocument/2006/relationships/image" Id="rId354" Target="media/rId354.png" /><Relationship Type="http://schemas.openxmlformats.org/officeDocument/2006/relationships/image" Id="rId382" Target="media/rId382.png" /><Relationship Type="http://schemas.openxmlformats.org/officeDocument/2006/relationships/image" Id="rId300" Target="media/rId300.png" /><Relationship Type="http://schemas.openxmlformats.org/officeDocument/2006/relationships/image" Id="rId316" Target="media/rId316.png" /><Relationship Type="http://schemas.openxmlformats.org/officeDocument/2006/relationships/image" Id="rId341" Target="media/rId341.png" /><Relationship Type="http://schemas.openxmlformats.org/officeDocument/2006/relationships/image" Id="rId331" Target="media/rId331.png" /><Relationship Type="http://schemas.openxmlformats.org/officeDocument/2006/relationships/image" Id="rId335" Target="media/rId335.png" /><Relationship Type="http://schemas.openxmlformats.org/officeDocument/2006/relationships/image" Id="rId417" Target="media/rId417.png" /><Relationship Type="http://schemas.openxmlformats.org/officeDocument/2006/relationships/image" Id="rId424" Target="media/rId424.png" /><Relationship Type="http://schemas.openxmlformats.org/officeDocument/2006/relationships/image" Id="rId408" Target="media/rId408.png" /><Relationship Type="http://schemas.openxmlformats.org/officeDocument/2006/relationships/image" Id="rId312" Target="media/rId312.png" /><Relationship Type="http://schemas.openxmlformats.org/officeDocument/2006/relationships/image" Id="rId445" Target="media/rId445.png" /><Relationship Type="http://schemas.openxmlformats.org/officeDocument/2006/relationships/image" Id="rId436" Target="media/rId436.png" /><Relationship Type="http://schemas.openxmlformats.org/officeDocument/2006/relationships/image" Id="rId442" Target="media/rId442.png" /><Relationship Type="http://schemas.openxmlformats.org/officeDocument/2006/relationships/image" Id="rId439" Target="media/rId439.png" /><Relationship Type="http://schemas.openxmlformats.org/officeDocument/2006/relationships/image" Id="rId319" Target="media/rId319.png" /><Relationship Type="http://schemas.openxmlformats.org/officeDocument/2006/relationships/image" Id="rId327" Target="media/rId327.png" /><Relationship Type="http://schemas.openxmlformats.org/officeDocument/2006/relationships/image" Id="rId308" Target="media/rId308.png" /><Relationship Type="http://schemas.openxmlformats.org/officeDocument/2006/relationships/image" Id="rId323" Target="media/rId323.png" /><Relationship Type="http://schemas.openxmlformats.org/officeDocument/2006/relationships/image" Id="rId379" Target="media/rId379.png" /><Relationship Type="http://schemas.openxmlformats.org/officeDocument/2006/relationships/image" Id="rId190" Target="media/rId190.png" /><Relationship Type="http://schemas.openxmlformats.org/officeDocument/2006/relationships/image" Id="rId39" Target="media/rId39.jpg" /><Relationship Type="http://schemas.openxmlformats.org/officeDocument/2006/relationships/image" Id="rId20" Target="media/rId20.png" /><Relationship Type="http://schemas.openxmlformats.org/officeDocument/2006/relationships/image" Id="rId458" Target="media/rId458.png" /><Relationship Type="http://schemas.openxmlformats.org/officeDocument/2006/relationships/image" Id="rId461" Target="media/rId461.png" /><Relationship Type="http://schemas.openxmlformats.org/officeDocument/2006/relationships/image" Id="rId465" Target="media/rId465.png" /><Relationship Type="http://schemas.openxmlformats.org/officeDocument/2006/relationships/image" Id="rId469" Target="media/rId469.png" /><Relationship Type="http://schemas.openxmlformats.org/officeDocument/2006/relationships/image" Id="rId450" Target="media/rId450.png" /><Relationship Type="http://schemas.openxmlformats.org/officeDocument/2006/relationships/image" Id="rId473" Target="media/rId473.png" /><Relationship Type="http://schemas.openxmlformats.org/officeDocument/2006/relationships/image" Id="rId454" Target="media/rId454.png" /><Relationship Type="http://schemas.openxmlformats.org/officeDocument/2006/relationships/image" Id="rId495" Target="media/rId495.png" /><Relationship Type="http://schemas.openxmlformats.org/officeDocument/2006/relationships/image" Id="rId483" Target="media/rId483.png" /><Relationship Type="http://schemas.openxmlformats.org/officeDocument/2006/relationships/image" Id="rId480" Target="media/rId480.png" /><Relationship Type="http://schemas.openxmlformats.org/officeDocument/2006/relationships/image" Id="rId490" Target="media/rId490.png" /><Relationship Type="http://schemas.openxmlformats.org/officeDocument/2006/relationships/image" Id="rId486" Target="media/rId486.png" /><Relationship Type="http://schemas.openxmlformats.org/officeDocument/2006/relationships/image" Id="rId102" Target="media/rId102.png" /><Relationship Type="http://schemas.openxmlformats.org/officeDocument/2006/relationships/image" Id="rId116" Target="media/rId116.png" /><Relationship Type="http://schemas.openxmlformats.org/officeDocument/2006/relationships/hyperlink" Id="rId427" Target="biodigs.org" TargetMode="External" /><Relationship Type="http://schemas.openxmlformats.org/officeDocument/2006/relationships/hyperlink" Id="rId338" Target="doi:10.1261/rna.2000810" TargetMode="External" /><Relationship Type="http://schemas.openxmlformats.org/officeDocument/2006/relationships/hyperlink" Id="rId339" Target="doi:10.7554/eLife.00886" TargetMode="External" /><Relationship Type="http://schemas.openxmlformats.org/officeDocument/2006/relationships/hyperlink" Id="rId413" Target="help.c-moor.org" TargetMode="External" /><Relationship Type="http://schemas.openxmlformats.org/officeDocument/2006/relationships/hyperlink" Id="rId82" Target="https://anvil.terra.bio/" TargetMode="External" /><Relationship Type="http://schemas.openxmlformats.org/officeDocument/2006/relationships/hyperlink" Id="rId435" Target="https://biodigs.org/#home" TargetMode="External" /><Relationship Type="http://schemas.openxmlformats.org/officeDocument/2006/relationships/hyperlink" Id="rId398" Target="https://bsky.app/search?q=metagenomics" TargetMode="External" /><Relationship Type="http://schemas.openxmlformats.org/officeDocument/2006/relationships/hyperlink" Id="rId504" Target="https://carriewright11.github.io/" TargetMode="External" /><Relationship Type="http://schemas.openxmlformats.org/officeDocument/2006/relationships/hyperlink" Id="rId402" Target="https://docs.google.com/document/d/11gEndv8IaqVKuq53rMzltsUQSvyLNjczRTZAD_xt_do/edit?usp=sharing" TargetMode="External" /><Relationship Type="http://schemas.openxmlformats.org/officeDocument/2006/relationships/hyperlink" Id="rId183" Target="https://docs.google.com/document/d/12pKSIwcVXisaf6dniyoG_AGdCQh1dG1dDwZ5s1cz92c/edit?usp=sharing" TargetMode="External" /><Relationship Type="http://schemas.openxmlformats.org/officeDocument/2006/relationships/hyperlink" Id="rId348" Target="https://docs.google.com/document/d/13eB1fwHEB1I00JHBUQLZIJsi-iQZYaWaXThPqCTU17g/edit?usp=sharing" TargetMode="External" /><Relationship Type="http://schemas.openxmlformats.org/officeDocument/2006/relationships/hyperlink" Id="rId132" Target="https://docs.google.com/document/d/1Mg9DGVk0EsSfYwl8VsRHb-_QdtZqiBmhWvbhUWkQERc/edit?usp=sharing" TargetMode="External" /><Relationship Type="http://schemas.openxmlformats.org/officeDocument/2006/relationships/hyperlink" Id="rId263" Target="https://docs.google.com/document/d/1OWgUwaT2MlSd-qq7wSlB3BnM-cq_GTxEyy38HV5ajoU/edit?usp=sharing" TargetMode="External" /><Relationship Type="http://schemas.openxmlformats.org/officeDocument/2006/relationships/hyperlink" Id="rId375" Target="https://docs.google.com/document/d/1OvMwNIsB019EVZukYG-8JXg7P4no4WmEc2w4ryvKz4k/edit?usp=sharing" TargetMode="External" /><Relationship Type="http://schemas.openxmlformats.org/officeDocument/2006/relationships/hyperlink" Id="rId111" Target="https://docs.google.com/document/d/1Uzw-dPwx4kxrcDKLTM7hjxN09oFkTQWg/edit?usp=sharing&amp;ouid=117014088395158370475&amp;rtpof=true&amp;sd=true" TargetMode="External" /><Relationship Type="http://schemas.openxmlformats.org/officeDocument/2006/relationships/hyperlink" Id="rId205" Target="https://docs.google.com/document/d/1d1co_BVzZ1P5RuUYnPWrkB-Lvo7f4lYvahXhoCOjvIg/edit?usp=sharing" TargetMode="External" /><Relationship Type="http://schemas.openxmlformats.org/officeDocument/2006/relationships/hyperlink" Id="rId206" Target="https://docs.google.com/document/d/1pYTq_U-e3Fath5yB6N9b5ic-cMynUtclkEgdojkAXwE/edit?usp=sharing" TargetMode="External" /><Relationship Type="http://schemas.openxmlformats.org/officeDocument/2006/relationships/hyperlink" Id="rId414" Target="https://docs.google.com/forms/d/1GJDpfG28k2utCVVcRXQraE-1coLS_GCX83irUyio9KE/edit" TargetMode="External" /><Relationship Type="http://schemas.openxmlformats.org/officeDocument/2006/relationships/hyperlink" Id="rId411" Target="https://docs.google.com/forms/d/1GJDpfG28k2utCVVcRXQraE-1coLS_GCX83irUyio9KE/viewform?edit_requested=true" TargetMode="External" /><Relationship Type="http://schemas.openxmlformats.org/officeDocument/2006/relationships/hyperlink" Id="rId164" Target="https://docs.google.com/presentation/d/14E26SbzaLEDJxAaZ1qjaZcJehAI8q2GHuTokNPKKDTc/edit?usp=sharing" TargetMode="External" /><Relationship Type="http://schemas.openxmlformats.org/officeDocument/2006/relationships/hyperlink" Id="rId193" Target="https://docs.google.com/presentation/d/15tv_IS177gF_px3JYKcQZmOsJg2d-GkjVXi7a-Skgs8/edit?usp=sharing" TargetMode="External" /><Relationship Type="http://schemas.openxmlformats.org/officeDocument/2006/relationships/hyperlink" Id="rId66" Target="https://docs.google.com/presentation/d/1Oaq8RzhaDANxkNh-tTKwme7e095pGgoiq5iZHbt7PLg" TargetMode="External" /><Relationship Type="http://schemas.openxmlformats.org/officeDocument/2006/relationships/hyperlink" Id="rId251" Target="https://docs.google.com/presentation/d/1QZbSBPOGkBeizh1L45C6EaktOxl6pqrTDGNIncHQ5lY/edit?usp=sharing" TargetMode="External" /><Relationship Type="http://schemas.openxmlformats.org/officeDocument/2006/relationships/hyperlink" Id="rId385" Target="https://docs.google.com/presentation/d/1cH7vm_lAxe_JUlr1H_M5Ujas-pTUY8qPBthTcSOiIXA/edit?usp=sharing" TargetMode="External" /><Relationship Type="http://schemas.openxmlformats.org/officeDocument/2006/relationships/hyperlink" Id="rId306" Target="https://docs.google.com/presentation/d/1chz02nzYklAEjOtHrPsJZccGy1sFUZvqdlfcUyfj3I4/edit?usp=sharing" TargetMode="External" /><Relationship Type="http://schemas.openxmlformats.org/officeDocument/2006/relationships/hyperlink" Id="rId357" Target="https://docs.google.com/presentation/d/1coAc4GY1CkpiBcamCYsEemjOsa6zTWiK6kd2C1iAaKA/edit?usp=sharing" TargetMode="External" /><Relationship Type="http://schemas.openxmlformats.org/officeDocument/2006/relationships/hyperlink" Id="rId56" Target="https://docs.google.com/presentation/d/1codot9UeUO7l0EDcEre7dJgyXurD_xyxpw6IJL_aEjM" TargetMode="External" /><Relationship Type="http://schemas.openxmlformats.org/officeDocument/2006/relationships/hyperlink" Id="rId48" Target="https://docs.google.com/presentation/d/1kxbnBLoRsdPW4ZkjwNsAHS1XFPuJpQZ8I1aVqyZISW0" TargetMode="External" /><Relationship Type="http://schemas.openxmlformats.org/officeDocument/2006/relationships/hyperlink" Id="rId119" Target="https://docs.google.com/presentation/d/1mibD1XUpgRZcDPbYj5XOMUASuScuJoUBVV7RkT5nnSc/edit?usp=sharing" TargetMode="External" /><Relationship Type="http://schemas.openxmlformats.org/officeDocument/2006/relationships/hyperlink" Id="rId498" Target="https://docs.google.com/presentation/d/1uipJ2uS2g8svKtWX-mN3MGvWYLWL9C0Pmv2nK6FjbCo/edit?usp=sharing" TargetMode="External" /><Relationship Type="http://schemas.openxmlformats.org/officeDocument/2006/relationships/hyperlink" Id="rId81" Target="https://docs.google.com/presentation/d/1uwlG7uaTOnItdpd4Ll6nNQiBJKBivsvR-erupicAwJM/edit?usp=sharing" TargetMode="External" /><Relationship Type="http://schemas.openxmlformats.org/officeDocument/2006/relationships/hyperlink" Id="rId43" Target="https://docs.google.com/presentation/d/1zWWdJcJUgp1mXoTE7d0V-7T9ft_Y1EmV0P3VEzWsAXs" TargetMode="External" /><Relationship Type="http://schemas.openxmlformats.org/officeDocument/2006/relationships/hyperlink" Id="rId178" Target="https://docs.google.com/spreadsheets/d/1SXPLeaHAbxjOBkdVsyldp-bdGG7fQgReKlh4sjG5AKI/edit?usp=sharing" TargetMode="External" /><Relationship Type="http://schemas.openxmlformats.org/officeDocument/2006/relationships/hyperlink" Id="rId170" Target="https://docs.google.com/spreadsheets/d/1hpSyjO0H8sXq6C1xM_oGMyv9vCY2qTvfYHVdqO9ZVhk/edit?usp=sharing" TargetMode="External" /><Relationship Type="http://schemas.openxmlformats.org/officeDocument/2006/relationships/hyperlink" Id="rId173" Target="https://docs.google.com/spreadsheets/d/1vD0wbxgYuDlfKA0DF2Km-N4GHL2gRoUaEN_oCrSb2jU/edit?usp=sharing" TargetMode="External" /><Relationship Type="http://schemas.openxmlformats.org/officeDocument/2006/relationships/hyperlink" Id="rId29" Target="https://doi.org/10.1371/journal.pone.0196878" TargetMode="External" /><Relationship Type="http://schemas.openxmlformats.org/officeDocument/2006/relationships/hyperlink" Id="rId304" Target="https://drive.google.com/file/d/1kK6FBBLbHiAAsTUgxwzHRlK1qCo__eCy/view?usp=sharing" TargetMode="External" /><Relationship Type="http://schemas.openxmlformats.org/officeDocument/2006/relationships/hyperlink" Id="rId349" Target="https://fourwaves.com/blog/abstract-vs-introduction/"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506" Target="https://github.com/jhudsl/ottrpal" TargetMode="External" /><Relationship Type="http://schemas.openxmlformats.org/officeDocument/2006/relationships/hyperlink" Id="rId35" Target="https://hbr.org/2012/10/data-scientist-the-sexiest-job-of-the-21st-century" TargetMode="External" /><Relationship Type="http://schemas.openxmlformats.org/officeDocument/2006/relationships/hyperlink" Id="rId434" Target="https://help.anvilproject.org" TargetMode="External" /><Relationship Type="http://schemas.openxmlformats.org/officeDocument/2006/relationships/hyperlink" Id="rId431" Target="https://help.c-moor.org" TargetMode="External" /><Relationship Type="http://schemas.openxmlformats.org/officeDocument/2006/relationships/hyperlink" Id="rId67" Target="https://help.c-moor.org/c/help/" TargetMode="External" /><Relationship Type="http://schemas.openxmlformats.org/officeDocument/2006/relationships/hyperlink" Id="rId303" Target="https://help.c-moor.org/c/look-at-this/" TargetMode="External" /><Relationship Type="http://schemas.openxmlformats.org/officeDocument/2006/relationships/hyperlink" Id="rId33" Target="https://help.c-moor.org/c/look-at-this/8" TargetMode="External" /><Relationship Type="http://schemas.openxmlformats.org/officeDocument/2006/relationships/hyperlink" Id="rId432" Target="https://help.galaxyproject.org" TargetMode="External" /><Relationship Type="http://schemas.openxmlformats.org/officeDocument/2006/relationships/hyperlink" Id="rId507" Target="https://johnmuschelli.com/" TargetMode="External" /><Relationship Type="http://schemas.openxmlformats.org/officeDocument/2006/relationships/hyperlink" Id="rId47" Target="https://link.c-moor.org/video-join-sciserver" TargetMode="External" /><Relationship Type="http://schemas.openxmlformats.org/officeDocument/2006/relationships/hyperlink" Id="rId55" Target="https://link.c-moor.org/video-join-sciserver-group" TargetMode="External" /><Relationship Type="http://schemas.openxmlformats.org/officeDocument/2006/relationships/hyperlink" Id="rId65" Target="https://link.c-moor.org/video-sciserver-create-learnr-container" TargetMode="External" /><Relationship Type="http://schemas.openxmlformats.org/officeDocument/2006/relationships/hyperlink" Id="rId350" Target="https://onlinelibrary.wiley.com/doi/10.1111/j.1475-6773.2006.00588.x" TargetMode="External" /><Relationship Type="http://schemas.openxmlformats.org/officeDocument/2006/relationships/hyperlink" Id="rId23" Target="https://openstax.org/books/biology-2e/pages/22-introduction" TargetMode="External" /><Relationship Type="http://schemas.openxmlformats.org/officeDocument/2006/relationships/hyperlink" Id="rId107" Target="https://pmc.ncbi.nlm.nih.gov/articles/PMC6790402/" TargetMode="External" /><Relationship Type="http://schemas.openxmlformats.org/officeDocument/2006/relationships/hyperlink" Id="rId430" Target="https://pubmed.gov/35858750" TargetMode="External" /><Relationship Type="http://schemas.openxmlformats.org/officeDocument/2006/relationships/hyperlink" Id="rId30" Target="https://qubeshub.org/community/groups/niblse" TargetMode="External" /><Relationship Type="http://schemas.openxmlformats.org/officeDocument/2006/relationships/hyperlink" Id="rId246" Target="https://science.c-moor.org/miniCURE-16S-Microbiome/scientific-literature.html" TargetMode="External" /><Relationship Type="http://schemas.openxmlformats.org/officeDocument/2006/relationships/hyperlink" Id="rId166" Target="https://science.c-moor.org/miniCURE-16S-Microbiome/spreadsheets-101.html" TargetMode="External" /><Relationship Type="http://schemas.openxmlformats.org/officeDocument/2006/relationships/hyperlink" Id="rId433" Target="https://support.bioconductor.org" TargetMode="External" /><Relationship Type="http://schemas.openxmlformats.org/officeDocument/2006/relationships/hyperlink" Id="rId83" Target="https://support.google.com/chrome/answer/188842" TargetMode="External" /><Relationship Type="http://schemas.openxmlformats.org/officeDocument/2006/relationships/hyperlink" Id="rId84" Target="https://support.terra.bio/hc/en-us" TargetMode="External" /><Relationship Type="http://schemas.openxmlformats.org/officeDocument/2006/relationships/hyperlink" Id="rId44" Target="https://undsci.berkeley.edu/understanding-science-101/how-science-works/exploration-and-discovery" TargetMode="External" /><Relationship Type="http://schemas.openxmlformats.org/officeDocument/2006/relationships/hyperlink" Id="rId360" Target="https://ur.umbc.edu/poster-presentation-examples" TargetMode="External" /><Relationship Type="http://schemas.openxmlformats.org/officeDocument/2006/relationships/hyperlink" Id="rId359" Target="https://ur.umbc.edu/urcad/resources/posters-guidelines" TargetMode="External" /><Relationship Type="http://schemas.openxmlformats.org/officeDocument/2006/relationships/hyperlink" Id="rId26" Target="https://visionandchange.org/" TargetMode="External" /><Relationship Type="http://schemas.openxmlformats.org/officeDocument/2006/relationships/hyperlink" Id="rId505" Target="https://www.avahoffman.com/" TargetMode="External" /><Relationship Type="http://schemas.openxmlformats.org/officeDocument/2006/relationships/hyperlink" Id="rId395" Target="https://www.biostars.org" TargetMode="External" /><Relationship Type="http://schemas.openxmlformats.org/officeDocument/2006/relationships/hyperlink" Id="rId503" Target="https://www.cansavvy.com/" TargetMode="External" /><Relationship Type="http://schemas.openxmlformats.org/officeDocument/2006/relationships/hyperlink" Id="rId412" Target="https://www.cloviscollege.edu/alumni-and-community/c-moor/c-moor-scholars.html" TargetMode="External" /><Relationship Type="http://schemas.openxmlformats.org/officeDocument/2006/relationships/hyperlink" Id="rId420" Target="https://www.nsf.gov/funding/initiatives/reu" TargetMode="External" /><Relationship Type="http://schemas.openxmlformats.org/officeDocument/2006/relationships/hyperlink" Id="rId391" Target="https://www.nsf.gov/funding/initiatives/reu/search" TargetMode="External" /><Relationship Type="http://schemas.openxmlformats.org/officeDocument/2006/relationships/hyperlink" Id="rId390" Target="https://www.nsf.gov/funding/initiatives/reu/students" TargetMode="External" /><Relationship Type="http://schemas.openxmlformats.org/officeDocument/2006/relationships/hyperlink" Id="rId501" Target="https://www.ottrproject.org/more_features.html#giving-credits-to-contributors" TargetMode="External" /><Relationship Type="http://schemas.openxmlformats.org/officeDocument/2006/relationships/hyperlink" Id="rId361" Target="https://www.pacb.com/wp-content/uploads/PAG-Portik.pdf" TargetMode="External" /><Relationship Type="http://schemas.openxmlformats.org/officeDocument/2006/relationships/hyperlink" Id="rId396" Target="https://www.reddit.com/r/metagenomics" TargetMode="External" /><Relationship Type="http://schemas.openxmlformats.org/officeDocument/2006/relationships/hyperlink" Id="rId51" Target="https://www.sciserver.org/" TargetMode="External" /><Relationship Type="http://schemas.openxmlformats.org/officeDocument/2006/relationships/hyperlink" Id="rId394" Target="https://www.seqanswers.com" TargetMode="External" /><Relationship Type="http://schemas.openxmlformats.org/officeDocument/2006/relationships/hyperlink" Id="rId42" Target="https://www.youtube.com/watch?v=5kcAc20Bus8" TargetMode="External" /><Relationship Type="http://schemas.openxmlformats.org/officeDocument/2006/relationships/hyperlink" Id="rId397" Target="https://x.com/search?q=%23metagenomics" TargetMode="External" /><Relationship Type="http://schemas.openxmlformats.org/officeDocument/2006/relationships/hyperlink" Id="rId502"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427" Target="biodigs.org" TargetMode="External" /><Relationship Type="http://schemas.openxmlformats.org/officeDocument/2006/relationships/hyperlink" Id="rId338" Target="doi:10.1261/rna.2000810" TargetMode="External" /><Relationship Type="http://schemas.openxmlformats.org/officeDocument/2006/relationships/hyperlink" Id="rId339" Target="doi:10.7554/eLife.00886" TargetMode="External" /><Relationship Type="http://schemas.openxmlformats.org/officeDocument/2006/relationships/hyperlink" Id="rId413" Target="help.c-moor.org" TargetMode="External" /><Relationship Type="http://schemas.openxmlformats.org/officeDocument/2006/relationships/hyperlink" Id="rId82" Target="https://anvil.terra.bio/" TargetMode="External" /><Relationship Type="http://schemas.openxmlformats.org/officeDocument/2006/relationships/hyperlink" Id="rId435" Target="https://biodigs.org/#home" TargetMode="External" /><Relationship Type="http://schemas.openxmlformats.org/officeDocument/2006/relationships/hyperlink" Id="rId398" Target="https://bsky.app/search?q=metagenomics" TargetMode="External" /><Relationship Type="http://schemas.openxmlformats.org/officeDocument/2006/relationships/hyperlink" Id="rId504" Target="https://carriewright11.github.io/" TargetMode="External" /><Relationship Type="http://schemas.openxmlformats.org/officeDocument/2006/relationships/hyperlink" Id="rId402" Target="https://docs.google.com/document/d/11gEndv8IaqVKuq53rMzltsUQSvyLNjczRTZAD_xt_do/edit?usp=sharing" TargetMode="External" /><Relationship Type="http://schemas.openxmlformats.org/officeDocument/2006/relationships/hyperlink" Id="rId183" Target="https://docs.google.com/document/d/12pKSIwcVXisaf6dniyoG_AGdCQh1dG1dDwZ5s1cz92c/edit?usp=sharing" TargetMode="External" /><Relationship Type="http://schemas.openxmlformats.org/officeDocument/2006/relationships/hyperlink" Id="rId348" Target="https://docs.google.com/document/d/13eB1fwHEB1I00JHBUQLZIJsi-iQZYaWaXThPqCTU17g/edit?usp=sharing" TargetMode="External" /><Relationship Type="http://schemas.openxmlformats.org/officeDocument/2006/relationships/hyperlink" Id="rId132" Target="https://docs.google.com/document/d/1Mg9DGVk0EsSfYwl8VsRHb-_QdtZqiBmhWvbhUWkQERc/edit?usp=sharing" TargetMode="External" /><Relationship Type="http://schemas.openxmlformats.org/officeDocument/2006/relationships/hyperlink" Id="rId263" Target="https://docs.google.com/document/d/1OWgUwaT2MlSd-qq7wSlB3BnM-cq_GTxEyy38HV5ajoU/edit?usp=sharing" TargetMode="External" /><Relationship Type="http://schemas.openxmlformats.org/officeDocument/2006/relationships/hyperlink" Id="rId375" Target="https://docs.google.com/document/d/1OvMwNIsB019EVZukYG-8JXg7P4no4WmEc2w4ryvKz4k/edit?usp=sharing" TargetMode="External" /><Relationship Type="http://schemas.openxmlformats.org/officeDocument/2006/relationships/hyperlink" Id="rId111" Target="https://docs.google.com/document/d/1Uzw-dPwx4kxrcDKLTM7hjxN09oFkTQWg/edit?usp=sharing&amp;ouid=117014088395158370475&amp;rtpof=true&amp;sd=true" TargetMode="External" /><Relationship Type="http://schemas.openxmlformats.org/officeDocument/2006/relationships/hyperlink" Id="rId205" Target="https://docs.google.com/document/d/1d1co_BVzZ1P5RuUYnPWrkB-Lvo7f4lYvahXhoCOjvIg/edit?usp=sharing" TargetMode="External" /><Relationship Type="http://schemas.openxmlformats.org/officeDocument/2006/relationships/hyperlink" Id="rId206" Target="https://docs.google.com/document/d/1pYTq_U-e3Fath5yB6N9b5ic-cMynUtclkEgdojkAXwE/edit?usp=sharing" TargetMode="External" /><Relationship Type="http://schemas.openxmlformats.org/officeDocument/2006/relationships/hyperlink" Id="rId414" Target="https://docs.google.com/forms/d/1GJDpfG28k2utCVVcRXQraE-1coLS_GCX83irUyio9KE/edit" TargetMode="External" /><Relationship Type="http://schemas.openxmlformats.org/officeDocument/2006/relationships/hyperlink" Id="rId411" Target="https://docs.google.com/forms/d/1GJDpfG28k2utCVVcRXQraE-1coLS_GCX83irUyio9KE/viewform?edit_requested=true" TargetMode="External" /><Relationship Type="http://schemas.openxmlformats.org/officeDocument/2006/relationships/hyperlink" Id="rId164" Target="https://docs.google.com/presentation/d/14E26SbzaLEDJxAaZ1qjaZcJehAI8q2GHuTokNPKKDTc/edit?usp=sharing" TargetMode="External" /><Relationship Type="http://schemas.openxmlformats.org/officeDocument/2006/relationships/hyperlink" Id="rId193" Target="https://docs.google.com/presentation/d/15tv_IS177gF_px3JYKcQZmOsJg2d-GkjVXi7a-Skgs8/edit?usp=sharing" TargetMode="External" /><Relationship Type="http://schemas.openxmlformats.org/officeDocument/2006/relationships/hyperlink" Id="rId66" Target="https://docs.google.com/presentation/d/1Oaq8RzhaDANxkNh-tTKwme7e095pGgoiq5iZHbt7PLg" TargetMode="External" /><Relationship Type="http://schemas.openxmlformats.org/officeDocument/2006/relationships/hyperlink" Id="rId251" Target="https://docs.google.com/presentation/d/1QZbSBPOGkBeizh1L45C6EaktOxl6pqrTDGNIncHQ5lY/edit?usp=sharing" TargetMode="External" /><Relationship Type="http://schemas.openxmlformats.org/officeDocument/2006/relationships/hyperlink" Id="rId385" Target="https://docs.google.com/presentation/d/1cH7vm_lAxe_JUlr1H_M5Ujas-pTUY8qPBthTcSOiIXA/edit?usp=sharing" TargetMode="External" /><Relationship Type="http://schemas.openxmlformats.org/officeDocument/2006/relationships/hyperlink" Id="rId306" Target="https://docs.google.com/presentation/d/1chz02nzYklAEjOtHrPsJZccGy1sFUZvqdlfcUyfj3I4/edit?usp=sharing" TargetMode="External" /><Relationship Type="http://schemas.openxmlformats.org/officeDocument/2006/relationships/hyperlink" Id="rId357" Target="https://docs.google.com/presentation/d/1coAc4GY1CkpiBcamCYsEemjOsa6zTWiK6kd2C1iAaKA/edit?usp=sharing" TargetMode="External" /><Relationship Type="http://schemas.openxmlformats.org/officeDocument/2006/relationships/hyperlink" Id="rId56" Target="https://docs.google.com/presentation/d/1codot9UeUO7l0EDcEre7dJgyXurD_xyxpw6IJL_aEjM" TargetMode="External" /><Relationship Type="http://schemas.openxmlformats.org/officeDocument/2006/relationships/hyperlink" Id="rId48" Target="https://docs.google.com/presentation/d/1kxbnBLoRsdPW4ZkjwNsAHS1XFPuJpQZ8I1aVqyZISW0" TargetMode="External" /><Relationship Type="http://schemas.openxmlformats.org/officeDocument/2006/relationships/hyperlink" Id="rId119" Target="https://docs.google.com/presentation/d/1mibD1XUpgRZcDPbYj5XOMUASuScuJoUBVV7RkT5nnSc/edit?usp=sharing" TargetMode="External" /><Relationship Type="http://schemas.openxmlformats.org/officeDocument/2006/relationships/hyperlink" Id="rId498" Target="https://docs.google.com/presentation/d/1uipJ2uS2g8svKtWX-mN3MGvWYLWL9C0Pmv2nK6FjbCo/edit?usp=sharing" TargetMode="External" /><Relationship Type="http://schemas.openxmlformats.org/officeDocument/2006/relationships/hyperlink" Id="rId81" Target="https://docs.google.com/presentation/d/1uwlG7uaTOnItdpd4Ll6nNQiBJKBivsvR-erupicAwJM/edit?usp=sharing" TargetMode="External" /><Relationship Type="http://schemas.openxmlformats.org/officeDocument/2006/relationships/hyperlink" Id="rId43" Target="https://docs.google.com/presentation/d/1zWWdJcJUgp1mXoTE7d0V-7T9ft_Y1EmV0P3VEzWsAXs" TargetMode="External" /><Relationship Type="http://schemas.openxmlformats.org/officeDocument/2006/relationships/hyperlink" Id="rId178" Target="https://docs.google.com/spreadsheets/d/1SXPLeaHAbxjOBkdVsyldp-bdGG7fQgReKlh4sjG5AKI/edit?usp=sharing" TargetMode="External" /><Relationship Type="http://schemas.openxmlformats.org/officeDocument/2006/relationships/hyperlink" Id="rId170" Target="https://docs.google.com/spreadsheets/d/1hpSyjO0H8sXq6C1xM_oGMyv9vCY2qTvfYHVdqO9ZVhk/edit?usp=sharing" TargetMode="External" /><Relationship Type="http://schemas.openxmlformats.org/officeDocument/2006/relationships/hyperlink" Id="rId173" Target="https://docs.google.com/spreadsheets/d/1vD0wbxgYuDlfKA0DF2Km-N4GHL2gRoUaEN_oCrSb2jU/edit?usp=sharing" TargetMode="External" /><Relationship Type="http://schemas.openxmlformats.org/officeDocument/2006/relationships/hyperlink" Id="rId29" Target="https://doi.org/10.1371/journal.pone.0196878" TargetMode="External" /><Relationship Type="http://schemas.openxmlformats.org/officeDocument/2006/relationships/hyperlink" Id="rId304" Target="https://drive.google.com/file/d/1kK6FBBLbHiAAsTUgxwzHRlK1qCo__eCy/view?usp=sharing" TargetMode="External" /><Relationship Type="http://schemas.openxmlformats.org/officeDocument/2006/relationships/hyperlink" Id="rId349" Target="https://fourwaves.com/blog/abstract-vs-introduction/"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506" Target="https://github.com/jhudsl/ottrpal" TargetMode="External" /><Relationship Type="http://schemas.openxmlformats.org/officeDocument/2006/relationships/hyperlink" Id="rId35" Target="https://hbr.org/2012/10/data-scientist-the-sexiest-job-of-the-21st-century" TargetMode="External" /><Relationship Type="http://schemas.openxmlformats.org/officeDocument/2006/relationships/hyperlink" Id="rId434" Target="https://help.anvilproject.org" TargetMode="External" /><Relationship Type="http://schemas.openxmlformats.org/officeDocument/2006/relationships/hyperlink" Id="rId431" Target="https://help.c-moor.org" TargetMode="External" /><Relationship Type="http://schemas.openxmlformats.org/officeDocument/2006/relationships/hyperlink" Id="rId67" Target="https://help.c-moor.org/c/help/" TargetMode="External" /><Relationship Type="http://schemas.openxmlformats.org/officeDocument/2006/relationships/hyperlink" Id="rId303" Target="https://help.c-moor.org/c/look-at-this/" TargetMode="External" /><Relationship Type="http://schemas.openxmlformats.org/officeDocument/2006/relationships/hyperlink" Id="rId33" Target="https://help.c-moor.org/c/look-at-this/8" TargetMode="External" /><Relationship Type="http://schemas.openxmlformats.org/officeDocument/2006/relationships/hyperlink" Id="rId432" Target="https://help.galaxyproject.org" TargetMode="External" /><Relationship Type="http://schemas.openxmlformats.org/officeDocument/2006/relationships/hyperlink" Id="rId507" Target="https://johnmuschelli.com/" TargetMode="External" /><Relationship Type="http://schemas.openxmlformats.org/officeDocument/2006/relationships/hyperlink" Id="rId47" Target="https://link.c-moor.org/video-join-sciserver" TargetMode="External" /><Relationship Type="http://schemas.openxmlformats.org/officeDocument/2006/relationships/hyperlink" Id="rId55" Target="https://link.c-moor.org/video-join-sciserver-group" TargetMode="External" /><Relationship Type="http://schemas.openxmlformats.org/officeDocument/2006/relationships/hyperlink" Id="rId65" Target="https://link.c-moor.org/video-sciserver-create-learnr-container" TargetMode="External" /><Relationship Type="http://schemas.openxmlformats.org/officeDocument/2006/relationships/hyperlink" Id="rId350" Target="https://onlinelibrary.wiley.com/doi/10.1111/j.1475-6773.2006.00588.x" TargetMode="External" /><Relationship Type="http://schemas.openxmlformats.org/officeDocument/2006/relationships/hyperlink" Id="rId23" Target="https://openstax.org/books/biology-2e/pages/22-introduction" TargetMode="External" /><Relationship Type="http://schemas.openxmlformats.org/officeDocument/2006/relationships/hyperlink" Id="rId107" Target="https://pmc.ncbi.nlm.nih.gov/articles/PMC6790402/" TargetMode="External" /><Relationship Type="http://schemas.openxmlformats.org/officeDocument/2006/relationships/hyperlink" Id="rId430" Target="https://pubmed.gov/35858750" TargetMode="External" /><Relationship Type="http://schemas.openxmlformats.org/officeDocument/2006/relationships/hyperlink" Id="rId30" Target="https://qubeshub.org/community/groups/niblse" TargetMode="External" /><Relationship Type="http://schemas.openxmlformats.org/officeDocument/2006/relationships/hyperlink" Id="rId246" Target="https://science.c-moor.org/miniCURE-16S-Microbiome/scientific-literature.html" TargetMode="External" /><Relationship Type="http://schemas.openxmlformats.org/officeDocument/2006/relationships/hyperlink" Id="rId166" Target="https://science.c-moor.org/miniCURE-16S-Microbiome/spreadsheets-101.html" TargetMode="External" /><Relationship Type="http://schemas.openxmlformats.org/officeDocument/2006/relationships/hyperlink" Id="rId433" Target="https://support.bioconductor.org" TargetMode="External" /><Relationship Type="http://schemas.openxmlformats.org/officeDocument/2006/relationships/hyperlink" Id="rId83" Target="https://support.google.com/chrome/answer/188842" TargetMode="External" /><Relationship Type="http://schemas.openxmlformats.org/officeDocument/2006/relationships/hyperlink" Id="rId84" Target="https://support.terra.bio/hc/en-us" TargetMode="External" /><Relationship Type="http://schemas.openxmlformats.org/officeDocument/2006/relationships/hyperlink" Id="rId44" Target="https://undsci.berkeley.edu/understanding-science-101/how-science-works/exploration-and-discovery" TargetMode="External" /><Relationship Type="http://schemas.openxmlformats.org/officeDocument/2006/relationships/hyperlink" Id="rId360" Target="https://ur.umbc.edu/poster-presentation-examples" TargetMode="External" /><Relationship Type="http://schemas.openxmlformats.org/officeDocument/2006/relationships/hyperlink" Id="rId359" Target="https://ur.umbc.edu/urcad/resources/posters-guidelines" TargetMode="External" /><Relationship Type="http://schemas.openxmlformats.org/officeDocument/2006/relationships/hyperlink" Id="rId26" Target="https://visionandchange.org/" TargetMode="External" /><Relationship Type="http://schemas.openxmlformats.org/officeDocument/2006/relationships/hyperlink" Id="rId505" Target="https://www.avahoffman.com/" TargetMode="External" /><Relationship Type="http://schemas.openxmlformats.org/officeDocument/2006/relationships/hyperlink" Id="rId395" Target="https://www.biostars.org" TargetMode="External" /><Relationship Type="http://schemas.openxmlformats.org/officeDocument/2006/relationships/hyperlink" Id="rId503" Target="https://www.cansavvy.com/" TargetMode="External" /><Relationship Type="http://schemas.openxmlformats.org/officeDocument/2006/relationships/hyperlink" Id="rId412" Target="https://www.cloviscollege.edu/alumni-and-community/c-moor/c-moor-scholars.html" TargetMode="External" /><Relationship Type="http://schemas.openxmlformats.org/officeDocument/2006/relationships/hyperlink" Id="rId420" Target="https://www.nsf.gov/funding/initiatives/reu" TargetMode="External" /><Relationship Type="http://schemas.openxmlformats.org/officeDocument/2006/relationships/hyperlink" Id="rId391" Target="https://www.nsf.gov/funding/initiatives/reu/search" TargetMode="External" /><Relationship Type="http://schemas.openxmlformats.org/officeDocument/2006/relationships/hyperlink" Id="rId390" Target="https://www.nsf.gov/funding/initiatives/reu/students" TargetMode="External" /><Relationship Type="http://schemas.openxmlformats.org/officeDocument/2006/relationships/hyperlink" Id="rId501" Target="https://www.ottrproject.org/more_features.html#giving-credits-to-contributors" TargetMode="External" /><Relationship Type="http://schemas.openxmlformats.org/officeDocument/2006/relationships/hyperlink" Id="rId361" Target="https://www.pacb.com/wp-content/uploads/PAG-Portik.pdf" TargetMode="External" /><Relationship Type="http://schemas.openxmlformats.org/officeDocument/2006/relationships/hyperlink" Id="rId396" Target="https://www.reddit.com/r/metagenomics" TargetMode="External" /><Relationship Type="http://schemas.openxmlformats.org/officeDocument/2006/relationships/hyperlink" Id="rId51" Target="https://www.sciserver.org/" TargetMode="External" /><Relationship Type="http://schemas.openxmlformats.org/officeDocument/2006/relationships/hyperlink" Id="rId394" Target="https://www.seqanswers.com" TargetMode="External" /><Relationship Type="http://schemas.openxmlformats.org/officeDocument/2006/relationships/hyperlink" Id="rId42" Target="https://www.youtube.com/watch?v=5kcAc20Bus8" TargetMode="External" /><Relationship Type="http://schemas.openxmlformats.org/officeDocument/2006/relationships/hyperlink" Id="rId397" Target="https://x.com/search?q=%23metagenomics" TargetMode="External" /><Relationship Type="http://schemas.openxmlformats.org/officeDocument/2006/relationships/hyperlink" Id="rId502"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miniCURE: Human Gut 16S rRNA</dc:title>
  <dc:creator/>
  <dc:description>Description about Course/Book.</dc:description>
  <cp:keywords/>
  <dcterms:created xsi:type="dcterms:W3CDTF">2026-06-05T22:53:59Z</dcterms:created>
  <dcterms:modified xsi:type="dcterms:W3CDTF">2026-06-05T22:53:59Z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June 05,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