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17.png" ContentType="image/png"/>
  <Override PartName="/word/media/rId214.png" ContentType="image/png"/>
  <Override PartName="/word/media/rId203.png" ContentType="image/png"/>
  <Override PartName="/word/media/rId207.png" ContentType="image/png"/>
  <Override PartName="/word/media/rId376.png" ContentType="image/png"/>
  <Override PartName="/word/media/rId371.png" ContentType="image/png"/>
  <Override PartName="/word/media/rId312.png" ContentType="image/png"/>
  <Override PartName="/word/media/rId440.png" ContentType="image/png"/>
  <Override PartName="/word/media/rId468.png" ContentType="image/png"/>
  <Override PartName="/word/media/rId386.png" ContentType="image/png"/>
  <Override PartName="/word/media/rId402.png" ContentType="image/png"/>
  <Override PartName="/word/media/rId427.png" ContentType="image/png"/>
  <Override PartName="/word/media/rId417.png" ContentType="image/png"/>
  <Override PartName="/word/media/rId421.png" ContentType="image/png"/>
  <Override PartName="/word/media/rId503.png" ContentType="image/png"/>
  <Override PartName="/word/media/rId510.png" ContentType="image/png"/>
  <Override PartName="/word/media/rId494.png" ContentType="image/png"/>
  <Override PartName="/word/media/rId398.png" ContentType="image/png"/>
  <Override PartName="/word/media/rId531.png" ContentType="image/png"/>
  <Override PartName="/word/media/rId522.png" ContentType="image/png"/>
  <Override PartName="/word/media/rId528.png" ContentType="image/png"/>
  <Override PartName="/word/media/rId525.png" ContentType="image/png"/>
  <Override PartName="/word/media/rId405.png" ContentType="image/png"/>
  <Override PartName="/word/media/rId413.png" ContentType="image/png"/>
  <Override PartName="/word/media/rId394.png" ContentType="image/png"/>
  <Override PartName="/word/media/rId409.png" ContentType="image/png"/>
  <Override PartName="/word/media/rId465.png" ContentType="image/png"/>
  <Override PartName="/word/media/rId255.png" ContentType="image/png"/>
  <Override PartName="/word/media/rId58.jpg" ContentType="image/jpeg"/>
  <Override PartName="/word/media/rId20.png" ContentType="image/png"/>
  <Override PartName="/word/media/rId126.png" ContentType="image/png"/>
  <Override PartName="/word/media/rId140.png" ContentType="image/png"/>
  <Override PartName="/word/media/rId157.png" ContentType="image/png"/>
  <Override PartName="/word/media/rId134.png" ContentType="image/png"/>
  <Override PartName="/word/media/rId137.png" ContentType="image/png"/>
  <Override PartName="/word/media/rId143.png" ContentType="image/png"/>
  <Override PartName="/word/media/rId146.png" ContentType="image/png"/>
  <Override PartName="/word/media/rId149.png" ContentType="image/png"/>
  <Override PartName="/word/media/rId152.png" ContentType="image/png"/>
  <Override PartName="/word/media/rId88.png" ContentType="image/png"/>
  <Override PartName="/word/media/rId99.png" ContentType="image/png"/>
  <Override PartName="/word/media/rId91.png" ContentType="image/png"/>
  <Override PartName="/word/media/rId69.png" ContentType="image/png"/>
  <Override PartName="/word/media/rId49.png" ContentType="image/png"/>
  <Override PartName="/word/media/rId118.png" ContentType="image/png"/>
  <Override PartName="/word/media/rId110.png" ContentType="image/png"/>
  <Override PartName="/word/media/rId115.png" ContentType="image/png"/>
  <Override PartName="/word/media/rId544.png" ContentType="image/png"/>
  <Override PartName="/word/media/rId547.png" ContentType="image/png"/>
  <Override PartName="/word/media/rId551.png" ContentType="image/png"/>
  <Override PartName="/word/media/rId555.png" ContentType="image/png"/>
  <Override PartName="/word/media/rId536.png" ContentType="image/png"/>
  <Override PartName="/word/media/rId559.png" ContentType="image/png"/>
  <Override PartName="/word/media/rId540.png" ContentType="image/png"/>
  <Override PartName="/word/media/rId581.png" ContentType="image/png"/>
  <Override PartName="/word/media/rId569.png" ContentType="image/png"/>
  <Override PartName="/word/media/rId566.png" ContentType="image/png"/>
  <Override PartName="/word/media/rId576.png" ContentType="image/png"/>
  <Override PartName="/word/media/rId572.png" ContentType="image/png"/>
  <Override PartName="/word/media/rId167.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miniCURE:</w:t>
      </w:r>
      <w:r>
        <w:t xml:space="preserve"> </w:t>
      </w:r>
      <w:r>
        <w:t xml:space="preserve">Human</w:t>
      </w:r>
      <w:r>
        <w:t xml:space="preserve"> </w:t>
      </w:r>
      <w:r>
        <w:t xml:space="preserve">Gut</w:t>
      </w:r>
      <w:r>
        <w:t xml:space="preserve"> </w:t>
      </w:r>
      <w:r>
        <w:t xml:space="preserve">16S</w:t>
      </w:r>
      <w:r>
        <w:t xml:space="preserve"> </w:t>
      </w:r>
      <w:r>
        <w:t xml:space="preserve">rRNA</w:t>
      </w:r>
    </w:p>
    <w:p>
      <w:pPr>
        <w:pStyle w:val="Date"/>
      </w:pPr>
      <w:r>
        <w:t xml:space="preserve">June</w:t>
      </w:r>
      <w:r>
        <w:t xml:space="preserve"> </w:t>
      </w:r>
      <w:r>
        <w:t xml:space="preserve">06,</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this-course"/>
    <w:p>
      <w:pPr>
        <w:pStyle w:val="Heading1"/>
      </w:pPr>
      <w:r>
        <w:t xml:space="preserve">About this Course</w:t>
      </w:r>
    </w:p>
    <w:p>
      <w:pPr>
        <w:pStyle w:val="FirstParagraph"/>
      </w:pPr>
      <w:r>
        <w:t xml:space="preserve">This miniCURE has students design an independent research project around a question relating to the human gut microbiome. As they build their project, students will describe microbes using different taxonomic ranks, find and read scientific literature, and think about how community composition, biodiversity, and specific microbes can differ between samples. Finally, students will practice the scientific process to test their own question about the gut microbiome from their chosen dataset.</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dEZtb0TgLbzhbr3HxQElwg8hENur2HMIzseg19OGd0g_g363ea5c3bfa_0_43.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Foundational understanding of</w:t>
      </w:r>
      <w:r>
        <w:t xml:space="preserve"> </w:t>
      </w:r>
      <w:hyperlink r:id="rId23">
        <w:r>
          <w:rPr>
            <w:rStyle w:val="Hyperlink"/>
          </w:rPr>
          <w:t xml:space="preserve">prokaryotes and their relationships with hosts</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Find and read scientific literature</w:t>
      </w:r>
      <w:r>
        <w:t xml:space="preserve"> </w:t>
      </w:r>
      <w:r>
        <w:t xml:space="preserve">to interact with the greater scientific community and build an epistemological identity</w:t>
      </w:r>
    </w:p>
    <w:p>
      <w:pPr>
        <w:numPr>
          <w:ilvl w:val="0"/>
          <w:numId w:val="1001"/>
        </w:numPr>
        <w:pStyle w:val="Compact"/>
      </w:pPr>
      <w:r>
        <w:rPr>
          <w:bCs/>
          <w:b/>
        </w:rPr>
        <w:t xml:space="preserve">Analyze data (i.e. create and interpret plots)</w:t>
      </w:r>
      <w:r>
        <w:t xml:space="preserve"> </w:t>
      </w:r>
      <w:r>
        <w:t xml:space="preserve">to generate novel conclusions and new lines of inquiry based on previous findings.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to identify the advantages of genomic science for large datasets and connect findings to biological insights</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29"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29"/>
    <w:bookmarkEnd w:id="30"/>
    <w:bookmarkStart w:id="48" w:name="instructor-guide"/>
    <w:p>
      <w:pPr>
        <w:pStyle w:val="Heading1"/>
      </w:pPr>
      <w:r>
        <w:t xml:space="preserve">Instructor Guide</w:t>
      </w:r>
    </w:p>
    <w:bookmarkStart w:id="31" w:name="for-instructors"/>
    <w:p>
      <w:pPr>
        <w:pStyle w:val="Heading3"/>
      </w:pPr>
      <w:r>
        <w:t xml:space="preserve">For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p>
      <w:pPr>
        <w:pStyle w:val="BodyText"/>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31"/>
    <w:bookmarkStart w:id="33" w:name="how-c-moor-supports-you"/>
    <w:p>
      <w:pPr>
        <w:pStyle w:val="Heading3"/>
      </w:pP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03"/>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32">
        <w:r>
          <w:rPr>
            <w:rStyle w:val="Hyperlink"/>
          </w:rPr>
          <w:t xml:space="preserve">C-MOOR Academy Discussion Forum</w:t>
        </w:r>
      </w:hyperlink>
      <w:r>
        <w:t xml:space="preserve">. Someone will assist you as soon as you are available.</w:t>
      </w:r>
    </w:p>
    <w:p>
      <w:pPr>
        <w:numPr>
          <w:ilvl w:val="0"/>
          <w:numId w:val="1003"/>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03"/>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33"/>
    <w:bookmarkStart w:id="39" w:name="new-instructor-to-do-list"/>
    <w:p>
      <w:pPr>
        <w:pStyle w:val="Heading3"/>
      </w:pP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04"/>
        </w:numPr>
        <w:pStyle w:val="Compact"/>
      </w:pPr>
      <w:r>
        <w:rPr>
          <w:bCs/>
          <w:b/>
        </w:rPr>
        <w:t xml:space="preserve">Make an introductory post on the</w:t>
      </w:r>
      <w:r>
        <w:rPr>
          <w:bCs/>
          <w:b/>
        </w:rPr>
        <w:t xml:space="preserve"> </w:t>
      </w:r>
      <w:hyperlink r:id="rId32">
        <w:r>
          <w:rPr>
            <w:rStyle w:val="Hyperlink"/>
            <w:bCs/>
            <w:b/>
          </w:rPr>
          <w:t xml:space="preserve">C-MOOR Academy Discussion Forum</w:t>
        </w:r>
      </w:hyperlink>
      <w:r>
        <w:t xml:space="preserve"> </w:t>
      </w:r>
      <w:r>
        <w:t xml:space="preserve">in the general category. We recommend including:</w:t>
      </w:r>
    </w:p>
    <w:p>
      <w:pPr>
        <w:numPr>
          <w:ilvl w:val="0"/>
          <w:numId w:val="1005"/>
        </w:numPr>
        <w:pStyle w:val="Compact"/>
      </w:pPr>
      <w:r>
        <w:t xml:space="preserve">Your name</w:t>
      </w:r>
    </w:p>
    <w:p>
      <w:pPr>
        <w:numPr>
          <w:ilvl w:val="0"/>
          <w:numId w:val="1005"/>
        </w:numPr>
        <w:pStyle w:val="Compact"/>
      </w:pPr>
      <w:r>
        <w:t xml:space="preserve">Your institution</w:t>
      </w:r>
    </w:p>
    <w:p>
      <w:pPr>
        <w:numPr>
          <w:ilvl w:val="0"/>
          <w:numId w:val="1005"/>
        </w:numPr>
        <w:pStyle w:val="Compact"/>
      </w:pPr>
      <w:r>
        <w:t xml:space="preserve">The class you’re teaching that uses C-MOOR modules</w:t>
      </w:r>
    </w:p>
    <w:p>
      <w:pPr>
        <w:numPr>
          <w:ilvl w:val="0"/>
          <w:numId w:val="1005"/>
        </w:numPr>
        <w:pStyle w:val="Compact"/>
      </w:pPr>
      <w:r>
        <w:t xml:space="preserve">Your area of research expertise</w:t>
      </w:r>
    </w:p>
    <w:p>
      <w:pPr>
        <w:numPr>
          <w:ilvl w:val="0"/>
          <w:numId w:val="1005"/>
        </w:numPr>
        <w:pStyle w:val="Compact"/>
      </w:pPr>
      <w:r>
        <w:t xml:space="preserve">Any previous experience with bioinformatics</w:t>
      </w:r>
    </w:p>
    <w:p>
      <w:pPr>
        <w:numPr>
          <w:ilvl w:val="0"/>
          <w:numId w:val="1005"/>
        </w:numPr>
        <w:pStyle w:val="Compact"/>
      </w:pPr>
      <w:r>
        <w:t xml:space="preserve">The cloud platform you will be using to teach (see next item)</w:t>
      </w:r>
    </w:p>
    <w:p>
      <w:pPr>
        <w:numPr>
          <w:ilvl w:val="0"/>
          <w:numId w:val="1006"/>
        </w:numPr>
      </w:pPr>
      <w:r>
        <w:rPr>
          <w:bCs/>
          <w:b/>
        </w:rPr>
        <w:t xml:space="preserve">Set up on a cloud platform</w:t>
      </w:r>
      <w:r>
        <w:t xml:space="preserve">: C-MOOR uses either</w:t>
      </w:r>
      <w:r>
        <w:t xml:space="preserve"> </w:t>
      </w:r>
      <w:hyperlink r:id="rId34">
        <w:r>
          <w:rPr>
            <w:rStyle w:val="Hyperlink"/>
          </w:rPr>
          <w:t xml:space="preserve">SciServer</w:t>
        </w:r>
      </w:hyperlink>
      <w:r>
        <w:t xml:space="preserve"> </w:t>
      </w:r>
      <w:r>
        <w:t xml:space="preserve">or</w:t>
      </w:r>
      <w:r>
        <w:t xml:space="preserve"> </w:t>
      </w:r>
      <w:hyperlink r:id="rId35">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necessary components and provides you easier access to updates. Using a cloud platform will also grant your students access to computing resources beyond their local device.</w:t>
      </w:r>
    </w:p>
    <w:p>
      <w:pPr>
        <w:numPr>
          <w:ilvl w:val="0"/>
          <w:numId w:val="1006"/>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36">
        <w:r>
          <w:rPr>
            <w:rStyle w:val="Hyperlink"/>
          </w:rPr>
          <w:t xml:space="preserve">C-MOOR RNA-seq guide</w:t>
        </w:r>
      </w:hyperlink>
      <w:r>
        <w:t xml:space="preserve"> </w:t>
      </w:r>
      <w:r>
        <w:t xml:space="preserve">and our student made</w:t>
      </w:r>
      <w:r>
        <w:t xml:space="preserve"> </w:t>
      </w:r>
      <w:hyperlink r:id="rId37">
        <w:r>
          <w:rPr>
            <w:rStyle w:val="Hyperlink"/>
          </w:rPr>
          <w:t xml:space="preserve">How To Get Started With Your C-MOOR Project Guide</w:t>
        </w:r>
      </w:hyperlink>
      <w:r>
        <w:t xml:space="preserve">.</w:t>
      </w:r>
    </w:p>
    <w:p>
      <w:pPr>
        <w:numPr>
          <w:ilvl w:val="0"/>
          <w:numId w:val="1006"/>
        </w:numPr>
      </w:pPr>
      <w:r>
        <w:rPr>
          <w:bCs/>
          <w:b/>
        </w:rPr>
        <w:t xml:space="preserve">Look over our generic</w:t>
      </w:r>
      <w:r>
        <w:rPr>
          <w:bCs/>
          <w:b/>
        </w:rPr>
        <w:t xml:space="preserve"> </w:t>
      </w:r>
      <w:hyperlink r:id="rId38">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06"/>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06"/>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39"/>
    <w:bookmarkStart w:id="47"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40">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41">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42">
              <w:r>
                <w:rPr>
                  <w:rStyle w:val="Hyperlink"/>
                </w:rPr>
                <w:t xml:space="preserve">#2: 16S rRNA Data in spreadsheets</w:t>
              </w:r>
            </w:hyperlink>
          </w:p>
        </w:tc>
        <w:tc>
          <w:tcPr/>
          <w:p>
            <w:pPr>
              <w:pStyle w:val="Compact"/>
              <w:jc w:val="center"/>
            </w:pPr>
            <w:r>
              <w:t xml:space="preserve">Full lab</w:t>
            </w:r>
          </w:p>
        </w:tc>
        <w:tc>
          <w:tcPr/>
          <w:p>
            <w:pPr>
              <w:pStyle w:val="Compact"/>
            </w:pPr>
          </w:p>
        </w:tc>
      </w:tr>
      <w:tr>
        <w:tc>
          <w:tcPr/>
          <w:p>
            <w:pPr>
              <w:pStyle w:val="Compact"/>
              <w:jc w:val="left"/>
            </w:pPr>
            <w:hyperlink r:id="rId43">
              <w:r>
                <w:rPr>
                  <w:rStyle w:val="Hyperlink"/>
                </w:rPr>
                <w:t xml:space="preserve">#3: Exploring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4">
              <w:r>
                <w:rPr>
                  <w:rStyle w:val="Hyperlink"/>
                </w:rPr>
                <w:t xml:space="preserve">#4: Analyzing 16S rRNA Data with Phyloseq</w:t>
              </w:r>
            </w:hyperlink>
          </w:p>
        </w:tc>
        <w:tc>
          <w:tcPr/>
          <w:p>
            <w:pPr>
              <w:pStyle w:val="Compact"/>
              <w:jc w:val="center"/>
            </w:pPr>
            <w:r>
              <w:t xml:space="preserve">Full lab</w:t>
            </w:r>
          </w:p>
        </w:tc>
        <w:tc>
          <w:tcPr/>
          <w:p>
            <w:pPr>
              <w:pStyle w:val="Compact"/>
            </w:pPr>
          </w:p>
        </w:tc>
      </w:tr>
      <w:tr>
        <w:tc>
          <w:tcPr/>
          <w:p>
            <w:pPr>
              <w:pStyle w:val="Compact"/>
              <w:jc w:val="left"/>
            </w:pPr>
            <w:hyperlink r:id="rId45">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6">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7"/>
    <w:bookmarkEnd w:id="48"/>
    <w:bookmarkStart w:id="166" w:name="introduction"/>
    <w:p>
      <w:pPr>
        <w:pStyle w:val="Heading1"/>
      </w:pPr>
      <w:r>
        <w:rPr>
          <w:rStyle w:val="SectionNumber"/>
        </w:rPr>
        <w:t xml:space="preserve">1</w:t>
      </w:r>
      <w:r>
        <w:tab/>
      </w:r>
      <w:r>
        <w:t xml:space="preserve">Introduction</w:t>
      </w:r>
    </w:p>
    <w:bookmarkStart w:id="57" w:name="c-moor-minicure-overview"/>
    <w:p>
      <w:pPr>
        <w:pStyle w:val="Heading2"/>
      </w:pPr>
      <w:r>
        <w:rPr>
          <w:rStyle w:val="SectionNumber"/>
        </w:rPr>
        <w:t xml:space="preserve">1.1</w:t>
      </w:r>
      <w:r>
        <w:tab/>
      </w:r>
      <w:r>
        <w:t xml:space="preserve">C-MOOR miniCURE Overview</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3" w:name="what-is-c-moor"/>
    <w:p>
      <w:pPr>
        <w:pStyle w:val="Heading3"/>
      </w:pPr>
      <w:r>
        <w:rPr>
          <w:rStyle w:val="SectionNumber"/>
        </w:rPr>
        <w:t xml:space="preserve">1.1.1</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50" name="Picture"/>
            <a:graphic>
              <a:graphicData uri="http://schemas.openxmlformats.org/drawingml/2006/picture">
                <pic:pic>
                  <pic:nvPicPr>
                    <pic:cNvPr descr="introduction_files/figure-docx//1dI8-_iVqbkzNMf11M4dK85E8ZW3OyZECs_YwMKw5fhs_g365128907e6_0_158.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7"/>
        </w:numPr>
        <w:pStyle w:val="Compact"/>
      </w:pPr>
      <w:r>
        <w:rPr>
          <w:bCs/>
          <w:b/>
        </w:rPr>
        <w:t xml:space="preserve">Students taught:</w:t>
      </w:r>
      <w:r>
        <w:t xml:space="preserve"> </w:t>
      </w:r>
      <w:r>
        <w:t xml:space="preserve">950+.</w:t>
      </w:r>
    </w:p>
    <w:p>
      <w:pPr>
        <w:numPr>
          <w:ilvl w:val="0"/>
          <w:numId w:val="1007"/>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7"/>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52">
        <w:r>
          <w:rPr>
            <w:rStyle w:val="Hyperlink"/>
          </w:rPr>
          <w:t xml:space="preserve">here</w:t>
        </w:r>
      </w:hyperlink>
      <w:r>
        <w:t xml:space="preserve">!</w:t>
      </w:r>
    </w:p>
    <w:p>
      <w:pPr>
        <w:numPr>
          <w:ilvl w:val="0"/>
          <w:numId w:val="1007"/>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53"/>
    <w:bookmarkStart w:id="55" w:name="why-data-science"/>
    <w:p>
      <w:pPr>
        <w:pStyle w:val="Heading3"/>
      </w:pPr>
      <w:r>
        <w:rPr>
          <w:rStyle w:val="SectionNumber"/>
        </w:rPr>
        <w:t xml:space="preserve">1.1.2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4">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5"/>
    <w:bookmarkStart w:id="56" w:name="learning-goals-1"/>
    <w:p>
      <w:pPr>
        <w:pStyle w:val="Heading3"/>
      </w:pPr>
      <w:r>
        <w:rPr>
          <w:rStyle w:val="SectionNumber"/>
        </w:rPr>
        <w:t xml:space="preserve">1.1.3</w:t>
      </w:r>
      <w:r>
        <w:tab/>
      </w:r>
      <w:r>
        <w:t xml:space="preserve">Learning Goals</w:t>
      </w:r>
    </w:p>
    <w:p>
      <w:pPr>
        <w:numPr>
          <w:ilvl w:val="0"/>
          <w:numId w:val="1008"/>
        </w:numPr>
        <w:pStyle w:val="Compact"/>
      </w:pPr>
      <w:r>
        <w:t xml:space="preserve">Engage with real and current scientific data</w:t>
      </w:r>
    </w:p>
    <w:p>
      <w:pPr>
        <w:numPr>
          <w:ilvl w:val="0"/>
          <w:numId w:val="1008"/>
        </w:numPr>
        <w:pStyle w:val="Compact"/>
      </w:pPr>
      <w:r>
        <w:t xml:space="preserve">Explore available research resources online</w:t>
      </w:r>
    </w:p>
    <w:p>
      <w:pPr>
        <w:numPr>
          <w:ilvl w:val="0"/>
          <w:numId w:val="1008"/>
        </w:numPr>
        <w:pStyle w:val="Compact"/>
      </w:pPr>
      <w:r>
        <w:t xml:space="preserve">Recognize the interdisciplinary nature of biological sciences</w:t>
      </w:r>
    </w:p>
    <w:p>
      <w:pPr>
        <w:numPr>
          <w:ilvl w:val="0"/>
          <w:numId w:val="1008"/>
        </w:numPr>
        <w:pStyle w:val="Compact"/>
      </w:pPr>
      <w:r>
        <w:t xml:space="preserve">Synthesize findings from scientific literature</w:t>
      </w:r>
    </w:p>
    <w:p>
      <w:pPr>
        <w:numPr>
          <w:ilvl w:val="0"/>
          <w:numId w:val="1008"/>
        </w:numPr>
        <w:pStyle w:val="Compact"/>
      </w:pPr>
      <w:r>
        <w:t xml:space="preserve">Summarize findings and discuss results with your peers</w:t>
      </w:r>
    </w:p>
    <w:p>
      <w:pPr>
        <w:numPr>
          <w:ilvl w:val="0"/>
          <w:numId w:val="1008"/>
        </w:numPr>
        <w:pStyle w:val="Compact"/>
      </w:pPr>
      <w:r>
        <w:t xml:space="preserve">Collaborate with peers on a data exploration activity</w:t>
      </w:r>
    </w:p>
    <w:bookmarkEnd w:id="56"/>
    <w:bookmarkEnd w:id="57"/>
    <w:bookmarkStart w:id="64"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9" name="Picture"/>
            <a:graphic>
              <a:graphicData uri="http://schemas.openxmlformats.org/drawingml/2006/picture">
                <pic:pic>
                  <pic:nvPicPr>
                    <pic:cNvPr descr="https://img.youtube.com/vi/5kcAc20Bus8/0.jpg" id="60" name="Picture"/>
                    <pic:cNvPicPr>
                      <a:picLocks noChangeArrowheads="1" noChangeAspect="1"/>
                    </pic:cNvPicPr>
                  </pic:nvPicPr>
                  <pic:blipFill>
                    <a:blip r:embed="rId58"/>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1">
        <w:r>
          <w:rPr>
            <w:rStyle w:val="Hyperlink"/>
          </w:rPr>
          <w:t xml:space="preserve">video</w:t>
        </w:r>
      </w:hyperlink>
      <w:r>
        <w:t xml:space="preserve">][</w:t>
      </w:r>
      <w:hyperlink r:id="rId62">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9"/>
        </w:numPr>
        <w:pStyle w:val="Compact"/>
      </w:pPr>
      <w:r>
        <w:t xml:space="preserve">Exploration and Discovery</w:t>
      </w:r>
    </w:p>
    <w:p>
      <w:pPr>
        <w:numPr>
          <w:ilvl w:val="0"/>
          <w:numId w:val="1009"/>
        </w:numPr>
        <w:pStyle w:val="Compact"/>
      </w:pPr>
      <w:r>
        <w:t xml:space="preserve">Testing Ideas</w:t>
      </w:r>
    </w:p>
    <w:p>
      <w:pPr>
        <w:numPr>
          <w:ilvl w:val="0"/>
          <w:numId w:val="1009"/>
        </w:numPr>
        <w:pStyle w:val="Compact"/>
      </w:pPr>
      <w:r>
        <w:t xml:space="preserve">Community Analysis and Feedback</w:t>
      </w:r>
    </w:p>
    <w:p>
      <w:pPr>
        <w:numPr>
          <w:ilvl w:val="0"/>
          <w:numId w:val="1009"/>
        </w:numPr>
        <w:pStyle w:val="Compact"/>
      </w:pPr>
      <w:r>
        <w:t xml:space="preserve">Benefits and Outcomes</w:t>
      </w:r>
    </w:p>
    <w:p>
      <w:pPr>
        <w:pStyle w:val="FirstParagraph"/>
      </w:pPr>
      <w:r>
        <w:t xml:space="preserve">Learn more at</w:t>
      </w:r>
      <w:r>
        <w:t xml:space="preserve"> </w:t>
      </w:r>
      <w:hyperlink r:id="rId63">
        <w:r>
          <w:rPr>
            <w:rStyle w:val="Hyperlink"/>
          </w:rPr>
          <w:t xml:space="preserve">Understanding Science 101</w:t>
        </w:r>
      </w:hyperlink>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64"/>
    <w:bookmarkStart w:id="107" w:name="sciserver-onboarding"/>
    <w:p>
      <w:pPr>
        <w:pStyle w:val="Heading2"/>
      </w:pPr>
      <w:r>
        <w:rPr>
          <w:rStyle w:val="SectionNumber"/>
        </w:rPr>
        <w:t xml:space="preserve">1.3</w:t>
      </w:r>
      <w:r>
        <w:tab/>
      </w:r>
      <w:r>
        <w:t xml:space="preserve">SciServer Onboarding</w:t>
      </w:r>
    </w:p>
    <w:bookmarkStart w:id="82" w:name="join-sciserver"/>
    <w:p>
      <w:pPr>
        <w:pStyle w:val="Heading3"/>
      </w:pPr>
      <w:r>
        <w:rPr>
          <w:rStyle w:val="SectionNumber"/>
        </w:rPr>
        <w:t xml:space="preserve">1.3.1</w:t>
      </w:r>
      <w:r>
        <w:tab/>
      </w:r>
      <w:r>
        <w:t xml:space="preserve">Join SciServer</w:t>
      </w:r>
    </w:p>
    <w:bookmarkStart w:id="65" w:name="purpose"/>
    <w:p>
      <w:pPr>
        <w:pStyle w:val="Heading4"/>
      </w:pPr>
      <w:r>
        <w:rPr>
          <w:rStyle w:val="SectionNumber"/>
        </w:rPr>
        <w:t xml:space="preserve">1.3.1.1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65"/>
    <w:bookmarkStart w:id="68" w:name="learning-objectives"/>
    <w:p>
      <w:pPr>
        <w:pStyle w:val="Heading4"/>
      </w:pPr>
      <w:r>
        <w:rPr>
          <w:rStyle w:val="SectionNumber"/>
        </w:rPr>
        <w:t xml:space="preserve">1.3.1.2</w:t>
      </w:r>
      <w:r>
        <w:tab/>
      </w:r>
      <w:r>
        <w:t xml:space="preserve">Learning Objectives</w:t>
      </w:r>
    </w:p>
    <w:p>
      <w:pPr>
        <w:numPr>
          <w:ilvl w:val="0"/>
          <w:numId w:val="1010"/>
        </w:numPr>
        <w:pStyle w:val="Compact"/>
      </w:pPr>
      <w:r>
        <w:t xml:space="preserve">Create an account on SciServer</w:t>
      </w:r>
    </w:p>
    <w:p>
      <w:pPr>
        <w:numPr>
          <w:ilvl w:val="0"/>
          <w:numId w:val="1010"/>
        </w:numPr>
        <w:pStyle w:val="Compact"/>
      </w:pPr>
      <w:r>
        <w:t xml:space="preserve">Confirm your email address</w:t>
      </w:r>
    </w:p>
    <w:p>
      <w:pPr>
        <w:numPr>
          <w:ilvl w:val="0"/>
          <w:numId w:val="1010"/>
        </w:numPr>
        <w:pStyle w:val="Compact"/>
      </w:pPr>
      <w:r>
        <w:t xml:space="preserve">Share your username with your instructor</w:t>
      </w:r>
    </w:p>
    <w:p>
      <w:pPr>
        <w:numPr>
          <w:ilvl w:val="0"/>
          <w:numId w:val="1010"/>
        </w:numPr>
        <w:pStyle w:val="Compact"/>
      </w:pPr>
      <w:r>
        <w:t xml:space="preserve">Confirm your access to class materials on SciServer</w:t>
      </w:r>
    </w:p>
    <w:p>
      <w:pPr>
        <w:pStyle w:val="FirstParagraph"/>
      </w:pPr>
      <w:r>
        <w:t xml:space="preserve">This video (</w:t>
      </w:r>
      <w:hyperlink r:id="rId66">
        <w:r>
          <w:rPr>
            <w:rStyle w:val="Hyperlink"/>
          </w:rPr>
          <w:t xml:space="preserve">video</w:t>
        </w:r>
      </w:hyperlink>
      <w:r>
        <w:t xml:space="preserve">)(</w:t>
      </w:r>
      <w:hyperlink r:id="rId67">
        <w:r>
          <w:rPr>
            <w:rStyle w:val="Hyperlink"/>
          </w:rPr>
          <w:t xml:space="preserve">slides</w:t>
        </w:r>
      </w:hyperlink>
      <w:r>
        <w:t xml:space="preserve">) shows you how to create a SciServer account. You can follow along with the video, or follow the steps below.</w:t>
      </w:r>
    </w:p>
    <w:bookmarkEnd w:id="68"/>
    <w:bookmarkStart w:id="72" w:name="introduction-1"/>
    <w:p>
      <w:pPr>
        <w:pStyle w:val="Heading4"/>
      </w:pPr>
      <w:r>
        <w:rPr>
          <w:rStyle w:val="SectionNumber"/>
        </w:rPr>
        <w:t xml:space="preserve">1.3.1.3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0" name="Picture"/>
            <a:graphic>
              <a:graphicData uri="http://schemas.openxmlformats.org/drawingml/2006/picture">
                <pic:pic>
                  <pic:nvPicPr>
                    <pic:cNvPr descr="introduction_files/figure-docx//1Q_U1qCEqpwknpOUG4gcuN_-w7ytPCtyfwCF5CGe5bAM_g344f6de1efa_0_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bookmarkEnd w:id="72"/>
    <w:bookmarkStart w:id="73" w:name="part-1-create-an-account-on-sciserver"/>
    <w:p>
      <w:pPr>
        <w:pStyle w:val="Heading4"/>
      </w:pPr>
      <w:r>
        <w:rPr>
          <w:rStyle w:val="SectionNumber"/>
        </w:rPr>
        <w:t xml:space="preserve">1.3.1.4</w:t>
      </w:r>
      <w:r>
        <w:tab/>
      </w:r>
      <w:r>
        <w:t xml:space="preserve">Part 1 – Create an account on SciServer</w:t>
      </w:r>
    </w:p>
    <w:p>
      <w:pPr>
        <w:numPr>
          <w:ilvl w:val="0"/>
          <w:numId w:val="1011"/>
        </w:numPr>
        <w:pStyle w:val="Compact"/>
      </w:pPr>
      <w:r>
        <w:t xml:space="preserve">Open</w:t>
      </w:r>
      <w:r>
        <w:t xml:space="preserve"> </w:t>
      </w:r>
      <w:hyperlink r:id="rId34">
        <w:r>
          <w:rPr>
            <w:rStyle w:val="Hyperlink"/>
          </w:rPr>
          <w:t xml:space="preserve">sciserver.org</w:t>
        </w:r>
      </w:hyperlink>
      <w:r>
        <w:t xml:space="preserve"> </w:t>
      </w:r>
      <w:r>
        <w:t xml:space="preserve">in a web browser</w:t>
      </w:r>
    </w:p>
    <w:p>
      <w:pPr>
        <w:numPr>
          <w:ilvl w:val="1"/>
          <w:numId w:val="1012"/>
        </w:numPr>
        <w:pStyle w:val="Compact"/>
      </w:pPr>
      <w:r>
        <w:t xml:space="preserve">It is a good idea to bookmark this page so that you can easily access it throughout the course.</w:t>
      </w:r>
    </w:p>
    <w:p>
      <w:pPr>
        <w:numPr>
          <w:ilvl w:val="0"/>
          <w:numId w:val="1011"/>
        </w:numPr>
        <w:pStyle w:val="Compact"/>
      </w:pPr>
      <w:r>
        <w:t xml:space="preserve">Click</w:t>
      </w:r>
      <w:r>
        <w:t xml:space="preserve"> </w:t>
      </w:r>
      <w:r>
        <w:t xml:space="preserve">“</w:t>
      </w:r>
      <w:r>
        <w:t xml:space="preserve">Login to SciServer</w:t>
      </w:r>
      <w:r>
        <w:t xml:space="preserve">”</w:t>
      </w:r>
    </w:p>
    <w:p>
      <w:pPr>
        <w:numPr>
          <w:ilvl w:val="0"/>
          <w:numId w:val="1011"/>
        </w:numPr>
        <w:pStyle w:val="Compact"/>
      </w:pPr>
      <w:r>
        <w:t xml:space="preserve">Click</w:t>
      </w:r>
      <w:r>
        <w:t xml:space="preserve"> </w:t>
      </w:r>
      <w:r>
        <w:t xml:space="preserve">“</w:t>
      </w:r>
      <w:r>
        <w:t xml:space="preserve">Create a new account</w:t>
      </w:r>
      <w:r>
        <w:t xml:space="preserve">”</w:t>
      </w:r>
    </w:p>
    <w:p>
      <w:pPr>
        <w:numPr>
          <w:ilvl w:val="0"/>
          <w:numId w:val="1011"/>
        </w:numPr>
        <w:pStyle w:val="Compact"/>
      </w:pPr>
      <w:r>
        <w:t xml:space="preserve">Enter a User name, Email, etc. and click</w:t>
      </w:r>
      <w:r>
        <w:t xml:space="preserve"> </w:t>
      </w:r>
      <w:r>
        <w:t xml:space="preserve">“</w:t>
      </w:r>
      <w:r>
        <w:t xml:space="preserve">Create account</w:t>
      </w:r>
      <w:r>
        <w:t xml:space="preserve">”</w:t>
      </w:r>
    </w:p>
    <w:p>
      <w:pPr>
        <w:numPr>
          <w:ilvl w:val="1"/>
          <w:numId w:val="1013"/>
        </w:numPr>
        <w:pStyle w:val="Compact"/>
      </w:pPr>
      <w:r>
        <w:t xml:space="preserve">Note that you cannot change your username once you have made your account</w:t>
      </w:r>
    </w:p>
    <w:bookmarkEnd w:id="73"/>
    <w:bookmarkStart w:id="74" w:name="part-2-confirm-your-email-address"/>
    <w:p>
      <w:pPr>
        <w:pStyle w:val="Heading4"/>
      </w:pPr>
      <w:r>
        <w:rPr>
          <w:rStyle w:val="SectionNumber"/>
        </w:rPr>
        <w:t xml:space="preserve">1.3.1.5</w:t>
      </w:r>
      <w:r>
        <w:tab/>
      </w:r>
      <w:r>
        <w:t xml:space="preserve">Part 2 – Confirm your email address</w:t>
      </w:r>
    </w:p>
    <w:p>
      <w:pPr>
        <w:numPr>
          <w:ilvl w:val="0"/>
          <w:numId w:val="1014"/>
        </w:numPr>
        <w:pStyle w:val="Compact"/>
      </w:pPr>
      <w:r>
        <w:rPr>
          <w:bCs/>
          <w:b/>
        </w:rPr>
        <w:t xml:space="preserve">Important!</w:t>
      </w:r>
      <w:r>
        <w:t xml:space="preserve">: Click the verification link in your email inbox.</w:t>
      </w:r>
    </w:p>
    <w:p>
      <w:pPr>
        <w:numPr>
          <w:ilvl w:val="1"/>
          <w:numId w:val="1015"/>
        </w:numPr>
        <w:pStyle w:val="Compact"/>
      </w:pPr>
      <w:r>
        <w:t xml:space="preserve">If you do not verify your account you will get locked out and will need to contact your instructor to unlock your account.</w:t>
      </w:r>
    </w:p>
    <w:p>
      <w:pPr>
        <w:numPr>
          <w:ilvl w:val="1"/>
          <w:numId w:val="1015"/>
        </w:numPr>
        <w:pStyle w:val="Compact"/>
      </w:pPr>
      <w:r>
        <w:t xml:space="preserve">If you do not see an email, try checking your spam folder.</w:t>
      </w:r>
    </w:p>
    <w:p>
      <w:pPr>
        <w:numPr>
          <w:ilvl w:val="0"/>
          <w:numId w:val="1014"/>
        </w:numPr>
        <w:pStyle w:val="Compact"/>
      </w:pPr>
      <w:r>
        <w:t xml:space="preserve">After clicking the verification link, confirm that your username appears in the upper right hand corner.</w:t>
      </w:r>
    </w:p>
    <w:bookmarkEnd w:id="74"/>
    <w:bookmarkStart w:id="75" w:name="X82523b5844014ad1632b826f46c76ed45d12fd3"/>
    <w:p>
      <w:pPr>
        <w:pStyle w:val="Heading4"/>
      </w:pPr>
      <w:r>
        <w:rPr>
          <w:rStyle w:val="SectionNumber"/>
        </w:rPr>
        <w:t xml:space="preserve">1.3.1.6</w:t>
      </w:r>
      <w:r>
        <w:tab/>
      </w:r>
      <w:r>
        <w:t xml:space="preserve">Part 3 – 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16"/>
        </w:numPr>
        <w:pStyle w:val="Compact"/>
      </w:pPr>
      <w:r>
        <w:t xml:space="preserve">Share your username with you instructor and await invitation to the SciServer group</w:t>
      </w:r>
    </w:p>
    <w:bookmarkEnd w:id="75"/>
    <w:bookmarkStart w:id="78" w:name="X7c6ee95bc1a39054b9caf62ecd5f695dabe5e87"/>
    <w:p>
      <w:pPr>
        <w:pStyle w:val="Heading4"/>
      </w:pPr>
      <w:r>
        <w:rPr>
          <w:rStyle w:val="SectionNumber"/>
        </w:rPr>
        <w:t xml:space="preserve">1.3.1.7</w:t>
      </w:r>
      <w:r>
        <w:tab/>
      </w:r>
      <w:r>
        <w:t xml:space="preserve">Part 4 – Accept the invitation to join a SciServer group</w:t>
      </w:r>
    </w:p>
    <w:p>
      <w:pPr>
        <w:pStyle w:val="FirstParagraph"/>
      </w:pPr>
      <w:r>
        <w:t xml:space="preserve">This video (</w:t>
      </w:r>
      <w:hyperlink r:id="rId76">
        <w:r>
          <w:rPr>
            <w:rStyle w:val="Hyperlink"/>
          </w:rPr>
          <w:t xml:space="preserve">video</w:t>
        </w:r>
      </w:hyperlink>
      <w:r>
        <w:t xml:space="preserve">)(</w:t>
      </w:r>
      <w:hyperlink r:id="rId77">
        <w:r>
          <w:rPr>
            <w:rStyle w:val="Hyperlink"/>
          </w:rPr>
          <w:t xml:space="preserve">slides</w:t>
        </w:r>
      </w:hyperlink>
      <w:r>
        <w:t xml:space="preserve">) shows you how to join a SciServer group. You can follow along with the video, or follow the steps below.</w:t>
      </w:r>
    </w:p>
    <w:p>
      <w:pPr>
        <w:numPr>
          <w:ilvl w:val="0"/>
          <w:numId w:val="1017"/>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0"/>
          <w:numId w:val="1017"/>
        </w:numPr>
        <w:pStyle w:val="Compact"/>
      </w:pPr>
      <w:r>
        <w:t xml:space="preserve">Click</w:t>
      </w:r>
      <w:r>
        <w:t xml:space="preserve"> </w:t>
      </w:r>
      <w:r>
        <w:t xml:space="preserve">“</w:t>
      </w:r>
      <w:r>
        <w:t xml:space="preserve">Groups</w:t>
      </w:r>
      <w:r>
        <w:t xml:space="preserve">”</w:t>
      </w:r>
    </w:p>
    <w:p>
      <w:pPr>
        <w:numPr>
          <w:ilvl w:val="0"/>
          <w:numId w:val="1017"/>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8"/>
        </w:numPr>
        <w:pStyle w:val="Compact"/>
      </w:pPr>
      <w:r>
        <w:t xml:space="preserve">Your instructor must have your username to invite you to the group. If you do not see an invitation, contact your instructor with your SciServer username.</w:t>
      </w:r>
    </w:p>
    <w:p>
      <w:pPr>
        <w:numPr>
          <w:ilvl w:val="0"/>
          <w:numId w:val="1017"/>
        </w:numPr>
        <w:pStyle w:val="Compact"/>
      </w:pPr>
      <w:r>
        <w:t xml:space="preserve">Confirm that you can access course data</w:t>
      </w:r>
    </w:p>
    <w:p>
      <w:pPr>
        <w:numPr>
          <w:ilvl w:val="1"/>
          <w:numId w:val="1019"/>
        </w:numPr>
        <w:pStyle w:val="Compact"/>
      </w:pPr>
      <w:r>
        <w:t xml:space="preserve">On the top menu bar, click</w:t>
      </w:r>
      <w:r>
        <w:t xml:space="preserve"> </w:t>
      </w:r>
      <w:r>
        <w:t xml:space="preserve">“</w:t>
      </w:r>
      <w:r>
        <w:t xml:space="preserve">Files</w:t>
      </w:r>
      <w:r>
        <w:t xml:space="preserve">”</w:t>
      </w:r>
    </w:p>
    <w:p>
      <w:pPr>
        <w:numPr>
          <w:ilvl w:val="1"/>
          <w:numId w:val="1019"/>
        </w:numPr>
        <w:pStyle w:val="Compact"/>
      </w:pPr>
      <w:r>
        <w:t xml:space="preserve">On the left-hand menu, click</w:t>
      </w:r>
      <w:r>
        <w:t xml:space="preserve"> </w:t>
      </w:r>
      <w:r>
        <w:t xml:space="preserve">“</w:t>
      </w:r>
      <w:r>
        <w:t xml:space="preserve">Data Volumes</w:t>
      </w:r>
      <w:r>
        <w:t xml:space="preserve">”</w:t>
      </w:r>
    </w:p>
    <w:p>
      <w:pPr>
        <w:numPr>
          <w:ilvl w:val="1"/>
          <w:numId w:val="1019"/>
        </w:numPr>
        <w:pStyle w:val="Compact"/>
      </w:pPr>
      <w:r>
        <w:t xml:space="preserve">Confirm that you see</w:t>
      </w:r>
      <w:r>
        <w:t xml:space="preserve"> </w:t>
      </w:r>
      <w:r>
        <w:t xml:space="preserve">“</w:t>
      </w:r>
      <w:r>
        <w:t xml:space="preserve">C-MOOR-Data</w:t>
      </w:r>
      <w:r>
        <w:t xml:space="preserve">”</w:t>
      </w:r>
    </w:p>
    <w:p>
      <w:pPr>
        <w:numPr>
          <w:ilvl w:val="0"/>
          <w:numId w:val="1017"/>
        </w:numPr>
        <w:pStyle w:val="Compact"/>
      </w:pPr>
      <w:r>
        <w:t xml:space="preserve">Confirm that you can access course computing resources</w:t>
      </w:r>
    </w:p>
    <w:p>
      <w:pPr>
        <w:numPr>
          <w:ilvl w:val="1"/>
          <w:numId w:val="102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0"/>
        </w:numPr>
        <w:pStyle w:val="Compact"/>
      </w:pPr>
      <w:r>
        <w:t xml:space="preserve">Scroll down to the second set of boxes and click</w:t>
      </w:r>
      <w:r>
        <w:t xml:space="preserve"> </w:t>
      </w:r>
      <w:r>
        <w:t xml:space="preserve">“</w:t>
      </w:r>
      <w:r>
        <w:t xml:space="preserve">Compute</w:t>
      </w:r>
      <w:r>
        <w:t xml:space="preserve">”</w:t>
      </w:r>
    </w:p>
    <w:p>
      <w:pPr>
        <w:numPr>
          <w:ilvl w:val="1"/>
          <w:numId w:val="1020"/>
        </w:numPr>
        <w:pStyle w:val="Compact"/>
      </w:pPr>
      <w:r>
        <w:t xml:space="preserve">Click</w:t>
      </w:r>
      <w:r>
        <w:t xml:space="preserve"> </w:t>
      </w:r>
      <w:r>
        <w:t xml:space="preserve">“</w:t>
      </w:r>
      <w:r>
        <w:t xml:space="preserve">Create container</w:t>
      </w:r>
      <w:r>
        <w:t xml:space="preserve">”</w:t>
      </w:r>
    </w:p>
    <w:p>
      <w:pPr>
        <w:numPr>
          <w:ilvl w:val="1"/>
          <w:numId w:val="1020"/>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0"/>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0"/>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End w:id="78"/>
    <w:bookmarkStart w:id="79" w:name="troubleshooting"/>
    <w:p>
      <w:pPr>
        <w:pStyle w:val="Heading4"/>
      </w:pPr>
      <w:r>
        <w:rPr>
          <w:rStyle w:val="SectionNumber"/>
        </w:rPr>
        <w:t xml:space="preserve">1.3.1.8</w:t>
      </w:r>
      <w:r>
        <w:tab/>
      </w:r>
      <w:r>
        <w:t xml:space="preserve">Troubleshooting</w:t>
      </w:r>
    </w:p>
    <w:p>
      <w:pPr>
        <w:numPr>
          <w:ilvl w:val="0"/>
          <w:numId w:val="1021"/>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79"/>
    <w:bookmarkStart w:id="81" w:name="footnotes"/>
    <w:p>
      <w:pPr>
        <w:pStyle w:val="Heading4"/>
      </w:pPr>
      <w:r>
        <w:rPr>
          <w:rStyle w:val="SectionNumber"/>
        </w:rPr>
        <w:t xml:space="preserve">1.3.1.9</w:t>
      </w:r>
      <w:r>
        <w:tab/>
      </w:r>
      <w:r>
        <w:t xml:space="preserve">Footnotes</w:t>
      </w:r>
    </w:p>
    <w:bookmarkStart w:id="80" w:name="contributions-and-affiliations"/>
    <w:p>
      <w:pPr>
        <w:pStyle w:val="Heading5"/>
      </w:pPr>
      <w:r>
        <w:rPr>
          <w:rStyle w:val="SectionNumber"/>
        </w:rPr>
        <w:t xml:space="preserve">1.3.1.9.1</w:t>
      </w:r>
      <w:r>
        <w:tab/>
      </w:r>
      <w:r>
        <w:t xml:space="preserve">Contributions and Affiliations</w:t>
      </w:r>
    </w:p>
    <w:p>
      <w:pPr>
        <w:numPr>
          <w:ilvl w:val="0"/>
          <w:numId w:val="1022"/>
        </w:numPr>
        <w:pStyle w:val="Compact"/>
      </w:pPr>
      <w:r>
        <w:t xml:space="preserve">Katherine Cox, Johns Hopkins University</w:t>
      </w:r>
    </w:p>
    <w:p>
      <w:pPr>
        <w:numPr>
          <w:ilvl w:val="0"/>
          <w:numId w:val="1022"/>
        </w:numPr>
        <w:pStyle w:val="Compact"/>
      </w:pPr>
      <w:r>
        <w:t xml:space="preserve">Frederick Tan, Carnegie Institution</w:t>
      </w:r>
    </w:p>
    <w:p>
      <w:pPr>
        <w:numPr>
          <w:ilvl w:val="0"/>
          <w:numId w:val="1022"/>
        </w:numPr>
        <w:pStyle w:val="Compact"/>
      </w:pPr>
      <w:r>
        <w:t xml:space="preserve">Sayumi York, Notre Dame of Maryland University</w:t>
      </w:r>
    </w:p>
    <w:p>
      <w:pPr>
        <w:pStyle w:val="FirstParagraph"/>
      </w:pPr>
      <w:r>
        <w:t xml:space="preserve">Last Revised: June 5, 2026</w:t>
      </w:r>
    </w:p>
    <w:bookmarkEnd w:id="80"/>
    <w:bookmarkEnd w:id="81"/>
    <w:bookmarkEnd w:id="82"/>
    <w:bookmarkStart w:id="106" w:name="running-modules-on-sciserver"/>
    <w:p>
      <w:pPr>
        <w:pStyle w:val="Heading3"/>
      </w:pPr>
      <w:r>
        <w:rPr>
          <w:rStyle w:val="SectionNumber"/>
        </w:rPr>
        <w:t xml:space="preserve">1.3.2</w:t>
      </w:r>
      <w:r>
        <w:tab/>
      </w:r>
      <w:r>
        <w:t xml:space="preserve">Running modules on SciServer</w:t>
      </w:r>
    </w:p>
    <w:bookmarkStart w:id="83" w:name="purpose-1"/>
    <w:p>
      <w:pPr>
        <w:pStyle w:val="Heading4"/>
      </w:pPr>
      <w:r>
        <w:rPr>
          <w:rStyle w:val="SectionNumber"/>
        </w:rPr>
        <w:t xml:space="preserve">1.3.2.1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83"/>
    <w:bookmarkStart w:id="84" w:name="learning-objectives-1"/>
    <w:p>
      <w:pPr>
        <w:pStyle w:val="Heading4"/>
      </w:pPr>
      <w:r>
        <w:rPr>
          <w:rStyle w:val="SectionNumber"/>
        </w:rPr>
        <w:t xml:space="preserve">1.3.2.2</w:t>
      </w:r>
      <w:r>
        <w:tab/>
      </w:r>
      <w:r>
        <w:t xml:space="preserve">Learning Objectives</w:t>
      </w:r>
    </w:p>
    <w:p>
      <w:pPr>
        <w:numPr>
          <w:ilvl w:val="0"/>
          <w:numId w:val="1023"/>
        </w:numPr>
        <w:pStyle w:val="Compact"/>
      </w:pPr>
      <w:r>
        <w:t xml:space="preserve">Start up a C-MOOR LearnR compute container</w:t>
      </w:r>
    </w:p>
    <w:p>
      <w:pPr>
        <w:numPr>
          <w:ilvl w:val="0"/>
          <w:numId w:val="1023"/>
        </w:numPr>
        <w:pStyle w:val="Compact"/>
      </w:pPr>
      <w:r>
        <w:t xml:space="preserve">Access a C-MOOR module</w:t>
      </w:r>
    </w:p>
    <w:p>
      <w:pPr>
        <w:numPr>
          <w:ilvl w:val="0"/>
          <w:numId w:val="1023"/>
        </w:numPr>
        <w:pStyle w:val="Compact"/>
      </w:pPr>
      <w:r>
        <w:t xml:space="preserve">Delete your C-MOOR LearnR compute container when finished</w:t>
      </w:r>
    </w:p>
    <w:bookmarkEnd w:id="84"/>
    <w:bookmarkStart w:id="85" w:name="introduction-2"/>
    <w:p>
      <w:pPr>
        <w:pStyle w:val="Heading4"/>
      </w:pPr>
      <w:r>
        <w:rPr>
          <w:rStyle w:val="SectionNumber"/>
        </w:rPr>
        <w:t xml:space="preserve">1.3.2.3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5"/>
    <w:bookmarkStart w:id="96" w:name="X73108a710564994b4207391838868f09d4b406a"/>
    <w:p>
      <w:pPr>
        <w:pStyle w:val="Heading4"/>
      </w:pPr>
      <w:r>
        <w:rPr>
          <w:rStyle w:val="SectionNumber"/>
        </w:rPr>
        <w:t xml:space="preserve">1.3.2.4</w:t>
      </w:r>
      <w:r>
        <w:tab/>
      </w:r>
      <w:r>
        <w:t xml:space="preserve">Part 1 – 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4"/>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25"/>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4"/>
        </w:numPr>
        <w:pStyle w:val="Compact"/>
      </w:pPr>
      <w:r>
        <w:t xml:space="preserve">Scroll down to the second set of boxes and click</w:t>
      </w:r>
      <w:r>
        <w:t xml:space="preserve"> </w:t>
      </w:r>
      <w:r>
        <w:t xml:space="preserve">“</w:t>
      </w:r>
      <w:r>
        <w:t xml:space="preserve">Compute</w:t>
      </w:r>
      <w:r>
        <w:t xml:space="preserve">”</w:t>
      </w:r>
    </w:p>
    <w:p>
      <w:pPr>
        <w:numPr>
          <w:ilvl w:val="0"/>
          <w:numId w:val="1024"/>
        </w:numPr>
        <w:pStyle w:val="Compact"/>
      </w:pPr>
      <w:r>
        <w:t xml:space="preserve">Click</w:t>
      </w:r>
      <w:r>
        <w:t xml:space="preserve"> </w:t>
      </w:r>
      <w:r>
        <w:t xml:space="preserve">“</w:t>
      </w:r>
      <w:r>
        <w:t xml:space="preserve">Create container</w:t>
      </w:r>
      <w:r>
        <w:t xml:space="preserve">”</w:t>
      </w:r>
    </w:p>
    <w:p>
      <w:pPr>
        <w:numPr>
          <w:ilvl w:val="1"/>
          <w:numId w:val="1026"/>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6"/>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26"/>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6"/>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4"/>
        </w:numPr>
        <w:pStyle w:val="Compact"/>
      </w:pPr>
      <w:r>
        <w:t xml:space="preserve">You should now see a new entry in your list of containers</w:t>
      </w:r>
    </w:p>
    <w:p>
      <w:pPr>
        <w:numPr>
          <w:ilvl w:val="1"/>
          <w:numId w:val="1027"/>
        </w:numPr>
        <w:pStyle w:val="Compact"/>
      </w:pPr>
      <w:r>
        <w:t xml:space="preserve">“</w:t>
      </w:r>
      <w:r>
        <w:t xml:space="preserve">Created At</w:t>
      </w:r>
      <w:r>
        <w:t xml:space="preserve">”</w:t>
      </w:r>
      <w:r>
        <w:t xml:space="preserve"> </w:t>
      </w:r>
      <w:r>
        <w:t xml:space="preserve">should be a few moments ago.</w:t>
      </w:r>
    </w:p>
    <w:p>
      <w:pPr>
        <w:numPr>
          <w:ilvl w:val="1"/>
          <w:numId w:val="1027"/>
        </w:numPr>
        <w:pStyle w:val="Compact"/>
      </w:pPr>
      <w:r>
        <w:t xml:space="preserve">“</w:t>
      </w:r>
      <w:r>
        <w:t xml:space="preserve">Name</w:t>
      </w:r>
      <w:r>
        <w:t xml:space="preserve">”</w:t>
      </w:r>
      <w:r>
        <w:t xml:space="preserve"> </w:t>
      </w:r>
      <w:r>
        <w:t xml:space="preserve">should be the name you chose</w:t>
      </w:r>
    </w:p>
    <w:p>
      <w:pPr>
        <w:numPr>
          <w:ilvl w:val="1"/>
          <w:numId w:val="1027"/>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4"/>
        </w:numPr>
        <w:pStyle w:val="Compact"/>
      </w:pPr>
      <w:r>
        <w:t xml:space="preserve">Start your C-MOOR LearnR container by clicking on its name (whatever name you chose when you created it). This will open in a new tab.</w:t>
      </w:r>
    </w:p>
    <w:p>
      <w:pPr>
        <w:numPr>
          <w:ilvl w:val="1"/>
          <w:numId w:val="1028"/>
        </w:numPr>
        <w:pStyle w:val="Compact"/>
      </w:pPr>
      <w:r>
        <w:t xml:space="preserve">You should see a list of tutorials, organized by topic.</w:t>
      </w:r>
    </w:p>
    <w:p>
      <w:pPr>
        <w:pStyle w:val="FirstParagraph"/>
      </w:pPr>
      <w:r>
        <w:drawing>
          <wp:inline>
            <wp:extent cx="5334000" cy="3000375"/>
            <wp:effectExtent b="0" l="0" r="0" t="0"/>
            <wp:docPr descr="" title="" id="89" name="Picture"/>
            <a:graphic>
              <a:graphicData uri="http://schemas.openxmlformats.org/drawingml/2006/picture">
                <pic:pic>
                  <pic:nvPicPr>
                    <pic:cNvPr descr="introduction_files/figure-docx//1JxgfeibZU1HssPKzz_kItZImDA23ZNq1m2zpQDCx3Q4_g344f6de1efa_0_40.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29"/>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2" name="Picture"/>
            <a:graphic>
              <a:graphicData uri="http://schemas.openxmlformats.org/drawingml/2006/picture">
                <pic:pic>
                  <pic:nvPicPr>
                    <pic:cNvPr descr="introduction_files/figure-docx//1JxgfeibZU1HssPKzz_kItZImDA23ZNq1m2zpQDCx3Q4_g344f6de1efa_0_5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0"/>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95" w:name="resources"/>
    <w:p>
      <w:pPr>
        <w:pStyle w:val="Heading5"/>
      </w:pPr>
      <w:r>
        <w:rPr>
          <w:rStyle w:val="SectionNumber"/>
        </w:rPr>
        <w:t xml:space="preserve">1.3.2.4.1</w:t>
      </w:r>
      <w:r>
        <w:tab/>
      </w:r>
      <w:r>
        <w:t xml:space="preserve">Resources</w:t>
      </w:r>
    </w:p>
    <w:p>
      <w:pPr>
        <w:numPr>
          <w:ilvl w:val="0"/>
          <w:numId w:val="1031"/>
        </w:numPr>
        <w:pStyle w:val="Compact"/>
      </w:pPr>
      <w:hyperlink r:id="rId34">
        <w:r>
          <w:rPr>
            <w:rStyle w:val="Hyperlink"/>
          </w:rPr>
          <w:t xml:space="preserve">sciserver.org</w:t>
        </w:r>
      </w:hyperlink>
    </w:p>
    <w:p>
      <w:pPr>
        <w:numPr>
          <w:ilvl w:val="0"/>
          <w:numId w:val="1031"/>
        </w:numPr>
        <w:pStyle w:val="Compact"/>
      </w:pPr>
      <w:hyperlink r:id="rId94">
        <w:r>
          <w:rPr>
            <w:rStyle w:val="Hyperlink"/>
          </w:rPr>
          <w:t xml:space="preserve">Get help with SciServer on the C-MOOR Discourse</w:t>
        </w:r>
      </w:hyperlink>
    </w:p>
    <w:bookmarkEnd w:id="95"/>
    <w:bookmarkEnd w:id="96"/>
    <w:bookmarkStart w:id="98" w:name="part-2-opening-c-moor-modules"/>
    <w:p>
      <w:pPr>
        <w:pStyle w:val="Heading4"/>
      </w:pPr>
      <w:r>
        <w:rPr>
          <w:rStyle w:val="SectionNumber"/>
        </w:rPr>
        <w:t xml:space="preserve">1.3.2.5</w:t>
      </w:r>
      <w:r>
        <w:tab/>
      </w:r>
      <w:r>
        <w:t xml:space="preserve">Part 2 – Opening C-MOOR modules</w:t>
      </w:r>
    </w:p>
    <w:p>
      <w:pPr>
        <w:numPr>
          <w:ilvl w:val="0"/>
          <w:numId w:val="1032"/>
        </w:numPr>
        <w:pStyle w:val="Compact"/>
      </w:pPr>
      <w:r>
        <w:t xml:space="preserve">If you’re not there already, go to the SciServer compute page and start up the C-MOOR LearnR container.</w:t>
      </w:r>
    </w:p>
    <w:p>
      <w:pPr>
        <w:numPr>
          <w:ilvl w:val="1"/>
          <w:numId w:val="1033"/>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3"/>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3"/>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3"/>
        </w:numPr>
        <w:pStyle w:val="Compact"/>
      </w:pPr>
      <w:r>
        <w:t xml:space="preserve">Start your C-MOOR LearnR container by clicking on its name.</w:t>
      </w:r>
    </w:p>
    <w:p>
      <w:pPr>
        <w:numPr>
          <w:ilvl w:val="0"/>
          <w:numId w:val="1032"/>
        </w:numPr>
        <w:pStyle w:val="Compact"/>
      </w:pPr>
      <w:r>
        <w:t xml:space="preserve">Click on the module chosen by your instructor. The tutorial will open in a new tab.</w:t>
      </w:r>
    </w:p>
    <w:p>
      <w:pPr>
        <w:numPr>
          <w:ilvl w:val="0"/>
          <w:numId w:val="1032"/>
        </w:numPr>
        <w:pStyle w:val="Compact"/>
      </w:pPr>
      <w:r>
        <w:t xml:space="preserve">Complete the tutorial.</w:t>
      </w:r>
    </w:p>
    <w:bookmarkStart w:id="97" w:name="resources-1"/>
    <w:p>
      <w:pPr>
        <w:pStyle w:val="Heading5"/>
      </w:pPr>
      <w:r>
        <w:rPr>
          <w:rStyle w:val="SectionNumber"/>
        </w:rPr>
        <w:t xml:space="preserve">1.3.2.5.1</w:t>
      </w:r>
      <w:r>
        <w:tab/>
      </w:r>
      <w:r>
        <w:t xml:space="preserve">Resources</w:t>
      </w:r>
    </w:p>
    <w:p>
      <w:pPr>
        <w:numPr>
          <w:ilvl w:val="0"/>
          <w:numId w:val="1034"/>
        </w:numPr>
        <w:pStyle w:val="Compact"/>
      </w:pPr>
      <w:hyperlink r:id="rId34">
        <w:r>
          <w:rPr>
            <w:rStyle w:val="Hyperlink"/>
          </w:rPr>
          <w:t xml:space="preserve">sciserver.org</w:t>
        </w:r>
      </w:hyperlink>
    </w:p>
    <w:p>
      <w:pPr>
        <w:numPr>
          <w:ilvl w:val="0"/>
          <w:numId w:val="1034"/>
        </w:numPr>
        <w:pStyle w:val="Compact"/>
      </w:pPr>
      <w:hyperlink r:id="rId94">
        <w:r>
          <w:rPr>
            <w:rStyle w:val="Hyperlink"/>
          </w:rPr>
          <w:t xml:space="preserve">Get help with SciServer on the C-MOOR Discourse</w:t>
        </w:r>
      </w:hyperlink>
    </w:p>
    <w:bookmarkEnd w:id="97"/>
    <w:bookmarkEnd w:id="98"/>
    <w:bookmarkStart w:id="103" w:name="X20e76d3e2b8661b8d39170c94a9d157f9325836"/>
    <w:p>
      <w:pPr>
        <w:pStyle w:val="Heading4"/>
      </w:pPr>
      <w:r>
        <w:rPr>
          <w:rStyle w:val="SectionNumber"/>
        </w:rPr>
        <w:t xml:space="preserve">1.3.2.6</w:t>
      </w:r>
      <w:r>
        <w:tab/>
      </w:r>
      <w:r>
        <w:t xml:space="preserve">Part 3 – 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5"/>
        </w:numPr>
        <w:pStyle w:val="Compact"/>
      </w:pPr>
      <w:r>
        <w:t xml:space="preserve">If you’re not there already, go to the SciServer compute page.</w:t>
      </w:r>
    </w:p>
    <w:p>
      <w:pPr>
        <w:numPr>
          <w:ilvl w:val="1"/>
          <w:numId w:val="1036"/>
        </w:numPr>
        <w:pStyle w:val="Compact"/>
      </w:pPr>
      <w:r>
        <w:t xml:space="preserve">Open</w:t>
      </w:r>
      <w:r>
        <w:t xml:space="preserve"> </w:t>
      </w:r>
      <w:hyperlink r:id="rId34">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5"/>
        </w:numPr>
        <w:pStyle w:val="Compact"/>
      </w:pPr>
      <w:r>
        <w:t xml:space="preserve">Find the container you want to delete.</w:t>
      </w:r>
    </w:p>
    <w:p>
      <w:pPr>
        <w:numPr>
          <w:ilvl w:val="0"/>
          <w:numId w:val="1035"/>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0" name="Picture"/>
            <a:graphic>
              <a:graphicData uri="http://schemas.openxmlformats.org/drawingml/2006/picture">
                <pic:pic>
                  <pic:nvPicPr>
                    <pic:cNvPr descr="introduction_files/figure-docx//1JxgfeibZU1HssPKzz_kItZImDA23ZNq1m2zpQDCx3Q4_g344f6de1efa_0_45.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bookmarkStart w:id="102" w:name="resources-2"/>
    <w:p>
      <w:pPr>
        <w:pStyle w:val="Heading5"/>
      </w:pPr>
      <w:r>
        <w:rPr>
          <w:rStyle w:val="SectionNumber"/>
        </w:rPr>
        <w:t xml:space="preserve">1.3.2.6.1</w:t>
      </w:r>
      <w:r>
        <w:tab/>
      </w:r>
      <w:r>
        <w:t xml:space="preserve">Resources</w:t>
      </w:r>
    </w:p>
    <w:p>
      <w:pPr>
        <w:numPr>
          <w:ilvl w:val="0"/>
          <w:numId w:val="1037"/>
        </w:numPr>
        <w:pStyle w:val="Compact"/>
      </w:pPr>
      <w:hyperlink r:id="rId34">
        <w:r>
          <w:rPr>
            <w:rStyle w:val="Hyperlink"/>
          </w:rPr>
          <w:t xml:space="preserve">sciserver.org</w:t>
        </w:r>
      </w:hyperlink>
    </w:p>
    <w:p>
      <w:pPr>
        <w:numPr>
          <w:ilvl w:val="0"/>
          <w:numId w:val="1037"/>
        </w:numPr>
        <w:pStyle w:val="Compact"/>
      </w:pPr>
      <w:hyperlink r:id="rId94">
        <w:r>
          <w:rPr>
            <w:rStyle w:val="Hyperlink"/>
          </w:rPr>
          <w:t xml:space="preserve">Get help with SciServer on the C-MOOR Discourse</w:t>
        </w:r>
      </w:hyperlink>
    </w:p>
    <w:bookmarkEnd w:id="102"/>
    <w:bookmarkEnd w:id="103"/>
    <w:bookmarkStart w:id="105" w:name="footnotes-1"/>
    <w:p>
      <w:pPr>
        <w:pStyle w:val="Heading4"/>
      </w:pPr>
      <w:r>
        <w:rPr>
          <w:rStyle w:val="SectionNumber"/>
        </w:rPr>
        <w:t xml:space="preserve">1.3.2.7</w:t>
      </w:r>
      <w:r>
        <w:tab/>
      </w:r>
      <w:r>
        <w:t xml:space="preserve">Footnotes</w:t>
      </w:r>
    </w:p>
    <w:bookmarkStart w:id="104" w:name="contributions-and-affiliations-1"/>
    <w:p>
      <w:pPr>
        <w:pStyle w:val="Heading5"/>
      </w:pPr>
      <w:r>
        <w:rPr>
          <w:rStyle w:val="SectionNumber"/>
        </w:rPr>
        <w:t xml:space="preserve">1.3.2.7.1</w:t>
      </w:r>
      <w:r>
        <w:tab/>
      </w:r>
      <w:r>
        <w:t xml:space="preserve">Contributions and Affiliations</w:t>
      </w:r>
    </w:p>
    <w:p>
      <w:pPr>
        <w:numPr>
          <w:ilvl w:val="0"/>
          <w:numId w:val="1038"/>
        </w:numPr>
        <w:pStyle w:val="Compact"/>
      </w:pPr>
      <w:r>
        <w:t xml:space="preserve">Katherine Cox, Johns Hopkins University</w:t>
      </w:r>
    </w:p>
    <w:p>
      <w:pPr>
        <w:numPr>
          <w:ilvl w:val="0"/>
          <w:numId w:val="1038"/>
        </w:numPr>
        <w:pStyle w:val="Compact"/>
      </w:pPr>
      <w:r>
        <w:t xml:space="preserve">Frederick Tan, Carnegie Institution</w:t>
      </w:r>
    </w:p>
    <w:p>
      <w:pPr>
        <w:numPr>
          <w:ilvl w:val="0"/>
          <w:numId w:val="1038"/>
        </w:numPr>
        <w:pStyle w:val="Compact"/>
      </w:pPr>
      <w:r>
        <w:t xml:space="preserve">Sayumi York, Notre Dame of Maryland University</w:t>
      </w:r>
    </w:p>
    <w:p>
      <w:pPr>
        <w:pStyle w:val="FirstParagraph"/>
      </w:pPr>
      <w:r>
        <w:t xml:space="preserve">Last Revised: June 5, 2026</w:t>
      </w:r>
      <w:r>
        <w:t xml:space="preserve"> </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104"/>
    <w:bookmarkEnd w:id="105"/>
    <w:bookmarkEnd w:id="106"/>
    <w:bookmarkEnd w:id="107"/>
    <w:bookmarkStart w:id="165" w:name="anvil-onboarding"/>
    <w:p>
      <w:pPr>
        <w:pStyle w:val="Heading2"/>
      </w:pPr>
      <w:r>
        <w:rPr>
          <w:rStyle w:val="SectionNumber"/>
        </w:rPr>
        <w:t xml:space="preserve">1.4</w:t>
      </w:r>
      <w:r>
        <w:tab/>
      </w:r>
      <w:r>
        <w:t xml:space="preserve">AnVIL Onboarding</w:t>
      </w:r>
    </w:p>
    <w:bookmarkStart w:id="125" w:name="join-anvil"/>
    <w:p>
      <w:pPr>
        <w:pStyle w:val="Heading3"/>
      </w:pPr>
      <w:r>
        <w:rPr>
          <w:rStyle w:val="SectionNumber"/>
        </w:rPr>
        <w:t xml:space="preserve">1.4.1</w:t>
      </w:r>
      <w:r>
        <w:tab/>
      </w:r>
      <w:r>
        <w:t xml:space="preserve">Join AnVIL</w:t>
      </w:r>
    </w:p>
    <w:bookmarkStart w:id="108" w:name="purpose-2"/>
    <w:p>
      <w:pPr>
        <w:pStyle w:val="Heading4"/>
      </w:pPr>
      <w:r>
        <w:rPr>
          <w:rStyle w:val="SectionNumber"/>
        </w:rPr>
        <w:t xml:space="preserve">1.4.1.1</w:t>
      </w:r>
      <w:r>
        <w:tab/>
      </w:r>
      <w:r>
        <w:t xml:space="preserve">Purpose</w:t>
      </w:r>
    </w:p>
    <w:p>
      <w:pPr>
        <w:pStyle w:val="FirstParagraph"/>
      </w:pPr>
      <w:r>
        <w:t xml:space="preserve">You will need an account on AnVIL in order to use the platform. In this section we’ll go over the specifics of account creation.</w:t>
      </w:r>
    </w:p>
    <w:bookmarkEnd w:id="108"/>
    <w:bookmarkStart w:id="109" w:name="learning-objectives-2"/>
    <w:p>
      <w:pPr>
        <w:pStyle w:val="Heading4"/>
      </w:pPr>
      <w:r>
        <w:rPr>
          <w:rStyle w:val="SectionNumber"/>
        </w:rPr>
        <w:t xml:space="preserve">1.4.1.2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09"/>
    <w:bookmarkStart w:id="113" w:name="introduction-3"/>
    <w:p>
      <w:pPr>
        <w:pStyle w:val="Heading4"/>
      </w:pPr>
      <w:r>
        <w:rPr>
          <w:rStyle w:val="SectionNumber"/>
        </w:rPr>
        <w:t xml:space="preserve">1.4.1.3</w:t>
      </w:r>
      <w:r>
        <w:tab/>
      </w:r>
      <w:r>
        <w:t xml:space="preserve">Introduction</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p>
      <w:pPr>
        <w:pStyle w:val="BodyText"/>
      </w:pPr>
      <w:r>
        <w:drawing>
          <wp:inline>
            <wp:extent cx="5334000" cy="3000375"/>
            <wp:effectExtent b="0" l="0" r="0" t="0"/>
            <wp:docPr descr="" title="" id="111" name="Picture"/>
            <a:graphic>
              <a:graphicData uri="http://schemas.openxmlformats.org/drawingml/2006/picture">
                <pic:pic>
                  <pic:nvPicPr>
                    <pic:cNvPr descr="introduction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End w:id="113"/>
    <w:bookmarkStart w:id="124" w:name="part-1-create-an-account-on-anvil"/>
    <w:p>
      <w:pPr>
        <w:pStyle w:val="Heading4"/>
      </w:pPr>
      <w:r>
        <w:rPr>
          <w:rStyle w:val="SectionNumber"/>
        </w:rPr>
        <w:t xml:space="preserve">1.4.1.4</w:t>
      </w:r>
      <w:r>
        <w:tab/>
      </w:r>
      <w:r>
        <w:t xml:space="preserve">Part 1 – Create an account on AnVIL</w:t>
      </w:r>
    </w:p>
    <w:p>
      <w:pPr>
        <w:pStyle w:val="FirstParagraph"/>
      </w:pPr>
      <w:r>
        <w:t xml:space="preserve">Follow the written steps below or refer to the</w:t>
      </w:r>
      <w:r>
        <w:t xml:space="preserve"> </w:t>
      </w:r>
      <w:hyperlink r:id="rId11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6" name="Picture"/>
            <a:graphic>
              <a:graphicData uri="http://schemas.openxmlformats.org/drawingml/2006/picture">
                <pic:pic>
                  <pic:nvPicPr>
                    <pic:cNvPr descr="introduction_files/figure-docx//1uwlG7uaTOnItdpd4Ll6nNQiBJKBivsvR-erupicAwJM_g3709d9ac459_0_299.png" id="117" name="Picture"/>
                    <pic:cNvPicPr>
                      <a:picLocks noChangeArrowheads="1" noChangeAspect="1"/>
                    </pic:cNvPicPr>
                  </pic:nvPicPr>
                  <pic:blipFill>
                    <a:blip r:embed="rId1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35">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AnVIL. Because of this, while you can run AnVIL in other browsers you strongly suggest using Chrome.</w:t>
      </w:r>
    </w:p>
    <w:p>
      <w:pPr>
        <w:numPr>
          <w:ilvl w:val="1"/>
          <w:numId w:val="1041"/>
        </w:numPr>
        <w:pStyle w:val="Compact"/>
      </w:pPr>
      <w:r>
        <w:t xml:space="preserve">Tip: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19" name="Picture"/>
            <a:graphic>
              <a:graphicData uri="http://schemas.openxmlformats.org/drawingml/2006/picture">
                <pic:pic>
                  <pic:nvPicPr>
                    <pic:cNvPr descr="introduction_files/figure-docx//1uwlG7uaTOnItdpd4Ll6nNQiBJKBivsvR-erupicAwJM_g36368ab83bf_0_2.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w:t>
      </w:r>
    </w:p>
    <w:p>
      <w:pPr>
        <w:pStyle w:val="FirstParagraph"/>
      </w:pPr>
      <w:r>
        <w:rPr>
          <w:bCs/>
          <w:b/>
        </w:rPr>
        <w:t xml:space="preserve">Instructors should collect the student emails and use them in the next section,</w:t>
      </w:r>
      <w:r>
        <w:rPr>
          <w:bCs/>
          <w:b/>
        </w:rPr>
        <w:t xml:space="preserve"> </w:t>
      </w:r>
      <w:r>
        <w:rPr>
          <w:bCs/>
          <w:b/>
        </w:rPr>
        <w:t xml:space="preserve">“</w:t>
      </w:r>
      <w:r>
        <w:rPr>
          <w:bCs/>
          <w:b/>
        </w:rPr>
        <w:t xml:space="preserve">Setting up workspaces on AnVIL.</w:t>
      </w:r>
      <w:r>
        <w:rPr>
          <w:bCs/>
          <w:b/>
        </w:rPr>
        <w:t xml:space="preserve">”</w:t>
      </w:r>
      <w:r>
        <w:rPr>
          <w:bCs/>
          <w:b/>
        </w:rPr>
        <w:t xml:space="preserve"> </w:t>
      </w:r>
      <w:r>
        <w:rPr>
          <w:bCs/>
          <w:b/>
        </w:rPr>
        <w:t xml:space="preserve">Students do not need to set up a workspace, and should proceed to the section,</w:t>
      </w:r>
      <w:r>
        <w:rPr>
          <w:bCs/>
          <w:b/>
        </w:rPr>
        <w:t xml:space="preserve"> </w:t>
      </w:r>
      <w:r>
        <w:rPr>
          <w:bCs/>
          <w:b/>
        </w:rPr>
        <w:t xml:space="preserve">“</w:t>
      </w:r>
      <w:r>
        <w:rPr>
          <w:bCs/>
          <w:b/>
        </w:rPr>
        <w:t xml:space="preserve">Running a module on AnVIL</w:t>
      </w:r>
      <w:r>
        <w:rPr>
          <w:bCs/>
          <w:b/>
        </w:rPr>
        <w:t xml:space="preserve">”</w:t>
      </w:r>
      <w:r>
        <w:rPr>
          <w:bCs/>
          <w:b/>
        </w:rPr>
        <w:t xml:space="preserve">.</w:t>
      </w:r>
    </w:p>
    <w:bookmarkStart w:id="123" w:name="resources-3"/>
    <w:p>
      <w:pPr>
        <w:pStyle w:val="Heading5"/>
      </w:pPr>
      <w:r>
        <w:rPr>
          <w:rStyle w:val="SectionNumber"/>
        </w:rPr>
        <w:t xml:space="preserve">1.4.1.4.1</w:t>
      </w:r>
      <w:r>
        <w:tab/>
      </w:r>
      <w:r>
        <w:t xml:space="preserve">Resources</w:t>
      </w:r>
    </w:p>
    <w:p>
      <w:pPr>
        <w:numPr>
          <w:ilvl w:val="0"/>
          <w:numId w:val="1043"/>
        </w:numPr>
        <w:pStyle w:val="Compact"/>
      </w:pPr>
      <w:hyperlink r:id="rId35">
        <w:r>
          <w:rPr>
            <w:rStyle w:val="Hyperlink"/>
          </w:rPr>
          <w:t xml:space="preserve">AnVIL</w:t>
        </w:r>
      </w:hyperlink>
    </w:p>
    <w:p>
      <w:pPr>
        <w:numPr>
          <w:ilvl w:val="0"/>
          <w:numId w:val="1043"/>
        </w:numPr>
        <w:pStyle w:val="Compact"/>
      </w:pPr>
      <w:hyperlink r:id="rId121">
        <w:r>
          <w:rPr>
            <w:rStyle w:val="Hyperlink"/>
          </w:rPr>
          <w:t xml:space="preserve">How to add a bookmark in Chrome</w:t>
        </w:r>
      </w:hyperlink>
    </w:p>
    <w:p>
      <w:pPr>
        <w:numPr>
          <w:ilvl w:val="0"/>
          <w:numId w:val="1043"/>
        </w:numPr>
        <w:pStyle w:val="Compact"/>
      </w:pPr>
      <w:hyperlink r:id="rId122">
        <w:r>
          <w:rPr>
            <w:rStyle w:val="Hyperlink"/>
          </w:rPr>
          <w:t xml:space="preserve">AnVIL support home</w:t>
        </w:r>
      </w:hyperlink>
    </w:p>
    <w:bookmarkEnd w:id="123"/>
    <w:bookmarkEnd w:id="124"/>
    <w:bookmarkEnd w:id="125"/>
    <w:bookmarkStart w:id="164" w:name="running-a-module-on-anvil"/>
    <w:p>
      <w:pPr>
        <w:pStyle w:val="Heading3"/>
      </w:pPr>
      <w:r>
        <w:rPr>
          <w:rStyle w:val="SectionNumber"/>
        </w:rPr>
        <w:t xml:space="preserve">1.4.2</w:t>
      </w:r>
      <w:r>
        <w:tab/>
      </w:r>
      <w:r>
        <w:t xml:space="preserve">Running a module on AnVIL</w:t>
      </w:r>
    </w:p>
    <w:p>
      <w:pPr>
        <w:pStyle w:val="FirstParagraph"/>
      </w:pPr>
      <w:r>
        <w:drawing>
          <wp:inline>
            <wp:extent cx="5334000" cy="3000375"/>
            <wp:effectExtent b="0" l="0" r="0" t="0"/>
            <wp:docPr descr="" title="" id="127" name="Picture"/>
            <a:graphic>
              <a:graphicData uri="http://schemas.openxmlformats.org/drawingml/2006/picture">
                <pic:pic>
                  <pic:nvPicPr>
                    <pic:cNvPr descr="introduction_files/figure-docx//11wb3b7i9SwrDX_WO3mWNAycd2mbY4Moy8SuT0X3XvXo_g3709d9ac459_0_25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bookmarkStart w:id="129" w:name="purpose-3"/>
    <w:p>
      <w:pPr>
        <w:pStyle w:val="Heading4"/>
      </w:pPr>
      <w:r>
        <w:rPr>
          <w:rStyle w:val="SectionNumber"/>
        </w:rPr>
        <w:t xml:space="preserve">1.4.2.1</w:t>
      </w:r>
      <w:r>
        <w:tab/>
      </w:r>
      <w:r>
        <w:t xml:space="preserve">Purpose</w:t>
      </w:r>
    </w:p>
    <w:p>
      <w:pPr>
        <w:pStyle w:val="FirstParagraph"/>
      </w:pPr>
      <w:r>
        <w:t xml:space="preserve">In this section we will go over how to run C-MOOR modules on AnVIL. We will go over how to create an RStudio environment in that workspace to run the module and properly end a session on AnVIL to prevent runaway costs.</w:t>
      </w:r>
    </w:p>
    <w:bookmarkEnd w:id="129"/>
    <w:bookmarkStart w:id="130" w:name="learning-objectives-3"/>
    <w:p>
      <w:pPr>
        <w:pStyle w:val="Heading4"/>
      </w:pPr>
      <w:r>
        <w:rPr>
          <w:rStyle w:val="SectionNumber"/>
        </w:rPr>
        <w:t xml:space="preserve">1.4.2.2</w:t>
      </w:r>
      <w:r>
        <w:tab/>
      </w:r>
      <w:r>
        <w:t xml:space="preserve">Learning Objectives</w:t>
      </w:r>
    </w:p>
    <w:p>
      <w:pPr>
        <w:numPr>
          <w:ilvl w:val="0"/>
          <w:numId w:val="1044"/>
        </w:numPr>
        <w:pStyle w:val="Compact"/>
      </w:pPr>
      <w:r>
        <w:t xml:space="preserve">Launch a module through the cloned workspace</w:t>
      </w:r>
    </w:p>
    <w:p>
      <w:pPr>
        <w:numPr>
          <w:ilvl w:val="0"/>
          <w:numId w:val="1044"/>
        </w:numPr>
        <w:pStyle w:val="Compact"/>
      </w:pPr>
      <w:r>
        <w:t xml:space="preserve">Close out a session on AnVIL properly to prevent runaway costs</w:t>
      </w:r>
    </w:p>
    <w:bookmarkEnd w:id="130"/>
    <w:bookmarkStart w:id="131" w:name="introduction-4"/>
    <w:p>
      <w:pPr>
        <w:pStyle w:val="Heading4"/>
      </w:pPr>
      <w:r>
        <w:rPr>
          <w:rStyle w:val="SectionNumber"/>
        </w:rPr>
        <w:t xml:space="preserve">1.4.2.3</w:t>
      </w:r>
      <w:r>
        <w:tab/>
      </w:r>
      <w:r>
        <w:t xml:space="preserve">Introduction</w:t>
      </w:r>
    </w:p>
    <w:p>
      <w:pPr>
        <w:pStyle w:val="FirstParagraph"/>
      </w:pPr>
      <w:r>
        <w:t xml:space="preserve">Before beginning this assignment, you should have already created an AnVIL account and submitted the email you used to sign up for AnVIL to your instructor. In this assignment you will learn how to setup an RStudio environment on AnVIL. This environment is analogous to preparing a lab space for a physical lab. You have to have the right equipment and reagents to be able to do the activity.</w:t>
      </w:r>
    </w:p>
    <w:p>
      <w:pPr>
        <w:pStyle w:val="BodyText"/>
      </w:pPr>
      <w:r>
        <w:t xml:space="preserve">This assignment shows you how to set up the RStudio environment and start up your first C-MOOR tutorial.</w:t>
      </w:r>
    </w:p>
    <w:bookmarkEnd w:id="131"/>
    <w:bookmarkStart w:id="133" w:name="X72ee8a5ec0424a5edc24ab0295ed7fca9da6118"/>
    <w:p>
      <w:pPr>
        <w:pStyle w:val="Heading4"/>
      </w:pPr>
      <w:r>
        <w:rPr>
          <w:rStyle w:val="SectionNumber"/>
        </w:rPr>
        <w:t xml:space="preserve">1.4.2.4</w:t>
      </w:r>
      <w:r>
        <w:tab/>
      </w:r>
      <w:r>
        <w:t xml:space="preserve">Part 1 – Confirm you have access to your class workspace</w:t>
      </w:r>
    </w:p>
    <w:p>
      <w:pPr>
        <w:pStyle w:val="FirstParagraph"/>
      </w:pPr>
      <w:r>
        <w:t xml:space="preserve">The workspace is the heart of AnVIL. To be able to run modules, you need to have access to the class workspace. Here are some key points about workspaces:</w:t>
      </w:r>
    </w:p>
    <w:p>
      <w:pPr>
        <w:numPr>
          <w:ilvl w:val="0"/>
          <w:numId w:val="1045"/>
        </w:numPr>
        <w:pStyle w:val="Compact"/>
      </w:pPr>
      <w:r>
        <w:t xml:space="preserve">Every workspace comes with its own Google Bucket (our cloud storage). Your bucket will be empty.</w:t>
      </w:r>
    </w:p>
    <w:p>
      <w:pPr>
        <w:numPr>
          <w:ilvl w:val="0"/>
          <w:numId w:val="1045"/>
        </w:numPr>
        <w:pStyle w:val="Compact"/>
      </w:pPr>
      <w:r>
        <w:t xml:space="preserve">Every workspace has its own billing project. Students who are not yet associated with a billing project will not be able to compute on their workspace.</w:t>
      </w:r>
    </w:p>
    <w:p>
      <w:pPr>
        <w:numPr>
          <w:ilvl w:val="0"/>
          <w:numId w:val="1045"/>
        </w:numPr>
        <w:pStyle w:val="Compact"/>
      </w:pPr>
      <w:r>
        <w:t xml:space="preserve">We can control access levels of users and set them either as owners, writers, or readers. Students will be writers with compute access.</w:t>
      </w:r>
    </w:p>
    <w:p>
      <w:pPr>
        <w:pStyle w:val="FirstParagraph"/>
      </w:pPr>
      <w:r>
        <w:t xml:space="preserve">The workspace is the heart of AnVIL.</w:t>
      </w:r>
    </w:p>
    <w:p>
      <w:pPr>
        <w:numPr>
          <w:ilvl w:val="0"/>
          <w:numId w:val="1046"/>
        </w:numPr>
        <w:pStyle w:val="Compact"/>
      </w:pPr>
      <w:r>
        <w:t xml:space="preserve">Open</w:t>
      </w:r>
      <w:r>
        <w:t xml:space="preserve"> </w:t>
      </w:r>
      <w:hyperlink r:id="rId35">
        <w:r>
          <w:rPr>
            <w:rStyle w:val="Hyperlink"/>
          </w:rPr>
          <w:t xml:space="preserve">AnVIL</w:t>
        </w:r>
      </w:hyperlink>
      <w:r>
        <w:t xml:space="preserve"> </w:t>
      </w:r>
      <w:r>
        <w:t xml:space="preserve">in Google Chrome</w:t>
      </w:r>
    </w:p>
    <w:p>
      <w:pPr>
        <w:numPr>
          <w:ilvl w:val="0"/>
          <w:numId w:val="1046"/>
        </w:numPr>
        <w:pStyle w:val="Compact"/>
      </w:pPr>
      <w:r>
        <w:t xml:space="preserve">Click on the hamburger icon in the top left corner</w:t>
      </w:r>
    </w:p>
    <w:p>
      <w:pPr>
        <w:numPr>
          <w:ilvl w:val="0"/>
          <w:numId w:val="1046"/>
        </w:numPr>
        <w:pStyle w:val="Compact"/>
      </w:pPr>
      <w:r>
        <w:t xml:space="preserve">Login to your AnVIL account</w:t>
      </w:r>
    </w:p>
    <w:p>
      <w:pPr>
        <w:numPr>
          <w:ilvl w:val="0"/>
          <w:numId w:val="1046"/>
        </w:numPr>
        <w:pStyle w:val="Compact"/>
      </w:pPr>
      <w:r>
        <w:t xml:space="preserve">Click on the hamburger icon in the top left corner again</w:t>
      </w:r>
    </w:p>
    <w:p>
      <w:pPr>
        <w:numPr>
          <w:ilvl w:val="0"/>
          <w:numId w:val="1046"/>
        </w:numPr>
        <w:pStyle w:val="Compact"/>
      </w:pPr>
      <w:r>
        <w:t xml:space="preserve">Click workspaces</w:t>
      </w:r>
    </w:p>
    <w:p>
      <w:pPr>
        <w:numPr>
          <w:ilvl w:val="0"/>
          <w:numId w:val="1046"/>
        </w:numPr>
        <w:pStyle w:val="Compact"/>
      </w:pPr>
      <w:r>
        <w:t xml:space="preserve">Confirm you see your class workspace</w:t>
      </w:r>
    </w:p>
    <w:p>
      <w:pPr>
        <w:numPr>
          <w:ilvl w:val="0"/>
          <w:numId w:val="1046"/>
        </w:numPr>
        <w:pStyle w:val="Compact"/>
      </w:pPr>
      <w:r>
        <w:t xml:space="preserve">Click on the workspace name to enter the workspace.</w:t>
      </w:r>
    </w:p>
    <w:bookmarkStart w:id="132" w:name="resources-4"/>
    <w:p>
      <w:pPr>
        <w:pStyle w:val="Heading5"/>
      </w:pPr>
      <w:r>
        <w:rPr>
          <w:rStyle w:val="SectionNumber"/>
        </w:rPr>
        <w:t xml:space="preserve">1.4.2.4.1</w:t>
      </w:r>
      <w:r>
        <w:tab/>
      </w:r>
      <w:r>
        <w:t xml:space="preserve">Resources</w:t>
      </w:r>
    </w:p>
    <w:p>
      <w:pPr>
        <w:numPr>
          <w:ilvl w:val="0"/>
          <w:numId w:val="1047"/>
        </w:numPr>
        <w:pStyle w:val="Compact"/>
      </w:pPr>
      <w:hyperlink r:id="rId35">
        <w:r>
          <w:rPr>
            <w:rStyle w:val="Hyperlink"/>
          </w:rPr>
          <w:t xml:space="preserve">AnVIL</w:t>
        </w:r>
      </w:hyperlink>
    </w:p>
    <w:p>
      <w:pPr>
        <w:numPr>
          <w:ilvl w:val="0"/>
          <w:numId w:val="1047"/>
        </w:numPr>
        <w:pStyle w:val="Compact"/>
      </w:pPr>
      <w:hyperlink r:id="rId94">
        <w:r>
          <w:rPr>
            <w:rStyle w:val="Hyperlink"/>
          </w:rPr>
          <w:t xml:space="preserve">Get help with AnVIL on the C-MOOR Discourse</w:t>
        </w:r>
      </w:hyperlink>
    </w:p>
    <w:bookmarkEnd w:id="132"/>
    <w:bookmarkEnd w:id="133"/>
    <w:bookmarkStart w:id="156" w:name="part-2-start-access-a-module"/>
    <w:p>
      <w:pPr>
        <w:pStyle w:val="Heading4"/>
      </w:pPr>
      <w:r>
        <w:rPr>
          <w:rStyle w:val="SectionNumber"/>
        </w:rPr>
        <w:t xml:space="preserve">1.4.2.5</w:t>
      </w:r>
      <w:r>
        <w:tab/>
      </w:r>
      <w:r>
        <w:t xml:space="preserve">Part 2 – Start access a module</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35" name="Picture"/>
            <a:graphic>
              <a:graphicData uri="http://schemas.openxmlformats.org/drawingml/2006/picture">
                <pic:pic>
                  <pic:nvPicPr>
                    <pic:cNvPr descr="introduction_files/figure-docx//11wb3b7i9SwrDX_WO3mWNAycd2mbY4Moy8SuT0X3XvXo_g3e8341b93fe_0_0.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Pr>
      <w:r>
        <w:t xml:space="preserve">Copy the URL of the startup script. Make sure there are no spaces before or after what you copy. This script is held in the original workspace everyone cloned. You will need to input this URL soon.</w:t>
      </w:r>
    </w:p>
    <w:p>
      <w:pPr>
        <w:numPr>
          <w:ilvl w:val="0"/>
          <w:numId w:val="1048"/>
        </w:numPr>
      </w:pPr>
      <w:r>
        <w:t xml:space="preserve">Click on the Environment Configuration button, the cloud with a thunderbolt.</w:t>
      </w:r>
    </w:p>
    <w:p>
      <w:pPr>
        <w:pStyle w:val="FirstParagraph"/>
      </w:pPr>
      <w:r>
        <w:drawing>
          <wp:inline>
            <wp:extent cx="5334000" cy="3000375"/>
            <wp:effectExtent b="0" l="0" r="0" t="0"/>
            <wp:docPr descr="" title="" id="138" name="Picture"/>
            <a:graphic>
              <a:graphicData uri="http://schemas.openxmlformats.org/drawingml/2006/picture">
                <pic:pic>
                  <pic:nvPicPr>
                    <pic:cNvPr descr="introduction_files/figure-docx//11wb3b7i9SwrDX_WO3mWNAycd2mbY4Moy8SuT0X3XvXo_g3e8341b93fe_0_13.png" id="139" name="Picture"/>
                    <pic:cNvPicPr>
                      <a:picLocks noChangeArrowheads="1" noChangeAspect="1"/>
                    </pic:cNvPicPr>
                  </pic:nvPicPr>
                  <pic:blipFill>
                    <a:blip r:embed="rId13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Pr>
      <w:r>
        <w:t xml:space="preserve">In the RStudio section, click Settings</w:t>
      </w:r>
    </w:p>
    <w:p>
      <w:pPr>
        <w:numPr>
          <w:ilvl w:val="0"/>
          <w:numId w:val="1049"/>
        </w:numPr>
      </w:pPr>
      <w:r>
        <w:t xml:space="preserve">In the startup script field, paste the URL for the startup script.</w:t>
      </w:r>
    </w:p>
    <w:p>
      <w:pPr>
        <w:numPr>
          <w:ilvl w:val="0"/>
          <w:numId w:val="1049"/>
        </w:numPr>
      </w:pPr>
      <w:r>
        <w:t xml:space="preserve">Select 4 CPUs and 15 gigabytes of memory.</w:t>
      </w:r>
    </w:p>
    <w:p>
      <w:pPr>
        <w:numPr>
          <w:ilvl w:val="0"/>
          <w:numId w:val="1049"/>
        </w:numPr>
      </w:pPr>
      <w:r>
        <w:t xml:space="preserve">Confirm that the cloud compute cost is 20 cents per hour. If it is not 20 cents per hour, reselect CPUs and memory allocation in step 5 This is a known bug in AnVIL at the writing of this guide.</w:t>
      </w:r>
    </w:p>
    <w:p>
      <w:pPr>
        <w:numPr>
          <w:ilvl w:val="0"/>
          <w:numId w:val="1049"/>
        </w:numPr>
      </w:pPr>
      <w:r>
        <w:t xml:space="preserve">Scroll to the bottom of the window and click</w:t>
      </w:r>
      <w:r>
        <w:t xml:space="preserve"> </w:t>
      </w:r>
      <w:r>
        <w:t xml:space="preserve">“</w:t>
      </w:r>
      <w:r>
        <w:t xml:space="preserve">Create</w:t>
      </w:r>
      <w:r>
        <w:t xml:space="preserve">”</w:t>
      </w:r>
      <w:r>
        <w:t xml:space="preserve">. It will take about 2 minutes for the environment to be created.</w:t>
      </w:r>
    </w:p>
    <w:p>
      <w:pPr>
        <w:pStyle w:val="FirstParagraph"/>
      </w:pPr>
      <w:r>
        <w:drawing>
          <wp:inline>
            <wp:extent cx="5334000" cy="3000375"/>
            <wp:effectExtent b="0" l="0" r="0" t="0"/>
            <wp:docPr descr="" title="" id="141" name="Picture"/>
            <a:graphic>
              <a:graphicData uri="http://schemas.openxmlformats.org/drawingml/2006/picture">
                <pic:pic>
                  <pic:nvPicPr>
                    <pic:cNvPr descr="introduction_files/figure-docx//11wb3b7i9SwrDX_WO3mWNAycd2mbY4Moy8SuT0X3XvXo_g3709d9ac459_0_279.png" id="142" name="Picture"/>
                    <pic:cNvPicPr>
                      <a:picLocks noChangeArrowheads="1" noChangeAspect="1"/>
                    </pic:cNvPicPr>
                  </pic:nvPicPr>
                  <pic:blipFill>
                    <a:blip r:embed="rId1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44" name="Picture"/>
            <a:graphic>
              <a:graphicData uri="http://schemas.openxmlformats.org/drawingml/2006/picture">
                <pic:pic>
                  <pic:nvPicPr>
                    <pic:cNvPr descr="introduction_files/figure-docx//11wb3b7i9SwrDX_WO3mWNAycd2mbY4Moy8SuT0X3XvXo_g3e8341b93fe_0_29.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Style w:val="Compact"/>
      </w:pPr>
      <w:r>
        <w:t xml:space="preserve">When the environment is ready, use the Open RStudio button that will pop up. If you hold down Ctrl as you click, you can open RStudio in a new window.</w:t>
      </w:r>
    </w:p>
    <w:p>
      <w:pPr>
        <w:pStyle w:val="FirstParagraph"/>
      </w:pPr>
      <w:r>
        <w:drawing>
          <wp:inline>
            <wp:extent cx="5334000" cy="3000375"/>
            <wp:effectExtent b="0" l="0" r="0" t="0"/>
            <wp:docPr descr="" title="" id="147" name="Picture"/>
            <a:graphic>
              <a:graphicData uri="http://schemas.openxmlformats.org/drawingml/2006/picture">
                <pic:pic>
                  <pic:nvPicPr>
                    <pic:cNvPr descr="introduction_files/figure-docx//11wb3b7i9SwrDX_WO3mWNAycd2mbY4Moy8SuT0X3XvXo_g3e8341b93fe_0_33.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Style w:val="Compact"/>
      </w:pPr>
      <w:r>
        <w:t xml:space="preserve">Use the file explorer in RStudio to navigate to your module of choice. First, enter the folder of the curriculum you are using, either rnaseq (not cure-rnaseq) or 16s. Then enter the folder of the module you want to run.</w:t>
      </w:r>
    </w:p>
    <w:p>
      <w:pPr>
        <w:pStyle w:val="FirstParagraph"/>
      </w:pPr>
      <w:r>
        <w:drawing>
          <wp:inline>
            <wp:extent cx="5334000" cy="3000375"/>
            <wp:effectExtent b="0" l="0" r="0" t="0"/>
            <wp:docPr descr="" title="" id="150" name="Picture"/>
            <a:graphic>
              <a:graphicData uri="http://schemas.openxmlformats.org/drawingml/2006/picture">
                <pic:pic>
                  <pic:nvPicPr>
                    <pic:cNvPr descr="introduction_files/figure-docx//11wb3b7i9SwrDX_WO3mWNAycd2mbY4Moy8SuT0X3XvXo_g3e8341b93fe_0_36.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In the module’s directory, open the .Rmd file by double clicking its name.</w:t>
      </w:r>
    </w:p>
    <w:p>
      <w:pPr>
        <w:pStyle w:val="FirstParagraph"/>
      </w:pPr>
      <w:r>
        <w:drawing>
          <wp:inline>
            <wp:extent cx="5334000" cy="3000375"/>
            <wp:effectExtent b="0" l="0" r="0" t="0"/>
            <wp:docPr descr="" title="" id="153" name="Picture"/>
            <a:graphic>
              <a:graphicData uri="http://schemas.openxmlformats.org/drawingml/2006/picture">
                <pic:pic>
                  <pic:nvPicPr>
                    <pic:cNvPr descr="introduction_files/figure-docx//11wb3b7i9SwrDX_WO3mWNAycd2mbY4Moy8SuT0X3XvXo_g3e8341b93fe_0_39.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Start w:id="155" w:name="resources-5"/>
    <w:p>
      <w:pPr>
        <w:pStyle w:val="Heading5"/>
      </w:pPr>
      <w:r>
        <w:rPr>
          <w:rStyle w:val="SectionNumber"/>
        </w:rPr>
        <w:t xml:space="preserve">1.4.2.5.1</w:t>
      </w:r>
      <w:r>
        <w:tab/>
      </w:r>
      <w:r>
        <w:t xml:space="preserve">Resources</w:t>
      </w:r>
    </w:p>
    <w:p>
      <w:pPr>
        <w:numPr>
          <w:ilvl w:val="0"/>
          <w:numId w:val="1054"/>
        </w:numPr>
        <w:pStyle w:val="Compact"/>
      </w:pPr>
      <w:hyperlink r:id="rId35">
        <w:r>
          <w:rPr>
            <w:rStyle w:val="Hyperlink"/>
          </w:rPr>
          <w:t xml:space="preserve">AnVIL</w:t>
        </w:r>
      </w:hyperlink>
    </w:p>
    <w:p>
      <w:pPr>
        <w:numPr>
          <w:ilvl w:val="0"/>
          <w:numId w:val="1054"/>
        </w:numPr>
        <w:pStyle w:val="Compact"/>
      </w:pPr>
      <w:hyperlink r:id="rId94">
        <w:r>
          <w:rPr>
            <w:rStyle w:val="Hyperlink"/>
          </w:rPr>
          <w:t xml:space="preserve">Get help with AnVIL on the C-MOOR Discourse</w:t>
        </w:r>
      </w:hyperlink>
    </w:p>
    <w:bookmarkEnd w:id="155"/>
    <w:bookmarkEnd w:id="156"/>
    <w:bookmarkStart w:id="161" w:name="part-3-closing-out-a-session-on-anvil"/>
    <w:p>
      <w:pPr>
        <w:pStyle w:val="Heading4"/>
      </w:pPr>
      <w:r>
        <w:rPr>
          <w:rStyle w:val="SectionNumber"/>
        </w:rPr>
        <w:t xml:space="preserve">1.4.2.6</w:t>
      </w:r>
      <w:r>
        <w:tab/>
      </w:r>
      <w:r>
        <w:t xml:space="preserve">Part 3 – Closing out a session on AnVIL</w:t>
      </w:r>
    </w:p>
    <w:p>
      <w:pPr>
        <w:pStyle w:val="FirstParagraph"/>
      </w:pPr>
      <w:r>
        <w:drawing>
          <wp:inline>
            <wp:extent cx="5334000" cy="3000375"/>
            <wp:effectExtent b="0" l="0" r="0" t="0"/>
            <wp:docPr descr="" title="" id="158" name="Picture"/>
            <a:graphic>
              <a:graphicData uri="http://schemas.openxmlformats.org/drawingml/2006/picture">
                <pic:pic>
                  <pic:nvPicPr>
                    <pic:cNvPr descr="introduction_files/figure-docx//11wb3b7i9SwrDX_WO3mWNAycd2mbY4Moy8SuT0X3XvXo_g3709d9ac459_0_299.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On the right side of the screen, click the Cloud Environment button. This is the Cloud with the lightning symbol.</w:t>
      </w:r>
    </w:p>
    <w:p>
      <w:pPr>
        <w:numPr>
          <w:ilvl w:val="0"/>
          <w:numId w:val="1055"/>
        </w:numPr>
        <w:pStyle w:val="Compact"/>
      </w:pPr>
      <w:r>
        <w:t xml:space="preserve">Under the RStudio section, click settings.</w:t>
      </w:r>
    </w:p>
    <w:p>
      <w:pPr>
        <w:numPr>
          <w:ilvl w:val="0"/>
          <w:numId w:val="1055"/>
        </w:numPr>
        <w:pStyle w:val="Compact"/>
      </w:pPr>
      <w:r>
        <w:t xml:space="preserve">Scroll to the bottom of the new window and click delete environment.</w:t>
      </w:r>
    </w:p>
    <w:p>
      <w:pPr>
        <w:numPr>
          <w:ilvl w:val="0"/>
          <w:numId w:val="1055"/>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Start w:id="160" w:name="resources-6"/>
    <w:p>
      <w:pPr>
        <w:pStyle w:val="Heading5"/>
      </w:pPr>
      <w:r>
        <w:rPr>
          <w:rStyle w:val="SectionNumber"/>
        </w:rPr>
        <w:t xml:space="preserve">1.4.2.6.1</w:t>
      </w:r>
      <w:r>
        <w:tab/>
      </w:r>
      <w:r>
        <w:t xml:space="preserve">Resources</w:t>
      </w:r>
    </w:p>
    <w:p>
      <w:pPr>
        <w:numPr>
          <w:ilvl w:val="0"/>
          <w:numId w:val="1056"/>
        </w:numPr>
        <w:pStyle w:val="Compact"/>
      </w:pPr>
      <w:hyperlink r:id="rId35">
        <w:r>
          <w:rPr>
            <w:rStyle w:val="Hyperlink"/>
          </w:rPr>
          <w:t xml:space="preserve">AnVIL</w:t>
        </w:r>
      </w:hyperlink>
    </w:p>
    <w:p>
      <w:pPr>
        <w:numPr>
          <w:ilvl w:val="0"/>
          <w:numId w:val="1056"/>
        </w:numPr>
        <w:pStyle w:val="Compact"/>
      </w:pPr>
      <w:hyperlink r:id="rId94">
        <w:r>
          <w:rPr>
            <w:rStyle w:val="Hyperlink"/>
          </w:rPr>
          <w:t xml:space="preserve">Get help with AnVIL on the C-MOOR Discourse</w:t>
        </w:r>
      </w:hyperlink>
    </w:p>
    <w:bookmarkEnd w:id="160"/>
    <w:bookmarkEnd w:id="161"/>
    <w:bookmarkStart w:id="163" w:name="footnotes-2"/>
    <w:p>
      <w:pPr>
        <w:pStyle w:val="Heading4"/>
      </w:pPr>
      <w:r>
        <w:rPr>
          <w:rStyle w:val="SectionNumber"/>
        </w:rPr>
        <w:t xml:space="preserve">1.4.2.7</w:t>
      </w:r>
      <w:r>
        <w:tab/>
      </w:r>
      <w:r>
        <w:t xml:space="preserve">Footnotes</w:t>
      </w:r>
    </w:p>
    <w:bookmarkStart w:id="162" w:name="contributions-and-affiliations-2"/>
    <w:p>
      <w:pPr>
        <w:pStyle w:val="Heading5"/>
      </w:pPr>
      <w:r>
        <w:rPr>
          <w:rStyle w:val="SectionNumber"/>
        </w:rPr>
        <w:t xml:space="preserve">1.4.2.7.1</w:t>
      </w:r>
      <w:r>
        <w:tab/>
      </w:r>
      <w:r>
        <w:t xml:space="preserve">Contributions and Affiliations</w:t>
      </w:r>
    </w:p>
    <w:p>
      <w:pPr>
        <w:numPr>
          <w:ilvl w:val="0"/>
          <w:numId w:val="1057"/>
        </w:numPr>
        <w:pStyle w:val="Compact"/>
      </w:pPr>
      <w:r>
        <w:t xml:space="preserve">Sayumi York, Notre Dame of Maryland University</w:t>
      </w:r>
    </w:p>
    <w:p>
      <w:pPr>
        <w:pStyle w:val="FirstParagraph"/>
      </w:pPr>
      <w:r>
        <w:t xml:space="preserve">Last Revised: June 5, 2026</w:t>
      </w:r>
    </w:p>
    <w:bookmarkEnd w:id="162"/>
    <w:bookmarkEnd w:id="163"/>
    <w:bookmarkEnd w:id="164"/>
    <w:bookmarkEnd w:id="165"/>
    <w:bookmarkEnd w:id="166"/>
    <w:bookmarkStart w:id="202" w:name="scientific-literature"/>
    <w:p>
      <w:pPr>
        <w:pStyle w:val="Heading1"/>
      </w:pPr>
      <w:r>
        <w:rPr>
          <w:rStyle w:val="SectionNumber"/>
        </w:rPr>
        <w:t xml:space="preserve">2</w:t>
      </w:r>
      <w:r>
        <w:tab/>
      </w:r>
      <w:r>
        <w:t xml:space="preserve">Scientific Literature</w:t>
      </w:r>
    </w:p>
    <w:bookmarkStart w:id="180" w:name="pre-lab---scientific-literature"/>
    <w:p>
      <w:pPr>
        <w:pStyle w:val="Heading2"/>
      </w:pPr>
      <w:r>
        <w:rPr>
          <w:rStyle w:val="SectionNumber"/>
        </w:rPr>
        <w:t xml:space="preserve">2.1</w:t>
      </w:r>
      <w:r>
        <w:tab/>
      </w:r>
      <w:r>
        <w:t xml:space="preserve">Pre-lab - Scientific literature</w:t>
      </w:r>
    </w:p>
    <w:p>
      <w:pPr>
        <w:pStyle w:val="FirstParagraph"/>
      </w:pPr>
      <w:r>
        <w:drawing>
          <wp:inline>
            <wp:extent cx="5334000" cy="3000375"/>
            <wp:effectExtent b="0" l="0" r="0" t="0"/>
            <wp:docPr descr="" title="" id="168" name="Picture"/>
            <a:graphic>
              <a:graphicData uri="http://schemas.openxmlformats.org/drawingml/2006/picture">
                <pic:pic>
                  <pic:nvPicPr>
                    <pic:cNvPr descr="scientific-literature_files/figure-docx//1dEZtb0TgLbzhbr3HxQElwg8hENur2HMIzseg19OGd0g_g33d73503c03_0_51.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bookmarkStart w:id="170" w:name="purpose-4"/>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w:t>
      </w:r>
      <w:r>
        <w:t xml:space="preserve"> </w:t>
      </w:r>
      <w:r>
        <w:rPr>
          <w:bCs/>
          <w:b/>
        </w:rPr>
        <w:t xml:space="preserve">you are not expected to understand everything the first time through</w:t>
      </w:r>
      <w:r>
        <w:t xml:space="preserve">. We will go through the paper in detail in the lab.</w:t>
      </w:r>
    </w:p>
    <w:p>
      <w:pPr>
        <w:pStyle w:val="BodyText"/>
      </w:pPr>
      <w:r>
        <w:t xml:space="preserve">Reading this paper will give us a first taste of scientific literature and start familiarizing ourselves with the 16S rRNA analyses you will complete as a part of your research project.</w:t>
      </w:r>
    </w:p>
    <w:bookmarkEnd w:id="170"/>
    <w:bookmarkStart w:id="171" w:name="grading-criteria"/>
    <w:p>
      <w:pPr>
        <w:pStyle w:val="Heading3"/>
      </w:pPr>
      <w:r>
        <w:rPr>
          <w:rStyle w:val="SectionNumber"/>
        </w:rPr>
        <w:t xml:space="preserve">2.1.2</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71"/>
    <w:bookmarkStart w:id="175" w:name="activity"/>
    <w:p>
      <w:pPr>
        <w:pStyle w:val="Heading3"/>
      </w:pPr>
      <w:r>
        <w:rPr>
          <w:rStyle w:val="SectionNumber"/>
        </w:rPr>
        <w:t xml:space="preserve">2.1.3</w:t>
      </w:r>
      <w:r>
        <w:tab/>
      </w:r>
      <w:r>
        <w:t xml:space="preserve">Activity</w:t>
      </w:r>
    </w:p>
    <w:p>
      <w:pPr>
        <w:pStyle w:val="FirstParagraph"/>
      </w:pPr>
      <w:r>
        <w:rPr>
          <w:iCs/>
          <w:i/>
        </w:rPr>
        <w:t xml:space="preserve">Estimated time: 30 minutes</w:t>
      </w:r>
    </w:p>
    <w:bookmarkStart w:id="173" w:name="instructions"/>
    <w:p>
      <w:pPr>
        <w:pStyle w:val="Heading4"/>
      </w:pPr>
      <w:r>
        <w:rPr>
          <w:rStyle w:val="SectionNumber"/>
        </w:rPr>
        <w:t xml:space="preserve">2.1.3.1</w:t>
      </w:r>
      <w:r>
        <w:tab/>
      </w:r>
      <w:r>
        <w:t xml:space="preserve">Instructions</w:t>
      </w:r>
    </w:p>
    <w:p>
      <w:pPr>
        <w:pStyle w:val="FirstParagraph"/>
      </w:pPr>
      <w:r>
        <w:t xml:space="preserve">Read the paper</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r>
        <w:t xml:space="preserve"> </w:t>
      </w:r>
      <w:r>
        <w:t xml:space="preserve">and answer the following questions.</w:t>
      </w:r>
    </w:p>
    <w:bookmarkEnd w:id="173"/>
    <w:bookmarkStart w:id="174" w:name="questions"/>
    <w:p>
      <w:pPr>
        <w:pStyle w:val="Heading4"/>
      </w:pPr>
      <w:r>
        <w:rPr>
          <w:rStyle w:val="SectionNumber"/>
        </w:rPr>
        <w:t xml:space="preserve">2.1.3.2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74"/>
    <w:bookmarkEnd w:id="175"/>
    <w:bookmarkStart w:id="179" w:name="footnotes-3"/>
    <w:p>
      <w:pPr>
        <w:pStyle w:val="Heading3"/>
      </w:pPr>
      <w:r>
        <w:rPr>
          <w:rStyle w:val="SectionNumber"/>
        </w:rPr>
        <w:t xml:space="preserve">2.1.4</w:t>
      </w:r>
      <w:r>
        <w:tab/>
      </w:r>
      <w:r>
        <w:t xml:space="preserve">Footnotes</w:t>
      </w:r>
    </w:p>
    <w:bookmarkStart w:id="177" w:name="resources-7"/>
    <w:p>
      <w:pPr>
        <w:pStyle w:val="Heading4"/>
      </w:pPr>
      <w:r>
        <w:rPr>
          <w:rStyle w:val="SectionNumber"/>
        </w:rPr>
        <w:t xml:space="preserve">2.1.4.1</w:t>
      </w:r>
      <w:r>
        <w:tab/>
      </w:r>
      <w:r>
        <w:t xml:space="preserve">Resources</w:t>
      </w:r>
    </w:p>
    <w:p>
      <w:pPr>
        <w:numPr>
          <w:ilvl w:val="0"/>
          <w:numId w:val="1058"/>
        </w:numPr>
      </w:pPr>
      <w:hyperlink r:id="rId176">
        <w:r>
          <w:rPr>
            <w:rStyle w:val="Hyperlink"/>
          </w:rPr>
          <w:t xml:space="preserve">Google Doc</w:t>
        </w:r>
      </w:hyperlink>
    </w:p>
    <w:p>
      <w:pPr>
        <w:numPr>
          <w:ilvl w:val="0"/>
          <w:numId w:val="1058"/>
        </w:numPr>
      </w:pPr>
      <w:hyperlink r:id="rId172">
        <w:r>
          <w:rPr>
            <w:rStyle w:val="Hyperlink"/>
          </w:rPr>
          <w:t xml:space="preserve">Paper</w:t>
        </w:r>
      </w:hyperlink>
    </w:p>
    <w:bookmarkEnd w:id="177"/>
    <w:bookmarkStart w:id="178" w:name="contributions-and-affiliations-3"/>
    <w:p>
      <w:pPr>
        <w:pStyle w:val="Heading4"/>
      </w:pPr>
      <w:r>
        <w:rPr>
          <w:rStyle w:val="SectionNumber"/>
        </w:rPr>
        <w:t xml:space="preserve">2.1.4.2</w:t>
      </w:r>
      <w:r>
        <w:tab/>
      </w:r>
      <w: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numPr>
          <w:ilvl w:val="0"/>
          <w:numId w:val="1059"/>
        </w:numPr>
        <w:pStyle w:val="Compact"/>
      </w:pPr>
      <w:r>
        <w:t xml:space="preserve">Katherine Cox, Johns Hopkins University</w:t>
      </w:r>
    </w:p>
    <w:p>
      <w:pPr>
        <w:numPr>
          <w:ilvl w:val="0"/>
          <w:numId w:val="1059"/>
        </w:numPr>
        <w:pStyle w:val="Compact"/>
      </w:pPr>
      <w:r>
        <w:t xml:space="preserve">Sayumi York, Notre Dame of Maryland University</w:t>
      </w:r>
    </w:p>
    <w:p>
      <w:pPr>
        <w:numPr>
          <w:ilvl w:val="0"/>
          <w:numId w:val="1059"/>
        </w:numPr>
        <w:pStyle w:val="Compact"/>
      </w:pPr>
      <w:r>
        <w:t xml:space="preserve">Stephanie Coffman, Clovis Community College</w:t>
      </w:r>
    </w:p>
    <w:p>
      <w:pPr>
        <w:numPr>
          <w:ilvl w:val="0"/>
          <w:numId w:val="1059"/>
        </w:numPr>
        <w:pStyle w:val="Compact"/>
      </w:pPr>
      <w:r>
        <w:t xml:space="preserve">Rosa Alcazar, Clovis Community College</w:t>
      </w:r>
    </w:p>
    <w:bookmarkEnd w:id="178"/>
    <w:bookmarkEnd w:id="179"/>
    <w:bookmarkEnd w:id="180"/>
    <w:bookmarkStart w:id="185" w:name="lecture---reading-a-paper"/>
    <w:p>
      <w:pPr>
        <w:pStyle w:val="Heading2"/>
      </w:pPr>
      <w:r>
        <w:rPr>
          <w:rStyle w:val="SectionNumber"/>
        </w:rPr>
        <w:t xml:space="preserve">2.2</w:t>
      </w:r>
      <w:r>
        <w:tab/>
      </w:r>
      <w:r>
        <w:t xml:space="preserve">Lecture - Reading a paper</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182" name="Picture"/>
            <a:graphic>
              <a:graphicData uri="http://schemas.openxmlformats.org/drawingml/2006/picture">
                <pic:pic>
                  <pic:nvPicPr>
                    <pic:cNvPr descr="scientific-literature_files/figure-docx//1mibD1XUpgRZcDPbYj5XOMUASuScuJoUBVV7RkT5nnSc_g36d36570436_0_413.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84">
        <w:r>
          <w:rPr>
            <w:rStyle w:val="Hyperlink"/>
          </w:rPr>
          <w:t xml:space="preserve">Lecture</w:t>
        </w:r>
      </w:hyperlink>
    </w:p>
    <w:bookmarkEnd w:id="185"/>
    <w:bookmarkStart w:id="201" w:name="activity---scientific-literature"/>
    <w:p>
      <w:pPr>
        <w:pStyle w:val="Heading2"/>
      </w:pPr>
      <w:r>
        <w:rPr>
          <w:rStyle w:val="SectionNumber"/>
        </w:rPr>
        <w:t xml:space="preserve">2.3</w:t>
      </w:r>
      <w:r>
        <w:tab/>
      </w:r>
      <w:r>
        <w:t xml:space="preserve">Activity - Scientific Literature</w:t>
      </w:r>
    </w:p>
    <w:bookmarkStart w:id="186" w:name="purpose-5"/>
    <w:p>
      <w:pPr>
        <w:pStyle w:val="Heading3"/>
      </w:pPr>
      <w:r>
        <w:rPr>
          <w:rStyle w:val="SectionNumber"/>
        </w:rPr>
        <w:t xml:space="preserve">2.3.1</w:t>
      </w:r>
      <w:r>
        <w:tab/>
      </w:r>
      <w:r>
        <w:t xml:space="preserve">Purpose</w:t>
      </w:r>
    </w:p>
    <w:p>
      <w:pPr>
        <w:pStyle w:val="FirstParagraph"/>
      </w:pPr>
      <w:r>
        <w:t xml:space="preserve">Examine research where a 16S rRNA-based approach is used to compare metagenomic diversity in children with Clostridioides difficile infection (CDI), before and after fecal microbiota transplantation (FMT) by reading:</w:t>
      </w:r>
      <w:r>
        <w:t xml:space="preserve"> </w:t>
      </w:r>
      <w:hyperlink r:id="rId172">
        <w:r>
          <w:rPr>
            <w:rStyle w:val="Hyperlink"/>
          </w:rPr>
          <w:t xml:space="preserve">“</w:t>
        </w:r>
        <w:r>
          <w:rPr>
            <w:rStyle w:val="Hyperlink"/>
          </w:rPr>
          <w:t xml:space="preserve">Fecal transplant in children with Clostridioides difficile gives sustained reduction in antimicrobial resistance and potential pathogen burden</w:t>
        </w:r>
        <w:r>
          <w:rPr>
            <w:rStyle w:val="Hyperlink"/>
          </w:rPr>
          <w:t xml:space="preserve">”</w:t>
        </w:r>
        <w:r>
          <w:rPr>
            <w:rStyle w:val="Hyperlink"/>
          </w:rPr>
          <w:t xml:space="preserve"> </w:t>
        </w:r>
        <w:r>
          <w:rPr>
            <w:rStyle w:val="Hyperlink"/>
          </w:rPr>
          <w:t xml:space="preserve">by Hourigan et al. (2019)</w:t>
        </w:r>
      </w:hyperlink>
    </w:p>
    <w:bookmarkEnd w:id="186"/>
    <w:bookmarkStart w:id="187" w:name="learning-objectives-4"/>
    <w:p>
      <w:pPr>
        <w:pStyle w:val="Heading3"/>
      </w:pPr>
      <w:r>
        <w:rPr>
          <w:rStyle w:val="SectionNumber"/>
        </w:rPr>
        <w:t xml:space="preserve">2.3.2</w:t>
      </w:r>
      <w:r>
        <w:tab/>
      </w:r>
      <w:r>
        <w:t xml:space="preserve">Learning Objectives</w:t>
      </w:r>
    </w:p>
    <w:p>
      <w:pPr>
        <w:numPr>
          <w:ilvl w:val="0"/>
          <w:numId w:val="1060"/>
        </w:numPr>
        <w:pStyle w:val="Compact"/>
      </w:pPr>
      <w:r>
        <w:t xml:space="preserve">Understand the purpose and experimental setup of the paper</w:t>
      </w:r>
    </w:p>
    <w:p>
      <w:pPr>
        <w:numPr>
          <w:ilvl w:val="0"/>
          <w:numId w:val="1060"/>
        </w:numPr>
        <w:pStyle w:val="Compact"/>
      </w:pPr>
      <w:r>
        <w:t xml:space="preserve">Understand the presented evidence (Figures and Tables) of the paper</w:t>
      </w:r>
    </w:p>
    <w:bookmarkEnd w:id="187"/>
    <w:bookmarkStart w:id="188" w:name="introduction-5"/>
    <w:p>
      <w:pPr>
        <w:pStyle w:val="Heading3"/>
      </w:pPr>
      <w:r>
        <w:rPr>
          <w:rStyle w:val="SectionNumber"/>
        </w:rPr>
        <w:t xml:space="preserve">2.3.3</w:t>
      </w:r>
      <w:r>
        <w:tab/>
      </w:r>
      <w:r>
        <w:t xml:space="preserve">Introduction</w:t>
      </w:r>
    </w:p>
    <w:p>
      <w:pPr>
        <w:pStyle w:val="FirstParagraph"/>
      </w:pPr>
      <w:r>
        <w:t xml:space="preserve">In this study, the effect of fecal transplantation on microbial composition and diversity in children with CDI is examined using short read shotgun metagenomics. Data visualization and taxonomic comparison between the samples was performed using R-based phyloseq, a tool you will use for 16S rDNA amplicon-seq analysis later in the course. Using phyloseq authors measure alpha diversity between samples, examine beta diversity with Principal Coordinate Analysis(PCoA) plots and use taxonomy barplots for comparing relative abundance of microbes.</w:t>
      </w:r>
    </w:p>
    <w:bookmarkEnd w:id="188"/>
    <w:bookmarkStart w:id="189" w:name="instructions-1"/>
    <w:p>
      <w:pPr>
        <w:pStyle w:val="Heading3"/>
      </w:pPr>
      <w:r>
        <w:rPr>
          <w:rStyle w:val="SectionNumber"/>
        </w:rPr>
        <w:t xml:space="preserve">2.3.4</w:t>
      </w:r>
      <w:r>
        <w:tab/>
      </w:r>
      <w:r>
        <w:t xml:space="preserve">Instructions</w:t>
      </w:r>
    </w:p>
    <w:p>
      <w:pPr>
        <w:pStyle w:val="FirstParagraph"/>
      </w:pPr>
      <w:r>
        <w:t xml:space="preserve">Based on the study, answer the following questions. The main text of the paper can be found below, in the</w:t>
      </w:r>
      <w:r>
        <w:t xml:space="preserve"> </w:t>
      </w:r>
      <w:r>
        <w:t xml:space="preserve">‘</w:t>
      </w:r>
      <w:r>
        <w:t xml:space="preserve">Resources</w:t>
      </w:r>
      <w:r>
        <w:t xml:space="preserve">’</w:t>
      </w:r>
      <w:r>
        <w:t xml:space="preserve"> </w:t>
      </w:r>
      <w:r>
        <w:t xml:space="preserve">section of this assignment.</w:t>
      </w:r>
    </w:p>
    <w:bookmarkEnd w:id="189"/>
    <w:bookmarkStart w:id="190" w:name="activity-1---overview-of-the-paper"/>
    <w:p>
      <w:pPr>
        <w:pStyle w:val="Heading3"/>
      </w:pPr>
      <w:r>
        <w:rPr>
          <w:rStyle w:val="SectionNumber"/>
        </w:rPr>
        <w:t xml:space="preserve">2.3.5</w:t>
      </w:r>
      <w:r>
        <w:tab/>
      </w:r>
      <w:r>
        <w:t xml:space="preserve">Activity 1 - Overview of the paper</w:t>
      </w:r>
    </w:p>
    <w:p>
      <w:pPr>
        <w:pStyle w:val="FirstParagraph"/>
      </w:pPr>
      <w:r>
        <w:rPr>
          <w:iCs/>
          <w:i/>
        </w:rPr>
        <w:t xml:space="preserve">Estimated time: 30 minutes</w:t>
      </w:r>
      <w:r>
        <w:t xml:space="preserve"> </w:t>
      </w:r>
      <w:r>
        <w:t xml:space="preserve">Determine the main objectives and purpose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this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 in this study?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were the main conclusions the authors made in this study?</w:t>
            </w:r>
          </w:p>
        </w:tc>
      </w:tr>
      <w:tr>
        <w:tc>
          <w:tcPr/>
          <w:p>
            <w:pPr>
              <w:pStyle w:val="Compact"/>
              <w:jc w:val="left"/>
            </w:pPr>
          </w:p>
        </w:tc>
      </w:tr>
    </w:tbl>
    <w:p>
      <w:pPr>
        <w:pStyle w:val="BodyText"/>
      </w:pPr>
    </w:p>
    <w:bookmarkEnd w:id="190"/>
    <w:bookmarkStart w:id="195" w:name="X79a1c5953bce93f527c577d09a31e174a0dca84"/>
    <w:p>
      <w:pPr>
        <w:pStyle w:val="Heading3"/>
      </w:pPr>
      <w:r>
        <w:rPr>
          <w:rStyle w:val="SectionNumber"/>
        </w:rPr>
        <w:t xml:space="preserve">2.3.6</w:t>
      </w:r>
      <w:r>
        <w:tab/>
      </w:r>
      <w:r>
        <w:t xml:space="preserve">Activity 2 - Methods and Figure Analysis (in class and homework)</w:t>
      </w:r>
    </w:p>
    <w:p>
      <w:pPr>
        <w:pStyle w:val="FirstParagraph"/>
      </w:pPr>
      <w:r>
        <w:rPr>
          <w:iCs/>
          <w:i/>
        </w:rPr>
        <w:t xml:space="preserve">Estimated time: 45 minutes</w:t>
      </w:r>
    </w:p>
    <w:bookmarkStart w:id="191" w:name="X4d2dd1c27837ce92fb39d1b5ac256ed44ba63dd"/>
    <w:p>
      <w:pPr>
        <w:pStyle w:val="Heading4"/>
      </w:pPr>
      <w:r>
        <w:rPr>
          <w:rStyle w:val="SectionNumber"/>
        </w:rPr>
        <w:t xml:space="preserve">2.3.6.1</w:t>
      </w:r>
      <w:r>
        <w:tab/>
      </w:r>
      <w:r>
        <w:t xml:space="preserve">Activity 2.1 – Examine the Methods and Data presented in this study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Summarize one aspect of sample-associated metadata used for this study? e.g. What is the range of subjects’ age; what is the spectrum of subjects’ medical problems?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one method or analysis used in this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Summarize one figure presented in this paper.</w:t>
            </w:r>
          </w:p>
        </w:tc>
      </w:tr>
      <w:tr>
        <w:tc>
          <w:tcPr/>
          <w:p>
            <w:pPr>
              <w:pStyle w:val="Compact"/>
              <w:jc w:val="left"/>
            </w:pPr>
          </w:p>
        </w:tc>
      </w:tr>
    </w:tbl>
    <w:p>
      <w:pPr>
        <w:pStyle w:val="BodyText"/>
      </w:pPr>
    </w:p>
    <w:bookmarkEnd w:id="191"/>
    <w:bookmarkStart w:id="192" w:name="activity-2.2---figures-and-a-table"/>
    <w:p>
      <w:pPr>
        <w:pStyle w:val="Heading4"/>
      </w:pPr>
      <w:r>
        <w:rPr>
          <w:rStyle w:val="SectionNumber"/>
        </w:rPr>
        <w:t xml:space="preserve">2.3.6.2</w:t>
      </w:r>
      <w:r>
        <w:tab/>
      </w:r>
      <w:r>
        <w:t xml:space="preserve">Activity 2.2 - Figures and a Table</w:t>
      </w:r>
    </w:p>
    <w:p>
      <w:pPr>
        <w:pStyle w:val="FirstParagraph"/>
      </w:pPr>
      <w:r>
        <w:rPr>
          <w:bCs/>
          <w:b/>
        </w:rPr>
        <w:t xml:space="preserve">Describe the method/approach used to generate this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Method/Approach</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p>
      <w:pPr>
        <w:pStyle w:val="BodyText"/>
      </w:pPr>
      <w:r>
        <w:rPr>
          <w:bCs/>
          <w:b/>
        </w:rPr>
        <w:t xml:space="preserve">Describe the main result/observation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Main result/Observation</w:t>
            </w:r>
          </w:p>
        </w:tc>
      </w:tr>
      <w:tr>
        <w:tc>
          <w:tcPr/>
          <w:p>
            <w:pPr>
              <w:pStyle w:val="Compact"/>
              <w:jc w:val="left"/>
            </w:pPr>
            <w:r>
              <w:t xml:space="preserve">Table 1</w:t>
            </w:r>
          </w:p>
        </w:tc>
        <w:tc>
          <w:tcPr/>
          <w:p>
            <w:pPr>
              <w:pStyle w:val="Compact"/>
            </w:pPr>
          </w:p>
        </w:tc>
      </w:tr>
      <w:tr>
        <w:tc>
          <w:tcPr/>
          <w:p>
            <w:pPr>
              <w:pStyle w:val="Compact"/>
              <w:jc w:val="left"/>
            </w:pPr>
            <w:r>
              <w:t xml:space="preserve">Fig. 2</w:t>
            </w:r>
          </w:p>
        </w:tc>
        <w:tc>
          <w:tcPr/>
          <w:p>
            <w:pPr>
              <w:pStyle w:val="Compact"/>
            </w:pPr>
          </w:p>
        </w:tc>
      </w:tr>
      <w:tr>
        <w:tc>
          <w:tcPr/>
          <w:p>
            <w:pPr>
              <w:pStyle w:val="Compact"/>
              <w:jc w:val="left"/>
            </w:pPr>
            <w:r>
              <w:t xml:space="preserve">Fig. 3A</w:t>
            </w:r>
          </w:p>
        </w:tc>
        <w:tc>
          <w:tcPr/>
          <w:p>
            <w:pPr>
              <w:pStyle w:val="Compact"/>
            </w:pPr>
          </w:p>
        </w:tc>
      </w:tr>
      <w:tr>
        <w:tc>
          <w:tcPr/>
          <w:p>
            <w:pPr>
              <w:pStyle w:val="Compact"/>
              <w:jc w:val="left"/>
            </w:pPr>
            <w:r>
              <w:t xml:space="preserve">Fig. 3B</w:t>
            </w:r>
          </w:p>
        </w:tc>
        <w:tc>
          <w:tcPr/>
          <w:p>
            <w:pPr>
              <w:pStyle w:val="Compact"/>
            </w:pPr>
          </w:p>
        </w:tc>
      </w:tr>
    </w:tbl>
    <w:p>
      <w:pPr>
        <w:pStyle w:val="BodyText"/>
      </w:pPr>
    </w:p>
    <w:bookmarkEnd w:id="192"/>
    <w:bookmarkStart w:id="193" w:name="activity-3-conclusions"/>
    <w:p>
      <w:pPr>
        <w:pStyle w:val="Heading4"/>
      </w:pPr>
      <w:r>
        <w:rPr>
          <w:rStyle w:val="SectionNumber"/>
        </w:rPr>
        <w:t xml:space="preserve">2.3.6.3</w:t>
      </w:r>
      <w:r>
        <w:tab/>
      </w:r>
      <w:r>
        <w:t xml:space="preserve">Activity 3 Conclusions</w:t>
      </w:r>
    </w:p>
    <w:p>
      <w:pPr>
        <w:pStyle w:val="FirstParagraph"/>
      </w:pPr>
      <w:r>
        <w:rPr>
          <w:iCs/>
          <w:i/>
        </w:rPr>
        <w:t xml:space="preserve">Estimated time: 10 min</w:t>
      </w:r>
    </w:p>
    <w:p>
      <w:pPr>
        <w:pStyle w:val="BodyText"/>
      </w:pPr>
      <w:r>
        <w:rPr>
          <w:bCs/>
          <w:b/>
        </w:rPr>
        <w:t xml:space="preserve">1. Compare your conclusions to author conclusions.</w:t>
      </w:r>
    </w:p>
    <w:p>
      <w:pPr>
        <w:numPr>
          <w:ilvl w:val="0"/>
          <w:numId w:val="1061"/>
        </w:numPr>
        <w:pStyle w:val="Compact"/>
      </w:pPr>
      <w:r>
        <w:t xml:space="preserve">How similar are the conclusions you came up with to the authors?</w:t>
      </w:r>
    </w:p>
    <w:p>
      <w:pPr>
        <w:numPr>
          <w:ilvl w:val="0"/>
          <w:numId w:val="1061"/>
        </w:numPr>
        <w:pStyle w:val="Compact"/>
      </w:pPr>
      <w:r>
        <w:t xml:space="preserve">Were there any differences in interpreting the data?</w:t>
      </w:r>
    </w:p>
    <w:p>
      <w:pPr>
        <w:numPr>
          <w:ilvl w:val="0"/>
          <w:numId w:val="1061"/>
        </w:numPr>
        <w:pStyle w:val="Compact"/>
      </w:pPr>
      <w:r>
        <w:t xml:space="preserve">Do you think they are over-stating their findings? Do you think their conclusions are accurate and appropriate?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Summarize one figure presented in this paper.</w:t>
            </w:r>
          </w:p>
        </w:tc>
      </w:tr>
      <w:tr>
        <w:tc>
          <w:tcPr/>
          <w:p>
            <w:pPr>
              <w:pStyle w:val="Compact"/>
              <w:jc w:val="left"/>
            </w:pPr>
          </w:p>
        </w:tc>
      </w:tr>
    </w:tbl>
    <w:p>
      <w:pPr>
        <w:pStyle w:val="BodyText"/>
      </w:pPr>
    </w:p>
    <w:bookmarkEnd w:id="193"/>
    <w:bookmarkStart w:id="194" w:name="activity-4-future-directions"/>
    <w:p>
      <w:pPr>
        <w:pStyle w:val="Heading4"/>
      </w:pPr>
      <w:r>
        <w:rPr>
          <w:rStyle w:val="SectionNumber"/>
        </w:rPr>
        <w:t xml:space="preserve">2.3.6.4</w:t>
      </w:r>
      <w:r>
        <w:tab/>
      </w:r>
      <w:r>
        <w:t xml:space="preserve">Activity 4 Future Directions</w:t>
      </w:r>
    </w:p>
    <w:p>
      <w:pPr>
        <w:pStyle w:val="FirstParagraph"/>
      </w:pPr>
      <w:r>
        <w:rPr>
          <w:iCs/>
          <w:i/>
        </w:rPr>
        <w:t xml:space="preserve">Estimated time: 10 min</w:t>
      </w:r>
    </w:p>
    <w:p>
      <w:pPr>
        <w:pStyle w:val="BodyText"/>
      </w:pPr>
      <w:r>
        <w:rPr>
          <w:bCs/>
          <w:b/>
        </w:rPr>
        <w:t xml:space="preserve">1. Scientific work builds on previous studies. What do you believe could be the next step to further the work these researchers did?</w:t>
      </w:r>
      <w:r>
        <w:t xml:space="preserve"> </w:t>
      </w:r>
      <w:r>
        <w:t xml:space="preserve">- What follow-up question(s) do you have for the authors?</w:t>
      </w:r>
    </w:p>
    <w:tbl>
      <w:tblPr>
        <w:tblStyle w:val="Table"/>
        <w:tblW w:type="auto" w:w="0"/>
        <w:tblLook w:firstRow="0" w:lastRow="0" w:firstColumn="0" w:lastColumn="0" w:noHBand="0" w:noVBand="0" w:val="0000"/>
        <w:jc w:val="start"/>
      </w:tblPr>
      <w:tblGrid>
        <w:gridCol w:w="7920"/>
      </w:tblGrid>
      <w:tr>
        <w:tc>
          <w:tcPr/>
          <w:p>
            <w:pPr>
              <w:pStyle w:val="Compact"/>
              <w:jc w:val="left"/>
            </w:pPr>
          </w:p>
        </w:tc>
      </w:tr>
    </w:tbl>
    <w:p>
      <w:pPr>
        <w:pStyle w:val="BodyText"/>
      </w:pPr>
      <w:r>
        <w:rPr>
          <w:bCs/>
          <w:b/>
        </w:rPr>
        <w:t xml:space="preserve">2. What is the impact of this research area in general (or this study in particular?)</w:t>
      </w:r>
      <w:r>
        <w:t xml:space="preserve"> </w:t>
      </w:r>
      <w:r>
        <w:t xml:space="preserve">- Do you believe further research in this area may benefit society? Can we build on what this study found?</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194"/>
    <w:bookmarkEnd w:id="195"/>
    <w:bookmarkStart w:id="196" w:name="grading-criteria-1"/>
    <w:p>
      <w:pPr>
        <w:pStyle w:val="Heading3"/>
      </w:pPr>
      <w:r>
        <w:rPr>
          <w:rStyle w:val="SectionNumber"/>
        </w:rPr>
        <w:t xml:space="preserve">2.3.7</w:t>
      </w:r>
      <w:r>
        <w:tab/>
      </w:r>
      <w:r>
        <w:t xml:space="preserve">Grading criteria</w:t>
      </w:r>
    </w:p>
    <w:p>
      <w:pPr>
        <w:pStyle w:val="FirstParagraph"/>
      </w:pPr>
      <w:r>
        <w:t xml:space="preserve">Download the assignment to your local computer as a .docx, complete it, and upload the assignment to your LMS (Blackboard, Canvas, Google Classroom).</w:t>
      </w:r>
    </w:p>
    <w:bookmarkEnd w:id="196"/>
    <w:bookmarkStart w:id="200" w:name="footnotes-4"/>
    <w:p>
      <w:pPr>
        <w:pStyle w:val="Heading3"/>
      </w:pPr>
      <w:r>
        <w:rPr>
          <w:rStyle w:val="SectionNumber"/>
        </w:rPr>
        <w:t xml:space="preserve">2.3.8</w:t>
      </w:r>
      <w:r>
        <w:tab/>
      </w:r>
      <w:r>
        <w:t xml:space="preserve">Footnotes</w:t>
      </w:r>
    </w:p>
    <w:bookmarkStart w:id="198" w:name="resources-8"/>
    <w:p>
      <w:pPr>
        <w:pStyle w:val="Heading4"/>
      </w:pPr>
      <w:r>
        <w:rPr>
          <w:rStyle w:val="SectionNumber"/>
        </w:rPr>
        <w:t xml:space="preserve">2.3.8.1</w:t>
      </w:r>
      <w:r>
        <w:tab/>
      </w:r>
      <w:r>
        <w:t xml:space="preserve">Resources</w:t>
      </w:r>
    </w:p>
    <w:p>
      <w:pPr>
        <w:numPr>
          <w:ilvl w:val="0"/>
          <w:numId w:val="1062"/>
        </w:numPr>
      </w:pPr>
      <w:hyperlink r:id="rId197">
        <w:r>
          <w:rPr>
            <w:rStyle w:val="Hyperlink"/>
          </w:rPr>
          <w:t xml:space="preserve">Google Doc</w:t>
        </w:r>
      </w:hyperlink>
    </w:p>
    <w:p>
      <w:pPr>
        <w:numPr>
          <w:ilvl w:val="0"/>
          <w:numId w:val="1062"/>
        </w:numPr>
      </w:pPr>
      <w:hyperlink r:id="rId172">
        <w:r>
          <w:rPr>
            <w:rStyle w:val="Hyperlink"/>
          </w:rPr>
          <w:t xml:space="preserve">Paper</w:t>
        </w:r>
      </w:hyperlink>
    </w:p>
    <w:bookmarkEnd w:id="198"/>
    <w:bookmarkStart w:id="199" w:name="contributions-and-affiliations-4"/>
    <w:p>
      <w:pPr>
        <w:pStyle w:val="Heading4"/>
      </w:pPr>
      <w:r>
        <w:rPr>
          <w:rStyle w:val="SectionNumber"/>
        </w:rPr>
        <w:t xml:space="preserve">2.3.8.2</w:t>
      </w:r>
      <w:r>
        <w:tab/>
      </w:r>
      <w:r>
        <w:t xml:space="preserve">Contributions and affiliations</w:t>
      </w:r>
    </w:p>
    <w:p>
      <w:pPr>
        <w:numPr>
          <w:ilvl w:val="0"/>
          <w:numId w:val="1063"/>
        </w:numPr>
        <w:pStyle w:val="Compact"/>
      </w:pPr>
      <w:r>
        <w:t xml:space="preserve">Valeriya Gaysinskaya, Johns Hopkins University</w:t>
      </w:r>
    </w:p>
    <w:p>
      <w:pPr>
        <w:numPr>
          <w:ilvl w:val="0"/>
          <w:numId w:val="1063"/>
        </w:numPr>
        <w:pStyle w:val="Compact"/>
      </w:pPr>
      <w:r>
        <w:t xml:space="preserve">Frederick Tan, Johns Hopkins University</w:t>
      </w:r>
    </w:p>
    <w:p>
      <w:pPr>
        <w:numPr>
          <w:ilvl w:val="0"/>
          <w:numId w:val="1063"/>
        </w:numPr>
        <w:pStyle w:val="Compact"/>
      </w:pPr>
      <w:r>
        <w:t xml:space="preserve">Sayumi York, Notre Dame of Maryland University</w:t>
      </w:r>
    </w:p>
    <w:bookmarkEnd w:id="199"/>
    <w:bookmarkEnd w:id="200"/>
    <w:bookmarkEnd w:id="201"/>
    <w:bookmarkEnd w:id="202"/>
    <w:bookmarkStart w:id="253" w:name="s-rrna-data-in-spreadsheets"/>
    <w:p>
      <w:pPr>
        <w:pStyle w:val="Heading1"/>
      </w:pPr>
      <w:r>
        <w:rPr>
          <w:rStyle w:val="SectionNumber"/>
        </w:rPr>
        <w:t xml:space="preserve">3</w:t>
      </w:r>
      <w:r>
        <w:tab/>
      </w:r>
      <w:r>
        <w:t xml:space="preserve">16S rRNA Data in spreadsheets</w:t>
      </w:r>
    </w:p>
    <w:bookmarkStart w:id="224" w:name="meet-the-miso-study"/>
    <w:p>
      <w:pPr>
        <w:pStyle w:val="Heading2"/>
      </w:pPr>
      <w:r>
        <w:rPr>
          <w:rStyle w:val="SectionNumber"/>
        </w:rPr>
        <w:t xml:space="preserve">3.1</w:t>
      </w:r>
      <w:r>
        <w:tab/>
      </w:r>
      <w:r>
        <w:t xml:space="preserve">Meet the MISO study</w:t>
      </w:r>
    </w:p>
    <w:p>
      <w:pPr>
        <w:pStyle w:val="FirstParagraph"/>
      </w:pPr>
      <w:r>
        <w:t xml:space="preserve">Let’s get prepared to do some research using 16S rRNA data! In this section, we’ll be exploring data from</w:t>
      </w:r>
      <w:r>
        <w:t xml:space="preserve"> </w:t>
      </w:r>
      <w:r>
        <w:rPr>
          <w:iCs/>
          <w:i/>
        </w:rPr>
        <w:t xml:space="preserve">Impact of a 7-day homogeneous diet on interpersonal variation in human gut microbiomes and metabolomes</w:t>
      </w:r>
      <w:r>
        <w:t xml:space="preserve"> </w:t>
      </w:r>
      <w:r>
        <w:t xml:space="preserve">by Guthrie et al. (2022). This study is one of many that explores the relationship between diet and the human gut microbiome and will help familiarize us with the format that 16S rRNA data takes. We’ll start slow and look at just a few lines of data in Google Sheets and then use phyloseq and DESeq2 in R to take our analysis to the next level.</w:t>
      </w:r>
    </w:p>
    <w:p>
      <w:pPr>
        <w:pStyle w:val="BodyText"/>
      </w:pPr>
      <w:r>
        <w:t xml:space="preserve">Human diet has been implicated heavily in the establishment and maintenance of the gut microbiome. For example, human babies undergo a drastic change in the gut microbiome following the transition to solid food.</w:t>
      </w:r>
    </w:p>
    <w:p>
      <w:pPr>
        <w:pStyle w:val="BodyText"/>
      </w:pPr>
      <w:r>
        <w:t xml:space="preserve">It’s difficult to capture the mechanisms and effects of diet on the gut microbiome given the sheer number of variables involved. The microbiome individuality and stability over time (MISO) study aimed to explore the connection between diet, microbiome, and metabolites by looking at the effect of feeding a standardized diet to people over 7 days.</w:t>
      </w:r>
    </w:p>
    <w:bookmarkStart w:id="206" w:name="miso-study-diet-and-sampling-schedule"/>
    <w:p>
      <w:pPr>
        <w:pStyle w:val="Heading3"/>
      </w:pPr>
      <w:r>
        <w:rPr>
          <w:rStyle w:val="SectionNumber"/>
        </w:rPr>
        <w:t xml:space="preserve">3.1.1</w:t>
      </w:r>
      <w:r>
        <w:tab/>
      </w:r>
      <w:r>
        <w:t xml:space="preserve">MISO study diet and sampling schedule</w:t>
      </w:r>
    </w:p>
    <w:p>
      <w:pPr>
        <w:pStyle w:val="FirstParagraph"/>
      </w:pPr>
      <w:r>
        <w:drawing>
          <wp:inline>
            <wp:extent cx="5334000" cy="3000375"/>
            <wp:effectExtent b="0" l="0" r="0" t="0"/>
            <wp:docPr descr="" title="" id="204" name="Picture"/>
            <a:graphic>
              <a:graphicData uri="http://schemas.openxmlformats.org/drawingml/2006/picture">
                <pic:pic>
                  <pic:nvPicPr>
                    <pic:cNvPr descr="16s-spreadsheets_files/figure-docx//1dEZtb0TgLbzhbr3HxQElwg8hENur2HMIzseg19OGd0g_g33d6fd7d4b6_0_27.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figure above shows the study design for the MISO study. You do not need to memorize all these details; feel free to refer to this page throughout the project:</w:t>
      </w:r>
    </w:p>
    <w:p>
      <w:pPr>
        <w:numPr>
          <w:ilvl w:val="0"/>
          <w:numId w:val="1064"/>
        </w:numPr>
        <w:pStyle w:val="Compact"/>
      </w:pPr>
      <w:r>
        <w:t xml:space="preserve">Participants eat their usual,</w:t>
      </w:r>
      <w:r>
        <w:t xml:space="preserve"> </w:t>
      </w:r>
      <w:r>
        <w:rPr>
          <w:bCs/>
          <w:b/>
        </w:rPr>
        <w:t xml:space="preserve">baseline diet (BD) for 14 days</w:t>
      </w:r>
    </w:p>
    <w:p>
      <w:pPr>
        <w:numPr>
          <w:ilvl w:val="0"/>
          <w:numId w:val="1064"/>
        </w:numPr>
        <w:pStyle w:val="Compact"/>
      </w:pPr>
      <w:r>
        <w:t xml:space="preserve">Participants all eat the same diet, the</w:t>
      </w:r>
      <w:r>
        <w:t xml:space="preserve"> </w:t>
      </w:r>
      <w:r>
        <w:rPr>
          <w:bCs/>
          <w:b/>
        </w:rPr>
        <w:t xml:space="preserve">homogenized diet (HD), for 7 days</w:t>
      </w:r>
    </w:p>
    <w:p>
      <w:pPr>
        <w:numPr>
          <w:ilvl w:val="0"/>
          <w:numId w:val="1064"/>
        </w:numPr>
        <w:pStyle w:val="Compact"/>
      </w:pPr>
      <w:r>
        <w:t xml:space="preserve">Participants return to their usual diet during the</w:t>
      </w:r>
      <w:r>
        <w:t xml:space="preserve"> </w:t>
      </w:r>
      <w:r>
        <w:rPr>
          <w:bCs/>
          <w:b/>
        </w:rPr>
        <w:t xml:space="preserve">washout (WO) period for 7 days</w:t>
      </w:r>
    </w:p>
    <w:p>
      <w:pPr>
        <w:pStyle w:val="FirstParagraph"/>
      </w:pPr>
      <w:r>
        <w:t xml:space="preserve">The study lasts a total of 28 days. Samples from the blood, stool, and urine, our metabolite and 16S rRNA data are taken at 5 different timepoints:</w:t>
      </w:r>
    </w:p>
    <w:p>
      <w:pPr>
        <w:numPr>
          <w:ilvl w:val="0"/>
          <w:numId w:val="1065"/>
        </w:numPr>
        <w:pStyle w:val="Compact"/>
      </w:pPr>
      <w:r>
        <w:rPr>
          <w:bCs/>
          <w:b/>
        </w:rPr>
        <w:t xml:space="preserve">Timepoint 1:</w:t>
      </w:r>
      <w:r>
        <w:t xml:space="preserve"> </w:t>
      </w:r>
      <w:r>
        <w:t xml:space="preserve">Day 0 (the start of the study)</w:t>
      </w:r>
    </w:p>
    <w:p>
      <w:pPr>
        <w:numPr>
          <w:ilvl w:val="0"/>
          <w:numId w:val="1065"/>
        </w:numPr>
        <w:pStyle w:val="Compact"/>
      </w:pPr>
      <w:r>
        <w:rPr>
          <w:bCs/>
          <w:b/>
        </w:rPr>
        <w:t xml:space="preserve">Timepoint 2:</w:t>
      </w:r>
      <w:r>
        <w:t xml:space="preserve"> </w:t>
      </w:r>
      <w:r>
        <w:t xml:space="preserve">Day 13</w:t>
      </w:r>
    </w:p>
    <w:p>
      <w:pPr>
        <w:numPr>
          <w:ilvl w:val="0"/>
          <w:numId w:val="1065"/>
        </w:numPr>
        <w:pStyle w:val="Compact"/>
      </w:pPr>
      <w:r>
        <w:rPr>
          <w:bCs/>
          <w:b/>
        </w:rPr>
        <w:t xml:space="preserve">Timepoint 3:</w:t>
      </w:r>
      <w:r>
        <w:t xml:space="preserve"> </w:t>
      </w:r>
      <w:r>
        <w:t xml:space="preserve">Day 17</w:t>
      </w:r>
    </w:p>
    <w:p>
      <w:pPr>
        <w:numPr>
          <w:ilvl w:val="0"/>
          <w:numId w:val="1065"/>
        </w:numPr>
        <w:pStyle w:val="Compact"/>
      </w:pPr>
      <w:r>
        <w:rPr>
          <w:bCs/>
          <w:b/>
        </w:rPr>
        <w:t xml:space="preserve">Timepoint 4:</w:t>
      </w:r>
      <w:r>
        <w:t xml:space="preserve"> </w:t>
      </w:r>
      <w:r>
        <w:t xml:space="preserve">Day 21</w:t>
      </w:r>
    </w:p>
    <w:p>
      <w:pPr>
        <w:numPr>
          <w:ilvl w:val="0"/>
          <w:numId w:val="1065"/>
        </w:numPr>
        <w:pStyle w:val="Compact"/>
      </w:pPr>
      <w:r>
        <w:rPr>
          <w:bCs/>
          <w:b/>
        </w:rPr>
        <w:t xml:space="preserve">Timepoint 5:</w:t>
      </w:r>
      <w:r>
        <w:t xml:space="preserve"> </w:t>
      </w:r>
      <w:r>
        <w:t xml:space="preserve">Day 28</w:t>
      </w:r>
    </w:p>
    <w:bookmarkEnd w:id="206"/>
    <w:bookmarkStart w:id="213" w:name="miso-study-variables-and-factors"/>
    <w:p>
      <w:pPr>
        <w:pStyle w:val="Heading3"/>
      </w:pPr>
      <w:r>
        <w:rPr>
          <w:rStyle w:val="SectionNumber"/>
        </w:rPr>
        <w:t xml:space="preserve">3.1.2</w:t>
      </w:r>
      <w:r>
        <w:tab/>
      </w:r>
      <w:r>
        <w:t xml:space="preserve">MISO study variables and factors</w:t>
      </w:r>
    </w:p>
    <w:p>
      <w:pPr>
        <w:pStyle w:val="FirstParagraph"/>
      </w:pPr>
      <w:r>
        <w:drawing>
          <wp:inline>
            <wp:extent cx="5334000" cy="3000375"/>
            <wp:effectExtent b="0" l="0" r="0" t="0"/>
            <wp:docPr descr="" title="" id="208" name="Picture"/>
            <a:graphic>
              <a:graphicData uri="http://schemas.openxmlformats.org/drawingml/2006/picture">
                <pic:pic>
                  <pic:nvPicPr>
                    <pic:cNvPr descr="16s-spreadsheets_files/figure-docx//1dEZtb0TgLbzhbr3HxQElwg8hENur2HMIzseg19OGd0g_g33d6fd7d4b6_0_61.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 number of variables we can use in our analysis. Notice that the variables for the study and subjects are in lowercase. This is also how you will access these variables in R.</w:t>
      </w:r>
    </w:p>
    <w:bookmarkStart w:id="210" w:name="study-design-variables"/>
    <w:p>
      <w:pPr>
        <w:pStyle w:val="Heading4"/>
      </w:pPr>
      <w:r>
        <w:rPr>
          <w:rStyle w:val="SectionNumber"/>
        </w:rPr>
        <w:t xml:space="preserve">3.1.2.1</w:t>
      </w:r>
      <w:r>
        <w:tab/>
      </w:r>
      <w:r>
        <w:t xml:space="preserve">Study design variables</w:t>
      </w:r>
    </w:p>
    <w:tbl>
      <w:tblPr>
        <w:tblStyle w:val="Table"/>
        <w:tblW w:type="pct" w:w="5000"/>
        <w:tblLook w:firstRow="1" w:lastRow="0" w:firstColumn="0" w:lastColumn="0" w:noHBand="0" w:noVBand="0" w:val="0020"/>
        <w:jc w:val="start"/>
      </w:tblPr>
      <w:tblGrid>
        <w:gridCol w:w="1650"/>
        <w:gridCol w:w="4620"/>
        <w:gridCol w:w="165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timepoint</w:t>
            </w:r>
          </w:p>
        </w:tc>
        <w:tc>
          <w:tcPr/>
          <w:p>
            <w:pPr>
              <w:pStyle w:val="Compact"/>
              <w:jc w:val="left"/>
            </w:pPr>
            <w:r>
              <w:t xml:space="preserve">The 5 samplings that occur on days 0, 13, 17, 21, and 28 coded as timepoints 1 through 5</w:t>
            </w:r>
          </w:p>
        </w:tc>
        <w:tc>
          <w:tcPr/>
          <w:p>
            <w:pPr>
              <w:pStyle w:val="Compact"/>
              <w:jc w:val="right"/>
            </w:pPr>
            <w:r>
              <w:t xml:space="preserve">1, 2, 3, 4, 5</w:t>
            </w:r>
          </w:p>
        </w:tc>
      </w:tr>
      <w:tr>
        <w:tc>
          <w:tcPr/>
          <w:p>
            <w:pPr>
              <w:pStyle w:val="Compact"/>
              <w:jc w:val="left"/>
            </w:pPr>
            <w:r>
              <w:t xml:space="preserve">diet</w:t>
            </w:r>
          </w:p>
        </w:tc>
        <w:tc>
          <w:tcPr/>
          <w:p>
            <w:pPr>
              <w:pStyle w:val="Compact"/>
              <w:jc w:val="left"/>
            </w:pPr>
            <w:r>
              <w:t xml:space="preserve">The diet the subject was on during the sampling</w:t>
            </w:r>
          </w:p>
        </w:tc>
        <w:tc>
          <w:tcPr/>
          <w:p>
            <w:pPr>
              <w:pStyle w:val="Compact"/>
              <w:jc w:val="right"/>
            </w:pPr>
            <w:r>
              <w:t xml:space="preserve">BD, HD, WO</w:t>
            </w:r>
          </w:p>
        </w:tc>
      </w:tr>
    </w:tbl>
    <w:bookmarkEnd w:id="210"/>
    <w:bookmarkStart w:id="211" w:name="subject-variables"/>
    <w:p>
      <w:pPr>
        <w:pStyle w:val="Heading4"/>
      </w:pPr>
      <w:r>
        <w:rPr>
          <w:rStyle w:val="SectionNumber"/>
        </w:rPr>
        <w:t xml:space="preserve">3.1.2.2</w:t>
      </w:r>
      <w:r>
        <w:tab/>
      </w:r>
      <w:r>
        <w:t xml:space="preserve">Subject variables</w:t>
      </w:r>
    </w:p>
    <w:tbl>
      <w:tblPr>
        <w:tblStyle w:val="Table"/>
        <w:tblW w:type="pct" w:w="5000"/>
        <w:tblLook w:firstRow="1" w:lastRow="0" w:firstColumn="0" w:lastColumn="0" w:noHBand="0" w:noVBand="0" w:val="0020"/>
        <w:jc w:val="start"/>
      </w:tblPr>
      <w:tblGrid>
        <w:gridCol w:w="1440"/>
        <w:gridCol w:w="2880"/>
        <w:gridCol w:w="360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subject</w:t>
            </w:r>
          </w:p>
        </w:tc>
        <w:tc>
          <w:tcPr/>
          <w:p>
            <w:pPr>
              <w:pStyle w:val="Compact"/>
              <w:jc w:val="left"/>
            </w:pPr>
            <w:r>
              <w:t xml:space="preserve">A unique ID given to each subject (participant)</w:t>
            </w:r>
          </w:p>
        </w:tc>
        <w:tc>
          <w:tcPr/>
          <w:p>
            <w:pPr>
              <w:pStyle w:val="Compact"/>
              <w:jc w:val="right"/>
            </w:pPr>
            <w:r>
              <w:t xml:space="preserve">S## (ex. S02 is subject 2. Note that while there are a total of 21 subjects in the study, but their subject numbers are not 1 through 20</w:t>
            </w:r>
          </w:p>
        </w:tc>
      </w:tr>
      <w:tr>
        <w:tc>
          <w:tcPr/>
          <w:p>
            <w:pPr>
              <w:pStyle w:val="Compact"/>
              <w:jc w:val="left"/>
            </w:pPr>
            <w:r>
              <w:t xml:space="preserve">sample</w:t>
            </w:r>
          </w:p>
        </w:tc>
        <w:tc>
          <w:tcPr/>
          <w:p>
            <w:pPr>
              <w:pStyle w:val="Compact"/>
              <w:jc w:val="left"/>
            </w:pPr>
            <w:r>
              <w:t xml:space="preserve">A unique ID given to every sample taken during the study that includes the subject and timepoint of the sample</w:t>
            </w:r>
          </w:p>
        </w:tc>
        <w:tc>
          <w:tcPr/>
          <w:p>
            <w:pPr>
              <w:pStyle w:val="Compact"/>
              <w:jc w:val="right"/>
            </w:pPr>
            <w:r>
              <w:t xml:space="preserve">MISO-Subject##-Sample# (ex. MISO1-S02-1 is the sample from subject 2 at timepoint 1)</w:t>
            </w:r>
          </w:p>
        </w:tc>
      </w:tr>
      <w:tr>
        <w:tc>
          <w:tcPr/>
          <w:p>
            <w:pPr>
              <w:pStyle w:val="Compact"/>
              <w:jc w:val="left"/>
            </w:pPr>
            <w:r>
              <w:t xml:space="preserve">gender</w:t>
            </w:r>
          </w:p>
        </w:tc>
        <w:tc>
          <w:tcPr/>
          <w:p>
            <w:pPr>
              <w:pStyle w:val="Compact"/>
              <w:jc w:val="left"/>
            </w:pPr>
            <w:r>
              <w:t xml:space="preserve">The gender of the subject</w:t>
            </w:r>
          </w:p>
        </w:tc>
        <w:tc>
          <w:tcPr/>
          <w:p>
            <w:pPr>
              <w:pStyle w:val="Compact"/>
              <w:jc w:val="right"/>
            </w:pPr>
            <w:r>
              <w:t xml:space="preserve">M, F. All subjects were cisgender</w:t>
            </w:r>
          </w:p>
        </w:tc>
      </w:tr>
      <w:tr>
        <w:tc>
          <w:tcPr/>
          <w:p>
            <w:pPr>
              <w:pStyle w:val="Compact"/>
              <w:jc w:val="left"/>
            </w:pPr>
            <w:r>
              <w:t xml:space="preserve">age</w:t>
            </w:r>
          </w:p>
        </w:tc>
        <w:tc>
          <w:tcPr/>
          <w:p>
            <w:pPr>
              <w:pStyle w:val="Compact"/>
              <w:jc w:val="left"/>
            </w:pPr>
            <w:r>
              <w:t xml:space="preserve">The age in years of the subject</w:t>
            </w:r>
          </w:p>
        </w:tc>
        <w:tc>
          <w:tcPr/>
          <w:p>
            <w:pPr>
              <w:pStyle w:val="Compact"/>
              <w:jc w:val="right"/>
            </w:pPr>
            <w:r>
              <w:t xml:space="preserve">A continuous variable from 23 to 75 years old</w:t>
            </w:r>
          </w:p>
        </w:tc>
      </w:tr>
      <w:tr>
        <w:tc>
          <w:tcPr/>
          <w:p>
            <w:pPr>
              <w:pStyle w:val="Compact"/>
              <w:jc w:val="left"/>
            </w:pPr>
            <w:r>
              <w:t xml:space="preserve">bsa</w:t>
            </w:r>
          </w:p>
        </w:tc>
        <w:tc>
          <w:tcPr/>
          <w:p>
            <w:pPr>
              <w:pStyle w:val="Compact"/>
              <w:jc w:val="left"/>
            </w:pPr>
            <w:r>
              <w:t xml:space="preserve">Body surface area; a measure of body size</w:t>
            </w:r>
          </w:p>
        </w:tc>
        <w:tc>
          <w:tcPr/>
          <w:p>
            <w:pPr>
              <w:pStyle w:val="Compact"/>
              <w:jc w:val="right"/>
            </w:pPr>
            <w:r>
              <w:t xml:space="preserve">A continuous variable from 1.6 to 2.8</w:t>
            </w:r>
          </w:p>
        </w:tc>
      </w:tr>
    </w:tbl>
    <w:bookmarkEnd w:id="211"/>
    <w:bookmarkStart w:id="212" w:name="metabolite-variables"/>
    <w:p>
      <w:pPr>
        <w:pStyle w:val="Heading4"/>
      </w:pPr>
      <w:r>
        <w:rPr>
          <w:rStyle w:val="SectionNumber"/>
        </w:rPr>
        <w:t xml:space="preserve">3.1.2.3</w:t>
      </w:r>
      <w:r>
        <w:tab/>
      </w:r>
      <w:r>
        <w:t xml:space="preserve">Metabolite variables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What is it?</w:t>
            </w:r>
          </w:p>
        </w:tc>
        <w:tc>
          <w:tcPr/>
          <w:p>
            <w:pPr>
              <w:pStyle w:val="Compact"/>
              <w:jc w:val="right"/>
            </w:pPr>
            <w:r>
              <w:t xml:space="preserve">Factors</w:t>
            </w:r>
          </w:p>
        </w:tc>
      </w:tr>
      <w:tr>
        <w:tc>
          <w:tcPr/>
          <w:p>
            <w:pPr>
              <w:pStyle w:val="Compact"/>
              <w:jc w:val="left"/>
            </w:pPr>
            <w:r>
              <w:t xml:space="preserve">Creatinine</w:t>
            </w:r>
          </w:p>
        </w:tc>
        <w:tc>
          <w:tcPr/>
          <w:p>
            <w:pPr>
              <w:pStyle w:val="Compact"/>
              <w:jc w:val="left"/>
            </w:pPr>
            <w:r>
              <w:t xml:space="preserve">Creatinine</w:t>
            </w:r>
          </w:p>
        </w:tc>
        <w:tc>
          <w:tcPr/>
          <w:p>
            <w:pPr>
              <w:pStyle w:val="Compact"/>
              <w:jc w:val="right"/>
            </w:pPr>
            <w:r>
              <w:t xml:space="preserve">A continuous variable from 1072 to 3971</w:t>
            </w:r>
          </w:p>
        </w:tc>
      </w:tr>
      <w:tr>
        <w:tc>
          <w:tcPr/>
          <w:p>
            <w:pPr>
              <w:pStyle w:val="Compact"/>
              <w:jc w:val="left"/>
            </w:pPr>
            <w:r>
              <w:t xml:space="preserve">PCS</w:t>
            </w:r>
          </w:p>
        </w:tc>
        <w:tc>
          <w:tcPr/>
          <w:p>
            <w:pPr>
              <w:pStyle w:val="Compact"/>
              <w:jc w:val="left"/>
            </w:pPr>
            <w:r>
              <w:rPr>
                <w:iCs/>
                <w:i/>
              </w:rPr>
              <w:t xml:space="preserve">p</w:t>
            </w:r>
            <w:r>
              <w:t xml:space="preserve">-cresol sulfate</w:t>
            </w:r>
          </w:p>
        </w:tc>
        <w:tc>
          <w:tcPr/>
          <w:p>
            <w:pPr>
              <w:pStyle w:val="Compact"/>
              <w:jc w:val="right"/>
            </w:pPr>
            <w:r>
              <w:t xml:space="preserve">A continuous variable from 2 to 95</w:t>
            </w:r>
          </w:p>
        </w:tc>
      </w:tr>
      <w:tr>
        <w:tc>
          <w:tcPr/>
          <w:p>
            <w:pPr>
              <w:pStyle w:val="Compact"/>
              <w:jc w:val="left"/>
            </w:pPr>
            <w:r>
              <w:t xml:space="preserve">IS</w:t>
            </w:r>
          </w:p>
        </w:tc>
        <w:tc>
          <w:tcPr/>
          <w:p>
            <w:pPr>
              <w:pStyle w:val="Compact"/>
              <w:jc w:val="left"/>
            </w:pPr>
            <w:r>
              <w:t xml:space="preserve">Indoxyl sulfate</w:t>
            </w:r>
          </w:p>
        </w:tc>
        <w:tc>
          <w:tcPr/>
          <w:p>
            <w:pPr>
              <w:pStyle w:val="Compact"/>
              <w:jc w:val="right"/>
            </w:pPr>
            <w:r>
              <w:t xml:space="preserve">A continuous variable from 3 to 58</w:t>
            </w:r>
          </w:p>
        </w:tc>
      </w:tr>
      <w:tr>
        <w:tc>
          <w:tcPr/>
          <w:p>
            <w:pPr>
              <w:pStyle w:val="Compact"/>
              <w:jc w:val="left"/>
            </w:pPr>
            <w:r>
              <w:t xml:space="preserve">HIPP</w:t>
            </w:r>
          </w:p>
        </w:tc>
        <w:tc>
          <w:tcPr/>
          <w:p>
            <w:pPr>
              <w:pStyle w:val="Compact"/>
              <w:jc w:val="left"/>
            </w:pPr>
            <w:r>
              <w:t xml:space="preserve">Hippuric acid</w:t>
            </w:r>
          </w:p>
        </w:tc>
        <w:tc>
          <w:tcPr/>
          <w:p>
            <w:pPr>
              <w:pStyle w:val="Compact"/>
              <w:jc w:val="right"/>
            </w:pPr>
            <w:r>
              <w:t xml:space="preserve">A continuous variable from 16 to 1119</w:t>
            </w:r>
          </w:p>
        </w:tc>
      </w:tr>
      <w:tr>
        <w:tc>
          <w:tcPr/>
          <w:p>
            <w:pPr>
              <w:pStyle w:val="Compact"/>
              <w:jc w:val="left"/>
            </w:pPr>
            <w:r>
              <w:t xml:space="preserve">PAG</w:t>
            </w:r>
          </w:p>
        </w:tc>
        <w:tc>
          <w:tcPr/>
          <w:p>
            <w:pPr>
              <w:pStyle w:val="Compact"/>
              <w:jc w:val="left"/>
            </w:pPr>
            <w:r>
              <w:t xml:space="preserve">Phenylacetylglutamine</w:t>
            </w:r>
          </w:p>
        </w:tc>
        <w:tc>
          <w:tcPr/>
          <w:p>
            <w:pPr>
              <w:pStyle w:val="Compact"/>
              <w:jc w:val="right"/>
            </w:pPr>
            <w:r>
              <w:t xml:space="preserve">A continuous variable from 16 to 318</w:t>
            </w:r>
          </w:p>
        </w:tc>
      </w:tr>
    </w:tbl>
    <w:bookmarkEnd w:id="212"/>
    <w:bookmarkEnd w:id="213"/>
    <w:bookmarkStart w:id="220" w:name="amplicon-sequence-variants-asvs-data"/>
    <w:p>
      <w:pPr>
        <w:pStyle w:val="Heading3"/>
      </w:pPr>
      <w:r>
        <w:rPr>
          <w:rStyle w:val="SectionNumber"/>
        </w:rPr>
        <w:t xml:space="preserve">3.1.3</w:t>
      </w:r>
      <w:r>
        <w:tab/>
      </w:r>
      <w:r>
        <w:t xml:space="preserve">Amplicon sequence variants (ASVs) data</w:t>
      </w:r>
    </w:p>
    <w:p>
      <w:pPr>
        <w:pStyle w:val="FirstParagraph"/>
      </w:pPr>
      <w:r>
        <w:t xml:space="preserve">Finally we have our microbe count data, or our</w:t>
      </w:r>
      <w:r>
        <w:t xml:space="preserve"> </w:t>
      </w:r>
      <w:r>
        <w:rPr>
          <w:iCs/>
          <w:i/>
        </w:rPr>
        <w:t xml:space="preserve">Amplicon Sequence Variants (ASVs)</w:t>
      </w:r>
      <w:r>
        <w:t xml:space="preserve">. Each ASV is a unique sequences that differs by as little as a single nucleotide from other ASVs and represents a specific microbe. We have assigned taxonomy to these microbes, but not all microbes have taxonomic data through the species level. These missing fields will appear as NA in the data.</w:t>
      </w:r>
    </w:p>
    <w:p>
      <w:pPr>
        <w:pStyle w:val="BodyText"/>
      </w:pPr>
      <w:r>
        <w:drawing>
          <wp:inline>
            <wp:extent cx="5334000" cy="3000375"/>
            <wp:effectExtent b="0" l="0" r="0" t="0"/>
            <wp:docPr descr="" title="" id="215" name="Picture"/>
            <a:graphic>
              <a:graphicData uri="http://schemas.openxmlformats.org/drawingml/2006/picture">
                <pic:pic>
                  <pic:nvPicPr>
                    <pic:cNvPr descr="16s-spreadsheets_files/figure-docx//1dEZtb0TgLbzhbr3HxQElwg8hENur2HMIzseg19OGd0g_g33d6fd7d4b6_0_136.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may see the word Operational Taxonomic Unit (OTU) in phyloseq and in other published studies.</w:t>
      </w:r>
      <w:r>
        <w:t xml:space="preserve"> </w:t>
      </w:r>
      <w:r>
        <w:rPr>
          <w:bCs/>
          <w:b/>
        </w:rPr>
        <w:t xml:space="preserve">ASVs and OTUs have some differences between them but they both represent distinct units of microbial taxa</w:t>
      </w:r>
      <w:r>
        <w:t xml:space="preserve">, although they have some key differences.</w:t>
      </w:r>
    </w:p>
    <w:p>
      <w:pPr>
        <w:pStyle w:val="BodyText"/>
      </w:pPr>
      <w:r>
        <w:t xml:space="preserve">Each sample is associated with a count of each ASV. We can compare the counts of these ASVs between samples to determine differences in the composition of the microbiome between samples.</w:t>
      </w:r>
    </w:p>
    <w:p>
      <w:pPr>
        <w:pStyle w:val="BodyText"/>
      </w:pPr>
      <w:r>
        <w:drawing>
          <wp:inline>
            <wp:extent cx="5334000" cy="3000375"/>
            <wp:effectExtent b="0" l="0" r="0" t="0"/>
            <wp:docPr descr="" title="" id="218" name="Picture"/>
            <a:graphic>
              <a:graphicData uri="http://schemas.openxmlformats.org/drawingml/2006/picture">
                <pic:pic>
                  <pic:nvPicPr>
                    <pic:cNvPr descr="16s-spreadsheets_files/figure-docx//1dEZtb0TgLbzhbr3HxQElwg8hENur2HMIzseg19OGd0g_g33d6fd7d4b6_0_113.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bookmarkEnd w:id="220"/>
    <w:bookmarkStart w:id="223" w:name="footnotes-5"/>
    <w:p>
      <w:pPr>
        <w:pStyle w:val="Heading3"/>
      </w:pPr>
      <w:r>
        <w:rPr>
          <w:rStyle w:val="SectionNumber"/>
        </w:rPr>
        <w:t xml:space="preserve">3.1.4</w:t>
      </w:r>
      <w:r>
        <w:tab/>
      </w:r>
      <w:r>
        <w:t xml:space="preserve">Footnotes</w:t>
      </w:r>
    </w:p>
    <w:bookmarkStart w:id="221" w:name="resources-9"/>
    <w:p>
      <w:pPr>
        <w:pStyle w:val="Heading4"/>
      </w:pPr>
      <w:r>
        <w:rPr>
          <w:rStyle w:val="SectionNumber"/>
        </w:rPr>
        <w:t xml:space="preserve">3.1.4.1</w:t>
      </w:r>
      <w:r>
        <w:tab/>
      </w:r>
      <w:r>
        <w:t xml:space="preserve">Resources</w:t>
      </w:r>
    </w:p>
    <w:bookmarkEnd w:id="221"/>
    <w:bookmarkStart w:id="222" w:name="contributions-and-affiliations-5"/>
    <w:p>
      <w:pPr>
        <w:pStyle w:val="Heading4"/>
      </w:pPr>
      <w:r>
        <w:rPr>
          <w:rStyle w:val="SectionNumber"/>
        </w:rPr>
        <w:t xml:space="preserve">3.1.4.2</w:t>
      </w:r>
      <w:r>
        <w:tab/>
      </w:r>
      <w:r>
        <w:t xml:space="preserve">Contributions and affiliations</w:t>
      </w:r>
    </w:p>
    <w:p>
      <w:pPr>
        <w:numPr>
          <w:ilvl w:val="0"/>
          <w:numId w:val="1066"/>
        </w:numPr>
        <w:pStyle w:val="Compact"/>
      </w:pPr>
      <w:r>
        <w:t xml:space="preserve">Sayumi York, Notre Dame of Maryland University</w:t>
      </w:r>
    </w:p>
    <w:bookmarkEnd w:id="222"/>
    <w:bookmarkEnd w:id="223"/>
    <w:bookmarkEnd w:id="224"/>
    <w:bookmarkStart w:id="225" w:name="exploring-16s-rrna-data-in-spreadsheets"/>
    <w:p>
      <w:pPr>
        <w:pStyle w:val="Heading2"/>
      </w:pPr>
      <w:r>
        <w:rPr>
          <w:rStyle w:val="SectionNumber"/>
        </w:rPr>
        <w:t xml:space="preserve">3.2</w:t>
      </w:r>
      <w:r>
        <w:tab/>
      </w:r>
      <w:r>
        <w:t xml:space="preserve">Exploring 16S rRNA data in spreadsheets</w:t>
      </w:r>
    </w:p>
    <w:p>
      <w:pPr>
        <w:pStyle w:val="FirstParagraph"/>
      </w:pPr>
      <w:r>
        <w:t xml:space="preserve">In this section we will look at 16S data in a spreadsheet via Google Sheets. We will familiarize ourselves with the format of 16S data and manipulate just a few ASVs to better understand what kinds of research questions we can ask with the data. Through this exercise we will also come to understand the necessity of more powerful analysis tools in R; sorting through trends in a spreadsheet could take years!</w:t>
      </w:r>
    </w:p>
    <w:bookmarkEnd w:id="225"/>
    <w:bookmarkStart w:id="230" w:name="Xa4adffd64d730ef6c179c36c2b3e5f3e9720550"/>
    <w:p>
      <w:pPr>
        <w:pStyle w:val="Heading2"/>
      </w:pPr>
      <w:r>
        <w:rPr>
          <w:rStyle w:val="SectionNumber"/>
        </w:rPr>
        <w:t xml:space="preserve">3.3</w:t>
      </w:r>
      <w:r>
        <w:tab/>
      </w:r>
      <w:r>
        <w:t xml:space="preserve">Lecture - Introducing 16S rRNA Data Using Spreadsheets</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27" name="Picture"/>
            <a:graphic>
              <a:graphicData uri="http://schemas.openxmlformats.org/drawingml/2006/picture">
                <pic:pic>
                  <pic:nvPicPr>
                    <pic:cNvPr descr="16s-spreadsheets_files/figure-docx//14E26SbzaLEDJxAaZ1qjaZcJehAI8q2GHuTokNPKKDTc_g35f391192_00.png" id="228" name="Picture"/>
                    <pic:cNvPicPr>
                      <a:picLocks noChangeArrowheads="1" noChangeAspect="1"/>
                    </pic:cNvPicPr>
                  </pic:nvPicPr>
                  <pic:blipFill>
                    <a:blip r:embed="rId2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29">
        <w:r>
          <w:rPr>
            <w:rStyle w:val="Hyperlink"/>
          </w:rPr>
          <w:t xml:space="preserve">Lecture</w:t>
        </w:r>
      </w:hyperlink>
    </w:p>
    <w:bookmarkEnd w:id="230"/>
    <w:bookmarkStart w:id="252" w:name="X9e46f28e70cb752bc00517ef07657b846892b91"/>
    <w:p>
      <w:pPr>
        <w:pStyle w:val="Heading2"/>
      </w:pPr>
      <w:r>
        <w:rPr>
          <w:rStyle w:val="SectionNumber"/>
        </w:rPr>
        <w:t xml:space="preserve">3.4</w:t>
      </w:r>
      <w:r>
        <w:tab/>
      </w:r>
      <w:r>
        <w:t xml:space="preserve">Activity - Introducing 16S rRNA Data Using Spreadsheets</w:t>
      </w:r>
    </w:p>
    <w:bookmarkStart w:id="232" w:name="purpose-6"/>
    <w:p>
      <w:pPr>
        <w:pStyle w:val="Heading3"/>
      </w:pPr>
      <w:r>
        <w:rPr>
          <w:rStyle w:val="SectionNumber"/>
        </w:rPr>
        <w:t xml:space="preserve">3.4.1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in individuals.</w:t>
      </w:r>
    </w:p>
    <w:p>
      <w:pPr>
        <w:pStyle w:val="BodyText"/>
      </w:pPr>
      <w:r>
        <w:t xml:space="preserve">This spreadsheet activity aims to orient you towards understanding the data and metadata content of this study. In subsequent activities, you will explore and analyze this data using the R/Bioconductor package phyloseq. Google Sheets and R are both useful for doing different analyses, so keep in mind the tools at your disposal and what will be the most efficient way to answer your research questions.</w:t>
      </w:r>
    </w:p>
    <w:p>
      <w:pPr>
        <w:pStyle w:val="BodyText"/>
      </w:pPr>
      <w:r>
        <w:rPr>
          <w:bCs/>
          <w:b/>
        </w:rPr>
        <w:t xml:space="preserve">Please note that this activity takes place in Google Sheets.</w:t>
      </w:r>
      <w:r>
        <w:t xml:space="preserve"> </w:t>
      </w:r>
      <w:r>
        <w:t xml:space="preserve">It is possible to do the same analysis in Microsoft Excel although the individual steps you will take are different. To help make things easier for everyone, we strongly recommend everyone uses Google Sheets; all our instructions will be specific to Sheets. Students who do not have a Google-associated email address can sign up for a free Gmail account and gain access to Google Sheets this way.</w:t>
      </w:r>
    </w:p>
    <w:p>
      <w:pPr>
        <w:pStyle w:val="BodyText"/>
      </w:pPr>
      <w:r>
        <w:rPr>
          <w:bCs/>
          <w:b/>
        </w:rPr>
        <w:t xml:space="preserve">A Google Sheets cheatsheet that covers the necessary steps for this activity is available in our</w:t>
      </w:r>
      <w:r>
        <w:rPr>
          <w:bCs/>
          <w:b/>
        </w:rPr>
        <w:t xml:space="preserve"> </w:t>
      </w:r>
      <w:hyperlink r:id="rId231">
        <w:r>
          <w:rPr>
            <w:rStyle w:val="Hyperlink"/>
            <w:bCs/>
            <w:b/>
          </w:rPr>
          <w:t xml:space="preserve">Spreadsheets 101</w:t>
        </w:r>
      </w:hyperlink>
      <w:r>
        <w:rPr>
          <w:bCs/>
          <w:b/>
        </w:rPr>
        <w:t xml:space="preserve"> </w:t>
      </w:r>
      <w:r>
        <w:rPr>
          <w:bCs/>
          <w:b/>
        </w:rPr>
        <w:t xml:space="preserve">guide.</w:t>
      </w:r>
      <w:r>
        <w:t xml:space="preserve"> </w:t>
      </w:r>
      <w:r>
        <w:t xml:space="preserve">Students who are not experienced using spreadsheet software should note that the instructions build on prior steps.</w:t>
      </w:r>
    </w:p>
    <w:bookmarkEnd w:id="232"/>
    <w:bookmarkStart w:id="233" w:name="learning-objectives-5"/>
    <w:p>
      <w:pPr>
        <w:pStyle w:val="Heading3"/>
      </w:pPr>
      <w:r>
        <w:rPr>
          <w:rStyle w:val="SectionNumber"/>
        </w:rPr>
        <w:t xml:space="preserve">3.4.2</w:t>
      </w:r>
      <w:r>
        <w:tab/>
      </w:r>
      <w:r>
        <w:t xml:space="preserve">Learning objectives</w:t>
      </w:r>
    </w:p>
    <w:p>
      <w:pPr>
        <w:numPr>
          <w:ilvl w:val="0"/>
          <w:numId w:val="1067"/>
        </w:numPr>
        <w:pStyle w:val="Compact"/>
      </w:pPr>
      <w:r>
        <w:t xml:space="preserve">Explore Amplicon Sequence Variants (ASVs) through the taxonomy profile of select ASVs, and sample metadata for a subset of ASVs.</w:t>
      </w:r>
    </w:p>
    <w:p>
      <w:pPr>
        <w:numPr>
          <w:ilvl w:val="0"/>
          <w:numId w:val="1067"/>
        </w:numPr>
        <w:pStyle w:val="Compact"/>
      </w:pPr>
      <w:r>
        <w:t xml:space="preserve">Ask research questions based on data and metadata</w:t>
      </w:r>
    </w:p>
    <w:p>
      <w:pPr>
        <w:numPr>
          <w:ilvl w:val="0"/>
          <w:numId w:val="1068"/>
        </w:numPr>
        <w:pStyle w:val="Compact"/>
      </w:pPr>
      <w:r>
        <w:t xml:space="preserve">How many different microbes (ASVs) are there in a given sample?</w:t>
      </w:r>
    </w:p>
    <w:p>
      <w:pPr>
        <w:numPr>
          <w:ilvl w:val="0"/>
          <w:numId w:val="1068"/>
        </w:numPr>
        <w:pStyle w:val="Compact"/>
      </w:pPr>
      <w:r>
        <w:t xml:space="preserve">Is there an even abundance of microbes (ASVs) in a sample or are there a few that dominate?</w:t>
      </w:r>
    </w:p>
    <w:p>
      <w:pPr>
        <w:numPr>
          <w:ilvl w:val="0"/>
          <w:numId w:val="1068"/>
        </w:numPr>
        <w:pStyle w:val="Compact"/>
      </w:pPr>
      <w:r>
        <w:t xml:space="preserve">How varied are ASVs and their abundance across subjects?</w:t>
      </w:r>
    </w:p>
    <w:p>
      <w:pPr>
        <w:numPr>
          <w:ilvl w:val="0"/>
          <w:numId w:val="1068"/>
        </w:numPr>
        <w:pStyle w:val="Compact"/>
      </w:pPr>
      <w:r>
        <w:t xml:space="preserve">How varied are ASVs and their abundance across diets?</w:t>
      </w:r>
    </w:p>
    <w:bookmarkEnd w:id="233"/>
    <w:bookmarkStart w:id="234" w:name="introduction-6"/>
    <w:p>
      <w:pPr>
        <w:pStyle w:val="Heading3"/>
      </w:pPr>
      <w:r>
        <w:rPr>
          <w:rStyle w:val="SectionNumber"/>
        </w:rPr>
        <w:t xml:space="preserve">3.4.3</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are defined as separate ASVs and as little as 1% difference in ASV sequence can be associated with different species. In this activity you will be exploring ASVs generated with sequencing 250 nucleotides (nt) Illumina sequencing, where Amplicon sequence variants (ASVs) were identified.</w:t>
      </w:r>
    </w:p>
    <w:bookmarkEnd w:id="234"/>
    <w:bookmarkStart w:id="237" w:name="Xaa0d1fbde33bae56a2031a1e7d334da13785e1c"/>
    <w:p>
      <w:pPr>
        <w:pStyle w:val="Heading3"/>
      </w:pPr>
      <w:r>
        <w:rPr>
          <w:rStyle w:val="SectionNumber"/>
        </w:rPr>
        <w:t xml:space="preserve">3.4.4</w:t>
      </w:r>
      <w:r>
        <w:tab/>
      </w:r>
      <w:r>
        <w:t xml:space="preserve">Activity 1 – Quick data overview based on 1 sample</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familiarize ourselves with the data by exploring data from 1 sample only.</w:t>
      </w:r>
    </w:p>
    <w:bookmarkStart w:id="236" w:name="X831cde4a382edecbe3380b97771df7523800efd"/>
    <w:p>
      <w:pPr>
        <w:pStyle w:val="Heading4"/>
      </w:pPr>
      <w:r>
        <w:rPr>
          <w:rStyle w:val="SectionNumber"/>
        </w:rPr>
        <w:t xml:space="preserve">3.4.4.1</w:t>
      </w:r>
      <w:r>
        <w:tab/>
      </w:r>
      <w:r>
        <w:t xml:space="preserve">Activity 1-1. Explore data contents using one sample only, namely MISO1-S02-1 (subject 2, timepoint 1).</w:t>
      </w:r>
    </w:p>
    <w:p>
      <w:pPr>
        <w:pStyle w:val="FirstParagraph"/>
      </w:pPr>
      <w:r>
        <w:t xml:space="preserve">Access</w:t>
      </w:r>
      <w:r>
        <w:t xml:space="preserve"> </w:t>
      </w:r>
      <w:hyperlink r:id="rId235">
        <w:r>
          <w:rPr>
            <w:rStyle w:val="Hyperlink"/>
          </w:rPr>
          <w:t xml:space="preserve">‘</w:t>
        </w:r>
        <w:r>
          <w:rPr>
            <w:rStyle w:val="Hyperlink"/>
          </w:rPr>
          <w:t xml:space="preserve">MISO1-S02-1</w:t>
        </w:r>
        <w:r>
          <w:rPr>
            <w:rStyle w:val="Hyperlink"/>
          </w:rPr>
          <w:t xml:space="preserve">’</w:t>
        </w:r>
      </w:hyperlink>
      <w:r>
        <w:t xml:space="preserve"> </w:t>
      </w:r>
      <w:r>
        <w:t xml:space="preserve">file and open it with Google Sheets.</w:t>
      </w:r>
    </w:p>
    <w:p>
      <w:pPr>
        <w:numPr>
          <w:ilvl w:val="0"/>
          <w:numId w:val="1069"/>
        </w:numPr>
        <w:pStyle w:val="Compact"/>
      </w:pPr>
      <w:r>
        <w:t xml:space="preserve">Rows = ASVs</w:t>
      </w:r>
    </w:p>
    <w:p>
      <w:pPr>
        <w:numPr>
          <w:ilvl w:val="0"/>
          <w:numId w:val="1069"/>
        </w:numPr>
        <w:pStyle w:val="Compact"/>
      </w:pPr>
      <w:r>
        <w:t xml:space="preserve">Columns = Samples and taxonomy:</w:t>
      </w:r>
    </w:p>
    <w:p>
      <w:pPr>
        <w:numPr>
          <w:ilvl w:val="1"/>
          <w:numId w:val="1070"/>
        </w:numPr>
        <w:pStyle w:val="Compact"/>
      </w:pPr>
      <w:r>
        <w:t xml:space="preserve">Col A = ASV id</w:t>
      </w:r>
    </w:p>
    <w:p>
      <w:pPr>
        <w:numPr>
          <w:ilvl w:val="1"/>
          <w:numId w:val="1070"/>
        </w:numPr>
        <w:pStyle w:val="Compact"/>
      </w:pPr>
      <w:r>
        <w:t xml:space="preserve">Cols B-H = Taxonomic information</w:t>
      </w:r>
    </w:p>
    <w:p>
      <w:pPr>
        <w:numPr>
          <w:ilvl w:val="1"/>
          <w:numId w:val="1070"/>
        </w:numPr>
        <w:pStyle w:val="Compact"/>
      </w:pPr>
      <w:r>
        <w:t xml:space="preserve">Col I = ASV counts (for sample MISO1-SO2-1)</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1-1.1 How many microbes (ASVs) are there?</w:t>
            </w:r>
            <w:r>
              <w:t xml:space="preserve"> </w:t>
            </w:r>
            <w:r>
              <w:t xml:space="preserve">This is the # of rows there are in the spreadsheet. Scroll down to the bottom of the sheet and look at the row number or select column A and see the count of all the cells in a row at the bottom right of the window. Remember to not count the header row.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1-1.2 How many microbes are there in this sample?</w:t>
            </w:r>
            <w:r>
              <w:t xml:space="preserve"> </w:t>
            </w:r>
            <w:r>
              <w:t xml:space="preserve">In other words, what is the total number of ASVs per sample?</w:t>
            </w:r>
          </w:p>
        </w:tc>
      </w:tr>
    </w:tbl>
    <w:p>
      <w:pPr>
        <w:numPr>
          <w:ilvl w:val="0"/>
          <w:numId w:val="1071"/>
        </w:numPr>
      </w:pPr>
      <w:r>
        <w:t xml:space="preserve">We can count cells with a specific condition using the following formula: =COUNTIF(CELLS,</w:t>
      </w:r>
      <w:r>
        <w:t xml:space="preserve"> </w:t>
      </w:r>
      <w:r>
        <w:t xml:space="preserve">“</w:t>
      </w:r>
      <w:r>
        <w:t xml:space="preserve">&lt;&gt;0</w:t>
      </w:r>
      <w:r>
        <w:t xml:space="preserve">”</w:t>
      </w:r>
      <w:r>
        <w:t xml:space="preserve">), where CELLS is replaced by the range of cells you want to use in the calculation.</w:t>
      </w:r>
    </w:p>
    <w:p>
      <w:pPr>
        <w:numPr>
          <w:ilvl w:val="0"/>
          <w:numId w:val="1071"/>
        </w:numPr>
      </w:pPr>
      <w:r>
        <w:t xml:space="preserve">For example, for this sample (MISO1-S02-1) in cell J1 enter the formula =COUNTIF(I2:I2185,</w:t>
      </w:r>
      <w:r>
        <w:t xml:space="preserve"> </w:t>
      </w:r>
      <w:r>
        <w:t xml:space="preserve">“</w:t>
      </w:r>
      <w:r>
        <w:t xml:space="preserve">&lt;&gt;0</w:t>
      </w:r>
      <w:r>
        <w:t xml:space="preserve">”</w:t>
      </w:r>
      <w:r>
        <w:t xml:space="preserve">). This formula says, count cells in the range between I2 and I2185 that are not equal to 0. Note that we do not include I1 in the calculation as that is the name of the sample name.</w:t>
      </w:r>
      <w:r>
        <w:t xml:space="preserve"> </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 Microbes: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1-1.3 What taxonomy is associated with ASV1?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1-1.4 What taxonomy is associated with ASV2? Include all taxonomic ranks, even those that are listed as NA.</w:t>
            </w:r>
          </w:p>
        </w:tc>
      </w:tr>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1-1.5 For sample 1 (MISO1-S02-1) what is the count of ASV 1?</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1-1.6 For sample 1 (MISO1-S02-1) what is the count of ASV 2?</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1-1.7 Are ASVs equally abundant throughout the sample? Plot the ASV count distribution (range of ASV abundance) for sample MISO1-S02-1.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ASV distribution.</w:t>
            </w:r>
            <w:r>
              <w:t xml:space="preserve"> </w:t>
            </w:r>
            <w:r>
              <w:t xml:space="preserve">Your chart should have the same format as the example.</w:t>
            </w:r>
          </w:p>
        </w:tc>
      </w:tr>
    </w:tbl>
    <w:p>
      <w:pPr>
        <w:numPr>
          <w:ilvl w:val="0"/>
          <w:numId w:val="1072"/>
        </w:numPr>
      </w:pPr>
      <w:r>
        <w:t xml:space="preserve">To make a bar graph with this data, hold the Command key on a Mac or Ctrl on Windows to select data that are not immediately next to each other and then click on columns A (</w:t>
      </w:r>
      <w:r>
        <w:t xml:space="preserve">“</w:t>
      </w:r>
      <w:r>
        <w:t xml:space="preserve">ASV</w:t>
      </w:r>
      <w:r>
        <w:t xml:space="preserve">”</w:t>
      </w:r>
      <w:r>
        <w:t xml:space="preserve">, which contains ASV ids) and I (</w:t>
      </w:r>
      <w:r>
        <w:t xml:space="preserve"> </w:t>
      </w:r>
      <w:r>
        <w:t xml:space="preserve">“</w:t>
      </w:r>
      <w:r>
        <w:t xml:space="preserve">MISO1-S02-1</w:t>
      </w:r>
      <w:r>
        <w:t xml:space="preserve">”</w:t>
      </w:r>
      <w:r>
        <w:t xml:space="preserve">, which contains counts)</w:t>
      </w:r>
    </w:p>
    <w:p>
      <w:pPr>
        <w:numPr>
          <w:ilvl w:val="0"/>
          <w:numId w:val="1072"/>
        </w:numPr>
      </w:pPr>
      <w:r>
        <w:t xml:space="preserve">In the menu at the top of the screen, select Insert &gt; Chart.</w:t>
      </w:r>
    </w:p>
    <w:p>
      <w:pPr>
        <w:numPr>
          <w:ilvl w:val="0"/>
          <w:numId w:val="1072"/>
        </w:numPr>
      </w:pPr>
      <w:r>
        <w:t xml:space="preserve">Make sure your graph is a bar plot: click on the 3 dots in the top right corner of the plot → edit chart and in the Chart editor, under Chart type, selecting Column Chart.</w:t>
      </w:r>
    </w:p>
    <w:p>
      <w:pPr>
        <w:numPr>
          <w:ilvl w:val="0"/>
          <w:numId w:val="1072"/>
        </w:numPr>
      </w:pPr>
      <w:r>
        <w:t xml:space="preserve">Copy the bar graph into a box below: click on the 3 dots in the top right corner of the plot, select copy chart, then, paste it below.</w:t>
      </w:r>
    </w:p>
    <w:p>
      <w:pPr>
        <w:numPr>
          <w:ilvl w:val="0"/>
          <w:numId w:val="1072"/>
        </w:numPr>
      </w:pPr>
      <w:r>
        <w:t xml:space="preserve">Your graph should look similar to the example graph with the ASVs on the x-axis and counts on the y-axis (although the Y axis is titled the same name of the MISO sample, since this is the name of the column).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graph 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is the ASV with the highest abundance (count) in sample 1?</w:t>
            </w:r>
            <w:r>
              <w:t xml:space="preserve"> </w:t>
            </w:r>
            <w:r>
              <w:t xml:space="preserve">To find this answer hover over the tallest bar in your ASV distribution plot from activity at its highest point.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Describe the pattern of abundance in ASVs for this sample.</w:t>
            </w:r>
            <w:r>
              <w:t xml:space="preserve"> </w:t>
            </w:r>
            <w:r>
              <w:t xml:space="preserve">Is the abundance of ASVs evenly distributed (left in the example graph) where each ASV is approximately the same abundance (count) or is the abundance of ASVs unevenly distributed (right in the example graph), where some ASVs have very high and/or very low counts?</w:t>
            </w:r>
          </w:p>
        </w:tc>
      </w:tr>
      <w:tr>
        <w:tc>
          <w:tcPr/>
          <w:p>
            <w:pPr>
              <w:pStyle w:val="Compact"/>
              <w:jc w:val="left"/>
            </w:pPr>
          </w:p>
        </w:tc>
      </w:tr>
    </w:tbl>
    <w:bookmarkEnd w:id="236"/>
    <w:bookmarkEnd w:id="237"/>
    <w:bookmarkStart w:id="241" w:name="Xe0a69a9212b769e6c2500824c8f02943646fd62"/>
    <w:p>
      <w:pPr>
        <w:pStyle w:val="Heading3"/>
      </w:pPr>
      <w:r>
        <w:rPr>
          <w:rStyle w:val="SectionNumber"/>
        </w:rPr>
        <w:t xml:space="preserve">3.4.5</w:t>
      </w:r>
      <w:r>
        <w:tab/>
      </w:r>
      <w:r>
        <w:t xml:space="preserve">Activity 2 – Explore variation between individuals</w:t>
      </w:r>
    </w:p>
    <w:p>
      <w:pPr>
        <w:pStyle w:val="FirstParagraph"/>
      </w:pPr>
      <w:r>
        <w:rPr>
          <w:iCs/>
          <w:i/>
        </w:rPr>
        <w:t xml:space="preserve">Estimated time: 10 min</w:t>
      </w:r>
    </w:p>
    <w:p>
      <w:pPr>
        <w:pStyle w:val="BodyText"/>
      </w:pPr>
      <w:r>
        <w:t xml:space="preserve">One aspect of the Guthrie et al. study is the extent to which diet contributes to interpersonal microbiome variation (variation in microbiome between individuals).</w:t>
      </w:r>
      <w:r>
        <w:t xml:space="preserve"> </w:t>
      </w:r>
      <w:r>
        <w:rPr>
          <w:bCs/>
          <w:b/>
        </w:rPr>
        <w:t xml:space="preserve">How does what you eat affect your gut microbiome?</w:t>
      </w:r>
    </w:p>
    <w:p>
      <w:pPr>
        <w:pStyle w:val="BodyText"/>
      </w:pPr>
      <w:r>
        <w:rPr>
          <w:bCs/>
          <w:b/>
        </w:rPr>
        <w:t xml:space="preserve">To this end, authors standardized the diet for all individuals with the same diet to evaluate how much of an effect the diet has on the microbiome.</w:t>
      </w:r>
      <w:r>
        <w:t xml:space="preserve"> </w:t>
      </w:r>
      <w:r>
        <w:t xml:space="preserve">If people all eat the same diet, will their gut microbiome become more similar to each other? The study period was 28 days long and had 3 dietary conditions:</w:t>
      </w:r>
    </w:p>
    <w:p>
      <w:pPr>
        <w:numPr>
          <w:ilvl w:val="0"/>
          <w:numId w:val="1073"/>
        </w:numPr>
        <w:pStyle w:val="Compact"/>
      </w:pPr>
      <w:r>
        <w:rPr>
          <w:bCs/>
          <w:b/>
        </w:rPr>
        <w:t xml:space="preserve">BD (Baseline diet)</w:t>
      </w:r>
      <w:r>
        <w:t xml:space="preserve">: which lasted 14 days (2 time points collected) and has participants eating what they usually eat.</w:t>
      </w:r>
    </w:p>
    <w:p>
      <w:pPr>
        <w:numPr>
          <w:ilvl w:val="0"/>
          <w:numId w:val="1073"/>
        </w:numPr>
        <w:pStyle w:val="Compact"/>
      </w:pPr>
      <w:r>
        <w:rPr>
          <w:bCs/>
          <w:b/>
        </w:rPr>
        <w:t xml:space="preserve">HD (Homogenized diet)</w:t>
      </w:r>
      <w:r>
        <w:t xml:space="preserve">: which lasted 7 days (2 time points collected), and has all participants on the same diet</w:t>
      </w:r>
    </w:p>
    <w:p>
      <w:pPr>
        <w:numPr>
          <w:ilvl w:val="0"/>
          <w:numId w:val="1073"/>
        </w:numPr>
        <w:pStyle w:val="Compact"/>
      </w:pPr>
      <w:r>
        <w:rPr>
          <w:bCs/>
          <w:b/>
        </w:rPr>
        <w:t xml:space="preserve">WO (washout diet)</w:t>
      </w:r>
      <w:r>
        <w:t xml:space="preserve">: which lasted for 7 days where participants choose their own diet again</w:t>
      </w:r>
    </w:p>
    <w:p>
      <w:pPr>
        <w:pStyle w:val="FirstParagraph"/>
      </w:pPr>
      <w:r>
        <w:rPr>
          <w:bCs/>
          <w:b/>
        </w:rPr>
        <w:t xml:space="preserve">To explore variation between individuals, here we simplify the dietary variation to a single condition, WO.</w:t>
      </w:r>
    </w:p>
    <w:p>
      <w:pPr>
        <w:numPr>
          <w:ilvl w:val="0"/>
          <w:numId w:val="1074"/>
        </w:numPr>
      </w:pPr>
      <w:r>
        <w:t xml:space="preserve">For this activity, the data file</w:t>
      </w:r>
      <w:r>
        <w:t xml:space="preserve"> </w:t>
      </w:r>
      <w:hyperlink r:id="rId238">
        <w:r>
          <w:rPr>
            <w:rStyle w:val="Hyperlink"/>
          </w:rPr>
          <w:t xml:space="preserve">MISO_WO</w:t>
        </w:r>
      </w:hyperlink>
      <w:r>
        <w:t xml:space="preserve"> </w:t>
      </w:r>
      <w:r>
        <w:t xml:space="preserve">contains samples pre-filtered for WO condition only (and excludes samples corresponding to BD and HD).</w:t>
      </w:r>
    </w:p>
    <w:p>
      <w:pPr>
        <w:numPr>
          <w:ilvl w:val="0"/>
          <w:numId w:val="1074"/>
        </w:numPr>
      </w:pPr>
      <w:r>
        <w:t xml:space="preserve">Since there is only 1 WO datapoint per individual, each WO sample corresponds to a different individual, so you should see 21 samples.</w:t>
      </w:r>
    </w:p>
    <w:bookmarkStart w:id="239" w:name="X9376faab03f12c2bf3d4a1a46987838618b4ed3"/>
    <w:p>
      <w:pPr>
        <w:pStyle w:val="Heading4"/>
      </w:pPr>
      <w:r>
        <w:rPr>
          <w:rStyle w:val="SectionNumber"/>
        </w:rPr>
        <w:t xml:space="preserve">3.4.5.1</w:t>
      </w:r>
      <w:r>
        <w:tab/>
      </w:r>
      <w:r>
        <w:t xml:space="preserve">Activity 2-1 - What are the most common ASVs between individuals?</w:t>
      </w:r>
    </w:p>
    <w:p>
      <w:pPr>
        <w:pStyle w:val="FirstParagraph"/>
      </w:pPr>
      <w:r>
        <w:t xml:space="preserve">IMPORTANT: An ASV is associated with an individual if it is NOT a zero. Zero means that particular ASV was not found in the individual, so you need to exclude zeroes from your calculations.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Calculate the number of samples associated with each ASV. Record first 5 values below.</w:t>
            </w:r>
          </w:p>
        </w:tc>
      </w:tr>
    </w:tbl>
    <w:p>
      <w:pPr>
        <w:numPr>
          <w:ilvl w:val="0"/>
          <w:numId w:val="1075"/>
        </w:numPr>
        <w:pStyle w:val="Compact"/>
      </w:pPr>
      <w:r>
        <w:t xml:space="preserve">Create an empty new first column for temporary calculations by right clicking column A and selecting</w:t>
      </w:r>
      <w:r>
        <w:t xml:space="preserve"> </w:t>
      </w:r>
      <w:r>
        <w:t xml:space="preserve">“</w:t>
      </w:r>
      <w:r>
        <w:t xml:space="preserve">Insert 1 column left</w:t>
      </w:r>
      <w:r>
        <w:t xml:space="preserve">”</w:t>
      </w:r>
      <w:r>
        <w:t xml:space="preserve">.</w:t>
      </w:r>
    </w:p>
    <w:p>
      <w:pPr>
        <w:numPr>
          <w:ilvl w:val="0"/>
          <w:numId w:val="1075"/>
        </w:numPr>
        <w:pStyle w:val="Compact"/>
      </w:pPr>
      <w:r>
        <w:t xml:space="preserve">In cell A1, label this new column</w:t>
      </w:r>
      <w:r>
        <w:t xml:space="preserve"> </w:t>
      </w:r>
      <w:r>
        <w:t xml:space="preserve">“</w:t>
      </w:r>
      <w:r>
        <w:t xml:space="preserve">Occurrence</w:t>
      </w:r>
      <w:r>
        <w:t xml:space="preserve">”</w:t>
      </w:r>
      <w:r>
        <w:t xml:space="preserve">.</w:t>
      </w:r>
    </w:p>
    <w:p>
      <w:pPr>
        <w:numPr>
          <w:ilvl w:val="0"/>
          <w:numId w:val="1075"/>
        </w:numPr>
        <w:pStyle w:val="Compact"/>
      </w:pPr>
      <w:r>
        <w:t xml:space="preserve">We will use the formula =COUNTIF(range,</w:t>
      </w:r>
      <w:r>
        <w:t xml:space="preserve"> </w:t>
      </w:r>
      <w:r>
        <w:t xml:space="preserve">“</w:t>
      </w:r>
      <w:r>
        <w:t xml:space="preserve">&lt;&gt;0</w:t>
      </w:r>
      <w:r>
        <w:t xml:space="preserve">”</w:t>
      </w:r>
      <w:r>
        <w:t xml:space="preserve">) again to count how many cells have a non-0 value. For example, for ASV1 enter the formula = COUNTIF(C3:W3,</w:t>
      </w:r>
      <w:r>
        <w:t xml:space="preserve"> </w:t>
      </w:r>
      <w:r>
        <w:t xml:space="preserve">“</w:t>
      </w:r>
      <w:r>
        <w:t xml:space="preserve">&lt;&gt;0</w:t>
      </w:r>
      <w:r>
        <w:t xml:space="preserve">”</w:t>
      </w:r>
      <w:r>
        <w:t xml:space="preserve">) into cell A3.</w:t>
      </w:r>
    </w:p>
    <w:p>
      <w:pPr>
        <w:numPr>
          <w:ilvl w:val="0"/>
          <w:numId w:val="1075"/>
        </w:numPr>
        <w:pStyle w:val="Compact"/>
      </w:pPr>
      <w:r>
        <w:t xml:space="preserve">If the formula and its placement are correct, cell A3 should calculate to 17 (so 17 of 21 WO samples have ASV1). Confirm your calculation is working correctly.</w:t>
      </w:r>
    </w:p>
    <w:p>
      <w:pPr>
        <w:numPr>
          <w:ilvl w:val="0"/>
          <w:numId w:val="1075"/>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Calculate % of samples associated with each ASV and record the first top 5. record the first top 5.</w:t>
            </w:r>
          </w:p>
        </w:tc>
      </w:tr>
    </w:tbl>
    <w:p>
      <w:pPr>
        <w:numPr>
          <w:ilvl w:val="0"/>
          <w:numId w:val="1076"/>
        </w:numPr>
        <w:pStyle w:val="Compact"/>
      </w:pPr>
      <w:r>
        <w:t xml:space="preserve">Create another new column by right clicking on column A and selecting</w:t>
      </w:r>
      <w:r>
        <w:t xml:space="preserve"> </w:t>
      </w:r>
      <w:r>
        <w:t xml:space="preserve">“</w:t>
      </w:r>
      <w:r>
        <w:t xml:space="preserve">Insert 1 column left</w:t>
      </w:r>
      <w:r>
        <w:t xml:space="preserve">”</w:t>
      </w:r>
      <w:r>
        <w:t xml:space="preserve">.</w:t>
      </w:r>
    </w:p>
    <w:p>
      <w:pPr>
        <w:numPr>
          <w:ilvl w:val="0"/>
          <w:numId w:val="1076"/>
        </w:numPr>
        <w:pStyle w:val="Compact"/>
      </w:pPr>
      <w:r>
        <w:t xml:space="preserve">In cell A1, give the new column a name,</w:t>
      </w:r>
      <w:r>
        <w:t xml:space="preserve"> </w:t>
      </w:r>
      <w:r>
        <w:t xml:space="preserve">“</w:t>
      </w:r>
      <w:r>
        <w:t xml:space="preserve">% of samples with this ASV</w:t>
      </w:r>
      <w:r>
        <w:t xml:space="preserve">”</w:t>
      </w:r>
      <w:r>
        <w:t xml:space="preserve">.</w:t>
      </w:r>
    </w:p>
    <w:p>
      <w:pPr>
        <w:numPr>
          <w:ilvl w:val="0"/>
          <w:numId w:val="1076"/>
        </w:numPr>
        <w:pStyle w:val="Compact"/>
      </w:pPr>
      <w:r>
        <w:t xml:space="preserve">Calculate % by dividing a value you obtained in part A) by 21 (samples) and multiplying by 100. To do this, starting with cell A3 (corresponding to ASV1), use the formula =100*(B3/21).</w:t>
      </w:r>
    </w:p>
    <w:p>
      <w:pPr>
        <w:numPr>
          <w:ilvl w:val="0"/>
          <w:numId w:val="1076"/>
        </w:numPr>
        <w:pStyle w:val="Compact"/>
      </w:pPr>
      <w:r>
        <w:t xml:space="preserve">Apply the calculation to all cells in the column by copy pasting the formula. For a reminder on how to do this, see the Google Sheets cheatsheet.</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w:t>
            </w:r>
          </w:p>
        </w:tc>
      </w:tr>
      <w:tr>
        <w:tc>
          <w:tcPr/>
          <w:p>
            <w:pPr>
              <w:pStyle w:val="Compact"/>
              <w:jc w:val="left"/>
            </w:pPr>
            <w:r>
              <w:t xml:space="preserve">ASV2:</w:t>
            </w:r>
          </w:p>
        </w:tc>
      </w:tr>
      <w:tr>
        <w:tc>
          <w:tcPr/>
          <w:p>
            <w:pPr>
              <w:pStyle w:val="Compact"/>
              <w:jc w:val="left"/>
            </w:pPr>
            <w:r>
              <w:t xml:space="preserve">ASV3:</w:t>
            </w:r>
          </w:p>
        </w:tc>
      </w:tr>
      <w:tr>
        <w:tc>
          <w:tcPr/>
          <w:p>
            <w:pPr>
              <w:pStyle w:val="Compact"/>
              <w:jc w:val="left"/>
            </w:pPr>
            <w:r>
              <w:t xml:space="preserve">ASV4:</w:t>
            </w:r>
          </w:p>
        </w:tc>
      </w:tr>
      <w:tr>
        <w:tc>
          <w:tcPr/>
          <w:p>
            <w:pPr>
              <w:pStyle w:val="Compact"/>
              <w:jc w:val="left"/>
            </w:pPr>
            <w:r>
              <w:t xml:space="preserve">ASV5:</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How many ASVs are present in all 21 individuals and what are their ids?</w:t>
            </w:r>
          </w:p>
        </w:tc>
      </w:tr>
    </w:tbl>
    <w:p>
      <w:pPr>
        <w:pStyle w:val="BodyText"/>
      </w:pPr>
      <w:r>
        <w:t xml:space="preserve">To do so, find the number of ASVs that have a % of samples with this ASV = 100%.</w:t>
      </w:r>
    </w:p>
    <w:p>
      <w:pPr>
        <w:numPr>
          <w:ilvl w:val="0"/>
          <w:numId w:val="1077"/>
        </w:numPr>
        <w:pStyle w:val="Compact"/>
      </w:pPr>
      <w:r>
        <w:t xml:space="preserve">In cell A2 use the formula = COUNTIF(A3:A2186,</w:t>
      </w:r>
      <w:r>
        <w:t xml:space="preserve"> </w:t>
      </w:r>
      <w:r>
        <w:t xml:space="preserve">“</w:t>
      </w:r>
      <w:r>
        <w:t xml:space="preserve">=100</w:t>
      </w:r>
      <w:r>
        <w:t xml:space="preserve">”</w:t>
      </w:r>
      <w:r>
        <w:t xml:space="preserve">). This formula says, count a cell if it is equal to 100.</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239"/>
    <w:bookmarkStart w:id="240" w:name="X2f2e8ee6bb036ff847368999b3c86070d3ae5d6"/>
    <w:p>
      <w:pPr>
        <w:pStyle w:val="Heading4"/>
      </w:pPr>
      <w:r>
        <w:rPr>
          <w:rStyle w:val="SectionNumber"/>
        </w:rPr>
        <w:t xml:space="preserve">3.4.5.2</w:t>
      </w:r>
      <w:r>
        <w:tab/>
      </w:r>
      <w:r>
        <w:t xml:space="preserve">Activity 2-2. Explore the taxonomy of the most common ASVs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2-2.1 Which ASV is found in 100% of samples?</w:t>
            </w:r>
            <w:r>
              <w:t xml:space="preserve"> </w:t>
            </w:r>
            <w:r>
              <w:t xml:space="preserve">This ASV has a % of samples with this ASV = 100%. Hint: This ASV is found within the first 20 ASVs.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2-2.2 What is the taxonomy assigned to the most common ASV you found in Activity above?</w:t>
            </w:r>
          </w:p>
        </w:tc>
      </w:tr>
    </w:tbl>
    <w:p>
      <w:pPr>
        <w:numPr>
          <w:ilvl w:val="0"/>
          <w:numId w:val="1078"/>
        </w:numPr>
        <w:pStyle w:val="Compact"/>
      </w:pPr>
      <w:r>
        <w:t xml:space="preserve">Return to your copy of</w:t>
      </w:r>
      <w:r>
        <w:t xml:space="preserve"> </w:t>
      </w:r>
      <w:hyperlink r:id="rId235">
        <w:r>
          <w:rPr>
            <w:rStyle w:val="Hyperlink"/>
          </w:rPr>
          <w:t xml:space="preserve">‘</w:t>
        </w:r>
        <w:r>
          <w:rPr>
            <w:rStyle w:val="Hyperlink"/>
          </w:rPr>
          <w:t xml:space="preserve">MISO1-S02-1</w:t>
        </w:r>
        <w:r>
          <w:rPr>
            <w:rStyle w:val="Hyperlink"/>
          </w:rPr>
          <w:t xml:space="preserve">’</w:t>
        </w:r>
      </w:hyperlink>
      <w:r>
        <w:t xml:space="preserve">.</w:t>
      </w:r>
    </w:p>
    <w:p>
      <w:pPr>
        <w:numPr>
          <w:ilvl w:val="0"/>
          <w:numId w:val="1078"/>
        </w:numPr>
        <w:pStyle w:val="Compact"/>
      </w:pPr>
      <w:r>
        <w:t xml:space="preserve">Columns B-H correspond to taxonomic information.</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Kingdom:</w:t>
            </w:r>
          </w:p>
        </w:tc>
      </w:tr>
      <w:tr>
        <w:tc>
          <w:tcPr/>
          <w:p>
            <w:pPr>
              <w:pStyle w:val="Compact"/>
              <w:jc w:val="left"/>
            </w:pPr>
            <w:r>
              <w:t xml:space="preserve">Phylum:</w:t>
            </w:r>
          </w:p>
        </w:tc>
      </w:tr>
      <w:tr>
        <w:tc>
          <w:tcPr/>
          <w:p>
            <w:pPr>
              <w:pStyle w:val="Compact"/>
              <w:jc w:val="left"/>
            </w:pPr>
            <w:r>
              <w:t xml:space="preserve">Class:</w:t>
            </w:r>
          </w:p>
        </w:tc>
      </w:tr>
      <w:tr>
        <w:tc>
          <w:tcPr/>
          <w:p>
            <w:pPr>
              <w:pStyle w:val="Compact"/>
              <w:jc w:val="left"/>
            </w:pPr>
            <w:r>
              <w:t xml:space="preserve">Order:</w:t>
            </w:r>
          </w:p>
        </w:tc>
      </w:tr>
      <w:tr>
        <w:tc>
          <w:tcPr/>
          <w:p>
            <w:pPr>
              <w:pStyle w:val="Compact"/>
              <w:jc w:val="left"/>
            </w:pPr>
            <w:r>
              <w:t xml:space="preserve">Family:</w:t>
            </w:r>
          </w:p>
        </w:tc>
      </w:tr>
      <w:tr>
        <w:tc>
          <w:tcPr/>
          <w:p>
            <w:pPr>
              <w:pStyle w:val="Compact"/>
              <w:jc w:val="left"/>
            </w:pPr>
            <w:r>
              <w:t xml:space="preserve">Genus:</w:t>
            </w:r>
          </w:p>
        </w:tc>
      </w:tr>
      <w:tr>
        <w:tc>
          <w:tcPr/>
          <w:p>
            <w:pPr>
              <w:pStyle w:val="Compact"/>
              <w:jc w:val="left"/>
            </w:pPr>
            <w:r>
              <w:t xml:space="preserve">Species: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2-2.3 This ASV was found in every subject. What might this mean about the function this ASV plays in the gut microbiome?</w:t>
            </w:r>
          </w:p>
        </w:tc>
      </w:tr>
      <w:tr>
        <w:tc>
          <w:tcPr/>
          <w:p>
            <w:pPr>
              <w:pStyle w:val="Compact"/>
              <w:jc w:val="left"/>
            </w:pPr>
          </w:p>
        </w:tc>
      </w:tr>
    </w:tbl>
    <w:bookmarkEnd w:id="240"/>
    <w:bookmarkEnd w:id="241"/>
    <w:bookmarkStart w:id="242" w:name="X2f0e279f1015f1c60543914b1bb6d3688f8fdf3"/>
    <w:p>
      <w:pPr>
        <w:pStyle w:val="Heading3"/>
      </w:pPr>
      <w:r>
        <w:rPr>
          <w:rStyle w:val="SectionNumber"/>
        </w:rPr>
        <w:t xml:space="preserve">3.4.6</w:t>
      </w:r>
      <w:r>
        <w:tab/>
      </w:r>
      <w:r>
        <w:t xml:space="preserve">Activity 2-3. Plot individual variation in abundance of the most common ASV.</w:t>
      </w:r>
    </w:p>
    <w:p>
      <w:pPr>
        <w:pStyle w:val="FirstParagraph"/>
      </w:pPr>
      <w:r>
        <w:t xml:space="preserve">The most common ASV is represented in all samples, but does each sample have the same abundance of this ASV?</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Make a bar graph of most common ASV distribution across 21 individuals</w:t>
            </w:r>
          </w:p>
        </w:tc>
      </w:tr>
    </w:tbl>
    <w:p>
      <w:pPr>
        <w:pStyle w:val="BodyText"/>
      </w:pPr>
      <w:r>
        <w:t xml:space="preserve">1.Return to your version of the</w:t>
      </w:r>
      <w:r>
        <w:t xml:space="preserve"> </w:t>
      </w:r>
      <w:hyperlink r:id="rId238">
        <w:r>
          <w:rPr>
            <w:rStyle w:val="Hyperlink"/>
          </w:rPr>
          <w:t xml:space="preserve">MISO_WO</w:t>
        </w:r>
      </w:hyperlink>
      <w:r>
        <w:t xml:space="preserve"> </w:t>
      </w:r>
      <w:r>
        <w:t xml:space="preserve">spreadsheet.</w:t>
      </w:r>
    </w:p>
    <w:p>
      <w:pPr>
        <w:numPr>
          <w:ilvl w:val="0"/>
          <w:numId w:val="1079"/>
        </w:numPr>
      </w:pPr>
      <w:r>
        <w:t xml:space="preserve">Hold the Command key on a Mac or Ctrl on Windows to select data that are not immediately next to each other to select the header row (D2:X2, sample names) and the row corresponding to the most common ASV you identified above.</w:t>
      </w:r>
    </w:p>
    <w:p>
      <w:pPr>
        <w:numPr>
          <w:ilvl w:val="0"/>
          <w:numId w:val="1079"/>
        </w:numPr>
      </w:pPr>
      <w:r>
        <w:t xml:space="preserve">In the menu at the top of the screen, select Insert &gt; Chart.</w:t>
      </w:r>
      <w:r>
        <w:t xml:space="preserve"> </w:t>
      </w:r>
      <w:r>
        <w:t xml:space="preserve">Make sure your graph is a bar plot: click on the 3 dots in the top right corner of the plot → edit chart and in the Chart editor, under Chart type, selecting Column Chart.</w:t>
      </w:r>
    </w:p>
    <w:p>
      <w:pPr>
        <w:numPr>
          <w:ilvl w:val="0"/>
          <w:numId w:val="1079"/>
        </w:numPr>
      </w:pPr>
      <w:r>
        <w:t xml:space="preserve">Copy the bar graph into a box below: click on the 3 dots in the top right corner of the plot, select copy chart, then, paste it below. Your graph should look similar to the example graph below, with multicolored bars that each represent one sample’s count of the ASV. The example shows a different ASV plotted with 5 samples.</w:t>
      </w:r>
    </w:p>
    <w:p>
      <w:pPr>
        <w:numPr>
          <w:ilvl w:val="0"/>
          <w:numId w:val="1079"/>
        </w:numPr>
      </w:pPr>
      <w:r>
        <w:t xml:space="preserve">Your chart will have more bars and the legend may not be in the same place; do not worry if there is no legend or the legend text is not visible as in the example.</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Is the abundance of this ASV similar or dissimilar across samples?</w:t>
            </w:r>
            <w:r>
              <w:t xml:space="preserve"> </w:t>
            </w:r>
            <w:r>
              <w:t xml:space="preserve">Each bar represents the count (abundance) of this ASV for a given subject. Ignore the axis title, which only has 1 sample name. Compare your graph to the example figure. Which is more like the graph you made?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 What might this mean for the function of this ASV in the gut microbiome?</w:t>
            </w:r>
          </w:p>
        </w:tc>
      </w:tr>
      <w:tr>
        <w:tc>
          <w:tcPr/>
          <w:p>
            <w:pPr>
              <w:pStyle w:val="Compact"/>
              <w:jc w:val="left"/>
            </w:pPr>
          </w:p>
        </w:tc>
      </w:tr>
    </w:tbl>
    <w:bookmarkEnd w:id="242"/>
    <w:bookmarkStart w:id="246" w:name="Xef23b50a219e4632b5da6f886c45cb6084129e6"/>
    <w:p>
      <w:pPr>
        <w:pStyle w:val="Heading3"/>
      </w:pPr>
      <w:r>
        <w:rPr>
          <w:rStyle w:val="SectionNumber"/>
        </w:rPr>
        <w:t xml:space="preserve">3.4.7</w:t>
      </w:r>
      <w:r>
        <w:tab/>
      </w:r>
      <w:r>
        <w:t xml:space="preserve">Activity 3 – Explore variation within a single individual associated with diet</w:t>
      </w:r>
    </w:p>
    <w:p>
      <w:pPr>
        <w:pStyle w:val="FirstParagraph"/>
      </w:pPr>
      <w:r>
        <w:rPr>
          <w:iCs/>
          <w:i/>
        </w:rPr>
        <w:t xml:space="preserve">Estimated time: 10 min</w:t>
      </w:r>
    </w:p>
    <w:p>
      <w:pPr>
        <w:pStyle w:val="BodyText"/>
      </w:pPr>
      <w:r>
        <w:t xml:space="preserve">Although the full dataset contains 105 samples from 21 subjects and 5 timepoints (representing 3 dietary conditions), in this activity we will zoom into ASV counts data for 1 individual (comprised of 5 samples representing the 5 timepoints collected from that individual).</w:t>
      </w:r>
    </w:p>
    <w:p>
      <w:pPr>
        <w:numPr>
          <w:ilvl w:val="0"/>
          <w:numId w:val="1080"/>
        </w:numPr>
        <w:pStyle w:val="Compact"/>
      </w:pPr>
      <w:r>
        <w:t xml:space="preserve">Timepoints 1 and 2:</w:t>
      </w:r>
      <w:r>
        <w:t xml:space="preserve"> </w:t>
      </w:r>
      <w:r>
        <w:rPr>
          <w:bCs/>
          <w:b/>
        </w:rPr>
        <w:t xml:space="preserve">BD</w:t>
      </w:r>
      <w:r>
        <w:t xml:space="preserve"> </w:t>
      </w:r>
      <w:r>
        <w:t xml:space="preserve">(Baseline diet) prior to normalization with homogenized diet</w:t>
      </w:r>
    </w:p>
    <w:p>
      <w:pPr>
        <w:numPr>
          <w:ilvl w:val="0"/>
          <w:numId w:val="1080"/>
        </w:numPr>
        <w:pStyle w:val="Compact"/>
      </w:pPr>
      <w:r>
        <w:t xml:space="preserve">Timepoints 3 and 4:</w:t>
      </w:r>
      <w:r>
        <w:t xml:space="preserve"> </w:t>
      </w:r>
      <w:r>
        <w:rPr>
          <w:bCs/>
          <w:b/>
        </w:rPr>
        <w:t xml:space="preserve">HD</w:t>
      </w:r>
      <w:r>
        <w:t xml:space="preserve"> </w:t>
      </w:r>
      <w:r>
        <w:t xml:space="preserve">(Homogenized diet): normalized to be same for all</w:t>
      </w:r>
    </w:p>
    <w:p>
      <w:pPr>
        <w:numPr>
          <w:ilvl w:val="0"/>
          <w:numId w:val="1080"/>
        </w:numPr>
        <w:pStyle w:val="Compact"/>
      </w:pPr>
      <w:r>
        <w:t xml:space="preserve">Timepoint 5:</w:t>
      </w:r>
      <w:r>
        <w:t xml:space="preserve"> </w:t>
      </w:r>
      <w:r>
        <w:rPr>
          <w:bCs/>
          <w:b/>
        </w:rPr>
        <w:t xml:space="preserve">WO</w:t>
      </w:r>
      <w:r>
        <w:t xml:space="preserve"> </w:t>
      </w:r>
      <w:r>
        <w:t xml:space="preserve">(Washout diet), subjects can choose to eat what they want again</w:t>
      </w:r>
    </w:p>
    <w:bookmarkStart w:id="244" w:name="Xfae7ffdc1380703cfb91abdb11ddd8bd05ed544"/>
    <w:p>
      <w:pPr>
        <w:pStyle w:val="Heading4"/>
      </w:pPr>
      <w:r>
        <w:rPr>
          <w:rStyle w:val="SectionNumber"/>
        </w:rPr>
        <w:t xml:space="preserve">3.4.7.1</w:t>
      </w:r>
      <w:r>
        <w:tab/>
      </w:r>
      <w:r>
        <w:t xml:space="preserve">Activity 3-1 Explore differences between dietary changes in one subject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3-1.1 Calculate variation in ASV abundance within individual 1 (MISO1-S02) and record the first 5 values below.</w:t>
            </w:r>
          </w:p>
        </w:tc>
      </w:tr>
    </w:tbl>
    <w:p>
      <w:pPr>
        <w:pStyle w:val="BodyText"/>
      </w:pPr>
      <w:r>
        <w:t xml:space="preserve">How varied is the ASV abundance across timepoints?</w:t>
      </w:r>
    </w:p>
    <w:p>
      <w:pPr>
        <w:numPr>
          <w:ilvl w:val="0"/>
          <w:numId w:val="1081"/>
        </w:numPr>
        <w:pStyle w:val="Compact"/>
      </w:pPr>
      <w:r>
        <w:t xml:space="preserve">This involves plotting counts for ASV 1-10 for MISO1-SO2 timepoints 1 through 5.</w:t>
      </w:r>
    </w:p>
    <w:p>
      <w:pPr>
        <w:numPr>
          <w:ilvl w:val="0"/>
          <w:numId w:val="1081"/>
        </w:numPr>
        <w:pStyle w:val="Compact"/>
      </w:pPr>
      <w:r>
        <w:t xml:space="preserve">To calculate variation within a sample, we will use the VAR.S function in google sheets to calculate the variance of a sample. For more information on variance, see the Google Sheets cheatsheet.</w:t>
      </w:r>
    </w:p>
    <w:p>
      <w:pPr>
        <w:numPr>
          <w:ilvl w:val="0"/>
          <w:numId w:val="1082"/>
        </w:numPr>
        <w:pStyle w:val="Compact"/>
      </w:pPr>
      <w:r>
        <w:t xml:space="preserve">Access</w:t>
      </w:r>
      <w:r>
        <w:t xml:space="preserve"> </w:t>
      </w:r>
      <w:hyperlink r:id="rId243">
        <w:r>
          <w:rPr>
            <w:rStyle w:val="Hyperlink"/>
          </w:rPr>
          <w:t xml:space="preserve">‘</w:t>
        </w:r>
        <w:r>
          <w:rPr>
            <w:rStyle w:val="Hyperlink"/>
          </w:rPr>
          <w:t xml:space="preserve">MISO_Subject1</w:t>
        </w:r>
        <w:r>
          <w:rPr>
            <w:rStyle w:val="Hyperlink"/>
          </w:rPr>
          <w:t xml:space="preserve">’</w:t>
        </w:r>
      </w:hyperlink>
    </w:p>
    <w:p>
      <w:pPr>
        <w:numPr>
          <w:ilvl w:val="0"/>
          <w:numId w:val="1082"/>
        </w:numPr>
        <w:pStyle w:val="Compact"/>
      </w:pPr>
      <w:r>
        <w:t xml:space="preserve">Label an empty Column G by putting</w:t>
      </w:r>
      <w:r>
        <w:t xml:space="preserve"> </w:t>
      </w:r>
      <w:r>
        <w:t xml:space="preserve">“</w:t>
      </w:r>
      <w:r>
        <w:t xml:space="preserve">Variance</w:t>
      </w:r>
      <w:r>
        <w:t xml:space="preserve">”</w:t>
      </w:r>
      <w:r>
        <w:t xml:space="preserve"> </w:t>
      </w:r>
      <w:r>
        <w:t xml:space="preserve">in cell G1. Use this column to calculate variance.</w:t>
      </w:r>
    </w:p>
    <w:p>
      <w:pPr>
        <w:numPr>
          <w:ilvl w:val="0"/>
          <w:numId w:val="1082"/>
        </w:numPr>
        <w:pStyle w:val="Compact"/>
      </w:pPr>
      <w:r>
        <w:t xml:space="preserve">Starting with the first ASV use the following formula: =VAR.S(range) to calculate ASV abundance variation in the 5 samples/timepoints collected for individual MISO1-SO2. For example, for ASV1 enter formula =VAR.S(B2:F2) in cell G2.</w:t>
      </w:r>
    </w:p>
    <w:p>
      <w:pPr>
        <w:numPr>
          <w:ilvl w:val="0"/>
          <w:numId w:val="1082"/>
        </w:numPr>
        <w:pStyle w:val="Compact"/>
      </w:pPr>
      <w:r>
        <w:t xml:space="preserve">If imputed correctly, cell G2 should calculate to 14947547.8. Confirm this.</w:t>
      </w:r>
    </w:p>
    <w:p>
      <w:pPr>
        <w:numPr>
          <w:ilvl w:val="0"/>
          <w:numId w:val="1082"/>
        </w:numPr>
        <w:pStyle w:val="Compact"/>
      </w:pPr>
      <w:r>
        <w:t xml:space="preserve">Apply the calculation to all cells in the column by copy pasting the formula. For a reminder on how to do this, see the Google Sheets cheatsheet.</w:t>
      </w:r>
    </w:p>
    <w:p>
      <w:pPr>
        <w:numPr>
          <w:ilvl w:val="0"/>
          <w:numId w:val="1082"/>
        </w:numPr>
        <w:pStyle w:val="Compact"/>
      </w:pPr>
      <w:r>
        <w:t xml:space="preserve">Record the first 5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ASV1 Variance:</w:t>
            </w:r>
          </w:p>
        </w:tc>
      </w:tr>
      <w:tr>
        <w:tc>
          <w:tcPr/>
          <w:p>
            <w:pPr>
              <w:pStyle w:val="Compact"/>
              <w:jc w:val="left"/>
            </w:pPr>
            <w:r>
              <w:t xml:space="preserve">ASV2 Variance:</w:t>
            </w:r>
          </w:p>
        </w:tc>
      </w:tr>
      <w:tr>
        <w:tc>
          <w:tcPr/>
          <w:p>
            <w:pPr>
              <w:pStyle w:val="Compact"/>
              <w:jc w:val="left"/>
            </w:pPr>
            <w:r>
              <w:t xml:space="preserve">ASV3 Variance:</w:t>
            </w:r>
          </w:p>
        </w:tc>
      </w:tr>
      <w:tr>
        <w:tc>
          <w:tcPr/>
          <w:p>
            <w:pPr>
              <w:pStyle w:val="Compact"/>
              <w:jc w:val="left"/>
            </w:pPr>
            <w:r>
              <w:t xml:space="preserve">ASV4 Variance:</w:t>
            </w:r>
          </w:p>
        </w:tc>
      </w:tr>
      <w:tr>
        <w:tc>
          <w:tcPr/>
          <w:p>
            <w:pPr>
              <w:pStyle w:val="Compact"/>
              <w:jc w:val="left"/>
            </w:pPr>
            <w:r>
              <w:t xml:space="preserve">ASV5 Variance: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3-1.2 Plot ASVs with highest variance.</w:t>
            </w:r>
          </w:p>
        </w:tc>
      </w:tr>
    </w:tbl>
    <w:p>
      <w:pPr>
        <w:pStyle w:val="BodyText"/>
      </w:pPr>
      <w:r>
        <w:t xml:space="preserve">These are the ASVs whose abundance changed the most over the course of the study and could potentially depend heavily on diet. By plotting their counts, we will be able to see how the abundance of a given ASV changed throughout the experiment.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Sort the ASVs by the variance column with the largest variance values at the top.</w:t>
            </w:r>
          </w:p>
        </w:tc>
      </w:tr>
    </w:tbl>
    <w:p>
      <w:pPr>
        <w:numPr>
          <w:ilvl w:val="0"/>
          <w:numId w:val="1083"/>
        </w:numPr>
        <w:pStyle w:val="Compact"/>
      </w:pPr>
      <w:r>
        <w:t xml:space="preserve">Click on cell G2.</w:t>
      </w:r>
    </w:p>
    <w:p>
      <w:pPr>
        <w:numPr>
          <w:ilvl w:val="0"/>
          <w:numId w:val="1083"/>
        </w:numPr>
        <w:pStyle w:val="Compact"/>
      </w:pPr>
      <w:r>
        <w:t xml:space="preserve">Go to Data &gt; Sort sheet &gt; Sort sheet by column G (Z to A)</w:t>
      </w:r>
    </w:p>
    <w:p>
      <w:pPr>
        <w:numPr>
          <w:ilvl w:val="0"/>
          <w:numId w:val="1083"/>
        </w:numPr>
        <w:pStyle w:val="Compact"/>
      </w:pPr>
      <w:r>
        <w:t xml:space="preserve">Record the top 5 ASVs with the highest Variance and their Variance values below.</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r>
        <w:tc>
          <w:tcPr/>
          <w:p>
            <w:pPr>
              <w:pStyle w:val="Compact"/>
              <w:jc w:val="left"/>
            </w:pPr>
            <w:r>
              <w:t xml:space="preserve">ASV# Variance: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After sorting ASVs based on high to low variance, make a plot of ASV counts corresponding to top 15 ASVs with the highest variance.</w:t>
            </w:r>
          </w:p>
        </w:tc>
      </w:tr>
    </w:tbl>
    <w:p>
      <w:pPr>
        <w:numPr>
          <w:ilvl w:val="0"/>
          <w:numId w:val="1084"/>
        </w:numPr>
        <w:pStyle w:val="Compact"/>
      </w:pPr>
      <w:r>
        <w:t xml:space="preserve">To make a bar graph highlight top 16 rows corresponding to sample names and the 15 ASVs with highest variance, for samples MISO1-S02-1 through 5. Do not include the</w:t>
      </w:r>
      <w:r>
        <w:t xml:space="preserve"> </w:t>
      </w:r>
      <w:r>
        <w:t xml:space="preserve">“</w:t>
      </w:r>
      <w:r>
        <w:t xml:space="preserve">Variance</w:t>
      </w:r>
      <w:r>
        <w:t xml:space="preserve">”</w:t>
      </w:r>
      <w:r>
        <w:t xml:space="preserve"> </w:t>
      </w:r>
      <w:r>
        <w:t xml:space="preserve">column.</w:t>
      </w:r>
    </w:p>
    <w:p>
      <w:pPr>
        <w:numPr>
          <w:ilvl w:val="0"/>
          <w:numId w:val="1084"/>
        </w:numPr>
        <w:pStyle w:val="Compact"/>
      </w:pPr>
      <w:r>
        <w:t xml:space="preserve">In the menu at the top of the screen, select Insert &gt; Chart.</w:t>
      </w:r>
    </w:p>
    <w:p>
      <w:pPr>
        <w:numPr>
          <w:ilvl w:val="0"/>
          <w:numId w:val="1084"/>
        </w:numPr>
        <w:pStyle w:val="Compact"/>
      </w:pPr>
      <w:r>
        <w:t xml:space="preserve">Make sure your graph is a bar plot: click on the 3 dots in the top right corner of the plot → edit chart and in the Chart editor, under Chart type, selecting Column Chart.</w:t>
      </w:r>
    </w:p>
    <w:p>
      <w:pPr>
        <w:numPr>
          <w:ilvl w:val="0"/>
          <w:numId w:val="1084"/>
        </w:numPr>
        <w:pStyle w:val="Compact"/>
      </w:pPr>
      <w:r>
        <w:t xml:space="preserve">Copy the bar graph into a box below: click on the 3 dots in the top right corner of the plot, select copy chart, then, paste it below. Your chart should look similar to the example chart with different ASVs</w:t>
      </w:r>
    </w:p>
    <w:tbl>
      <w:tblPr>
        <w:tblStyle w:val="Table"/>
        <w:tblW w:type="auto" w:w="0"/>
        <w:tblLook w:firstRow="0" w:lastRow="0" w:firstColumn="0" w:lastColumn="0" w:noHBand="0" w:noVBand="0" w:val="0000"/>
        <w:jc w:val="start"/>
      </w:tblPr>
      <w:tblGrid>
        <w:gridCol w:w="7920"/>
      </w:tblGrid>
      <w:tr>
        <w:tc>
          <w:tcPr/>
          <w:p>
            <w:pPr>
              <w:pStyle w:val="Compact"/>
              <w:jc w:val="left"/>
            </w:pPr>
            <w:r>
              <w:t xml:space="preserve">Insert chart here</w:t>
            </w:r>
          </w:p>
        </w:tc>
      </w:tr>
    </w:tbl>
    <w:bookmarkEnd w:id="244"/>
    <w:bookmarkStart w:id="245" w:name="X5d3901860f3ef04d423686540b59fbfcb35f9c6"/>
    <w:p>
      <w:pPr>
        <w:pStyle w:val="Heading4"/>
      </w:pPr>
      <w:r>
        <w:rPr>
          <w:rStyle w:val="SectionNumber"/>
        </w:rPr>
        <w:t xml:space="preserve">3.4.7.2</w:t>
      </w:r>
      <w:r>
        <w:tab/>
      </w:r>
      <w:r>
        <w:t xml:space="preserve">Activity 3-2. Are there any ASVs whose abundance changes with different diets?</w:t>
      </w:r>
    </w:p>
    <w:p>
      <w:pPr>
        <w:pStyle w:val="FirstParagraph"/>
      </w:pPr>
      <w:r>
        <w:t xml:space="preserve">Recall that there samples 1 and 2 are from the baseline diet (BD), samples 3 and 4 are on the uniform homogenized diet (HD) and sample 5 is from the washout diet.</w:t>
      </w:r>
    </w:p>
    <w:p>
      <w:pPr>
        <w:numPr>
          <w:ilvl w:val="0"/>
          <w:numId w:val="1085"/>
        </w:numPr>
        <w:pStyle w:val="Compact"/>
      </w:pPr>
      <w:r>
        <w:t xml:space="preserve">ASV_A in the example graph seems tightly linked to diet - timepoints from the same diet are similar to each other, and timepoints from different diets are different from each other.</w:t>
      </w:r>
    </w:p>
    <w:p>
      <w:pPr>
        <w:numPr>
          <w:ilvl w:val="0"/>
          <w:numId w:val="1085"/>
        </w:numPr>
        <w:pStyle w:val="Compact"/>
      </w:pPr>
      <w:r>
        <w:t xml:space="preserve">ASV_B shows a pattern that doesn’t seem connected to diet. Samples from timepoints within the same diet are not similar, while samples from different diets 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 List an ASV that changes with diet and one that changes seemingly without the influence of diet:</w:t>
            </w:r>
          </w:p>
        </w:tc>
      </w:tr>
      <w:tr>
        <w:tc>
          <w:tcPr/>
          <w:p>
            <w:pPr>
              <w:pStyle w:val="Compact"/>
              <w:jc w:val="left"/>
            </w:pPr>
            <w:r>
              <w:t xml:space="preserve">ASVs that seem to change in abundance based on diet:</w:t>
            </w:r>
          </w:p>
        </w:tc>
      </w:tr>
      <w:tr>
        <w:tc>
          <w:tcPr/>
          <w:p>
            <w:pPr>
              <w:pStyle w:val="Compact"/>
              <w:jc w:val="left"/>
            </w:pPr>
            <w:r>
              <w:t xml:space="preserve">ASVs that seem to change in abundance that do not appear connected to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factors other than diet do you think might change the abundance of a microbe in the gut microbiome?</w:t>
            </w:r>
          </w:p>
        </w:tc>
      </w:tr>
      <w:tr>
        <w:tc>
          <w:tcPr/>
          <w:p>
            <w:pPr>
              <w:pStyle w:val="Compact"/>
              <w:jc w:val="left"/>
            </w:pPr>
          </w:p>
        </w:tc>
      </w:tr>
    </w:tbl>
    <w:bookmarkEnd w:id="245"/>
    <w:bookmarkEnd w:id="246"/>
    <w:bookmarkStart w:id="247" w:name="grading-criteria-2"/>
    <w:p>
      <w:pPr>
        <w:pStyle w:val="Heading3"/>
      </w:pPr>
      <w:r>
        <w:rPr>
          <w:rStyle w:val="SectionNumber"/>
        </w:rPr>
        <w:t xml:space="preserve">3.4.8</w:t>
      </w:r>
      <w:r>
        <w:tab/>
      </w:r>
      <w:r>
        <w:t xml:space="preserve">Grading criteria</w:t>
      </w:r>
    </w:p>
    <w:p>
      <w:pPr>
        <w:numPr>
          <w:ilvl w:val="0"/>
          <w:numId w:val="1086"/>
        </w:numPr>
        <w:pStyle w:val="Compact"/>
      </w:pPr>
      <w:r>
        <w:t xml:space="preserve">Download the assignment to your local computer as a .docx, complete it, and upload the assignment to your LMS (Blackboard, Canvas, Google Classroom).</w:t>
      </w:r>
    </w:p>
    <w:bookmarkEnd w:id="247"/>
    <w:bookmarkStart w:id="251" w:name="footnotes-6"/>
    <w:p>
      <w:pPr>
        <w:pStyle w:val="Heading3"/>
      </w:pPr>
      <w:r>
        <w:rPr>
          <w:rStyle w:val="SectionNumber"/>
        </w:rPr>
        <w:t xml:space="preserve">3.4.9</w:t>
      </w:r>
      <w:r>
        <w:tab/>
      </w:r>
      <w:r>
        <w:t xml:space="preserve">Footnotes</w:t>
      </w:r>
    </w:p>
    <w:bookmarkStart w:id="249" w:name="resources-10"/>
    <w:p>
      <w:pPr>
        <w:pStyle w:val="Heading4"/>
      </w:pPr>
      <w:r>
        <w:rPr>
          <w:rStyle w:val="SectionNumber"/>
        </w:rPr>
        <w:t xml:space="preserve">3.4.9.1</w:t>
      </w:r>
      <w:r>
        <w:tab/>
      </w:r>
      <w:r>
        <w:t xml:space="preserve">Resources</w:t>
      </w:r>
    </w:p>
    <w:p>
      <w:pPr>
        <w:numPr>
          <w:ilvl w:val="0"/>
          <w:numId w:val="1087"/>
        </w:numPr>
        <w:pStyle w:val="Compact"/>
      </w:pPr>
      <w:hyperlink r:id="rId248">
        <w:r>
          <w:rPr>
            <w:rStyle w:val="Hyperlink"/>
          </w:rPr>
          <w:t xml:space="preserve">Google Doc</w:t>
        </w:r>
      </w:hyperlink>
    </w:p>
    <w:p>
      <w:pPr>
        <w:numPr>
          <w:ilvl w:val="0"/>
          <w:numId w:val="1087"/>
        </w:numPr>
        <w:pStyle w:val="Compact"/>
      </w:pPr>
      <w:hyperlink r:id="rId231">
        <w:r>
          <w:rPr>
            <w:rStyle w:val="Hyperlink"/>
          </w:rPr>
          <w:t xml:space="preserve">Spreadsheets 101</w:t>
        </w:r>
      </w:hyperlink>
    </w:p>
    <w:p>
      <w:pPr>
        <w:numPr>
          <w:ilvl w:val="0"/>
          <w:numId w:val="1087"/>
        </w:numPr>
        <w:pStyle w:val="Compact"/>
      </w:pPr>
      <w:hyperlink r:id="rId235">
        <w:r>
          <w:rPr>
            <w:rStyle w:val="Hyperlink"/>
          </w:rPr>
          <w:t xml:space="preserve">‘</w:t>
        </w:r>
        <w:r>
          <w:rPr>
            <w:rStyle w:val="Hyperlink"/>
          </w:rPr>
          <w:t xml:space="preserve">MISO1-S02-1</w:t>
        </w:r>
        <w:r>
          <w:rPr>
            <w:rStyle w:val="Hyperlink"/>
          </w:rPr>
          <w:t xml:space="preserve">’</w:t>
        </w:r>
      </w:hyperlink>
      <w:r>
        <w:t xml:space="preserve"> </w:t>
      </w:r>
      <w:r>
        <w:t xml:space="preserve">spreadsheet</w:t>
      </w:r>
    </w:p>
    <w:p>
      <w:pPr>
        <w:numPr>
          <w:ilvl w:val="0"/>
          <w:numId w:val="1087"/>
        </w:numPr>
        <w:pStyle w:val="Compact"/>
      </w:pPr>
      <w:hyperlink r:id="rId238">
        <w:r>
          <w:rPr>
            <w:rStyle w:val="Hyperlink"/>
          </w:rPr>
          <w:t xml:space="preserve">MISO_WO</w:t>
        </w:r>
      </w:hyperlink>
      <w:r>
        <w:t xml:space="preserve"> </w:t>
      </w:r>
      <w:r>
        <w:t xml:space="preserve">spreadsheet</w:t>
      </w:r>
    </w:p>
    <w:p>
      <w:pPr>
        <w:numPr>
          <w:ilvl w:val="0"/>
          <w:numId w:val="1087"/>
        </w:numPr>
        <w:pStyle w:val="Compact"/>
      </w:pPr>
      <w:hyperlink r:id="rId243">
        <w:r>
          <w:rPr>
            <w:rStyle w:val="Hyperlink"/>
          </w:rPr>
          <w:t xml:space="preserve">‘</w:t>
        </w:r>
        <w:r>
          <w:rPr>
            <w:rStyle w:val="Hyperlink"/>
          </w:rPr>
          <w:t xml:space="preserve">MISO_Subject1</w:t>
        </w:r>
        <w:r>
          <w:rPr>
            <w:rStyle w:val="Hyperlink"/>
          </w:rPr>
          <w:t xml:space="preserve">’</w:t>
        </w:r>
      </w:hyperlink>
      <w:r>
        <w:t xml:space="preserve"> </w:t>
      </w:r>
      <w:r>
        <w:t xml:space="preserve">spreadsheet</w:t>
      </w:r>
    </w:p>
    <w:bookmarkEnd w:id="249"/>
    <w:bookmarkStart w:id="250" w:name="contributions-and-affiliations-6"/>
    <w:p>
      <w:pPr>
        <w:pStyle w:val="Heading4"/>
      </w:pPr>
      <w:r>
        <w:rPr>
          <w:rStyle w:val="SectionNumber"/>
        </w:rPr>
        <w:t xml:space="preserve">3.4.9.2</w:t>
      </w:r>
      <w:r>
        <w:tab/>
      </w:r>
      <w: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Gauri Paul, Clovis Community College</w:t>
      </w:r>
    </w:p>
    <w:p>
      <w:pPr>
        <w:numPr>
          <w:ilvl w:val="0"/>
          <w:numId w:val="1088"/>
        </w:numPr>
        <w:pStyle w:val="Compact"/>
      </w:pPr>
      <w:r>
        <w:t xml:space="preserve">Frederick Tan, Johns Hopkins University</w:t>
      </w:r>
    </w:p>
    <w:p>
      <w:pPr>
        <w:numPr>
          <w:ilvl w:val="0"/>
          <w:numId w:val="1088"/>
        </w:numPr>
        <w:pStyle w:val="Compact"/>
      </w:pPr>
      <w:r>
        <w:t xml:space="preserve">Sayumi York, Notre Dame of Maryland University</w:t>
      </w:r>
    </w:p>
    <w:p>
      <w:pPr>
        <w:pStyle w:val="FirstParagraph"/>
      </w:pPr>
      <w:r>
        <w:t xml:space="preserve">Last Revised: January 2026</w:t>
      </w:r>
    </w:p>
    <w:bookmarkEnd w:id="250"/>
    <w:bookmarkEnd w:id="251"/>
    <w:bookmarkEnd w:id="252"/>
    <w:bookmarkEnd w:id="253"/>
    <w:bookmarkStart w:id="310" w:name="exploring-16s-rrna-data-with-phyloseq"/>
    <w:p>
      <w:pPr>
        <w:pStyle w:val="Heading1"/>
      </w:pPr>
      <w:r>
        <w:rPr>
          <w:rStyle w:val="SectionNumber"/>
        </w:rPr>
        <w:t xml:space="preserve">4</w:t>
      </w:r>
      <w:r>
        <w:tab/>
      </w:r>
      <w:r>
        <w:t xml:space="preserve">Exploring 16S rRNA Data with phyloseq</w:t>
      </w:r>
    </w:p>
    <w:bookmarkStart w:id="254" w:name="exploring-16s-rrna-data-with-phyloseq-1"/>
    <w:p>
      <w:pPr>
        <w:pStyle w:val="Heading2"/>
      </w:pPr>
      <w:r>
        <w:rPr>
          <w:rStyle w:val="SectionNumber"/>
        </w:rPr>
        <w:t xml:space="preserve">4.1</w:t>
      </w:r>
      <w:r>
        <w:tab/>
      </w:r>
      <w:r>
        <w:t xml:space="preserve">Exploring 16S rRNA Data with phyloseq</w:t>
      </w:r>
    </w:p>
    <w:bookmarkEnd w:id="254"/>
    <w:bookmarkStart w:id="259" w:name="Xfcffbdcf25bedde438c04e8687daab58b4477b9"/>
    <w:p>
      <w:pPr>
        <w:pStyle w:val="Heading2"/>
      </w:pPr>
      <w:r>
        <w:rPr>
          <w:rStyle w:val="SectionNumber"/>
        </w:rPr>
        <w:t xml:space="preserve">4.2</w:t>
      </w:r>
      <w:r>
        <w:tab/>
      </w:r>
      <w:r>
        <w:t xml:space="preserve">Lecture - Exploring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256" name="Picture"/>
            <a:graphic>
              <a:graphicData uri="http://schemas.openxmlformats.org/drawingml/2006/picture">
                <pic:pic>
                  <pic:nvPicPr>
                    <pic:cNvPr descr="explore-phyloseq_files/figure-docx//15tv_IS177gF_px3JYKcQZmOsJg2d-GkjVXi7a-Skgs8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Lecture</w:t>
        </w:r>
      </w:hyperlink>
    </w:p>
    <w:bookmarkEnd w:id="259"/>
    <w:bookmarkStart w:id="275" w:name="X3e9a8c427ff3d180216de2316d0bc005457f816"/>
    <w:p>
      <w:pPr>
        <w:pStyle w:val="Heading2"/>
      </w:pPr>
      <w:r>
        <w:rPr>
          <w:rStyle w:val="SectionNumber"/>
        </w:rPr>
        <w:t xml:space="preserve">4.3</w:t>
      </w:r>
      <w:r>
        <w:tab/>
      </w:r>
      <w:r>
        <w:t xml:space="preserve">Activity - Exploring 16S rRNA Data with phyloseq</w:t>
      </w:r>
    </w:p>
    <w:bookmarkStart w:id="260" w:name="purpose-7"/>
    <w:p>
      <w:pPr>
        <w:pStyle w:val="Heading4"/>
      </w:pPr>
      <w:r>
        <w:rPr>
          <w:rStyle w:val="SectionNumber"/>
        </w:rPr>
        <w:t xml:space="preserve">4.3.0.1</w:t>
      </w:r>
      <w:r>
        <w:tab/>
      </w:r>
      <w:r>
        <w:t xml:space="preserve">Purpose</w:t>
      </w:r>
    </w:p>
    <w:p>
      <w:pPr>
        <w:pStyle w:val="FirstParagraph"/>
      </w:pPr>
      <w:r>
        <w:t xml:space="preserve">To explore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explore and profile the metagenomic diversity using the R/Bioconductor package phyloseq which leverages various R-based tools to produce publication-quality taxonomy profiling and analysis graphics.</w:t>
      </w:r>
    </w:p>
    <w:bookmarkEnd w:id="260"/>
    <w:bookmarkStart w:id="261" w:name="learning-objectives-6"/>
    <w:p>
      <w:pPr>
        <w:pStyle w:val="Heading3"/>
      </w:pPr>
      <w:r>
        <w:rPr>
          <w:rStyle w:val="SectionNumber"/>
        </w:rPr>
        <w:t xml:space="preserve">4.3.1</w:t>
      </w:r>
      <w:r>
        <w:tab/>
      </w:r>
      <w:r>
        <w:t xml:space="preserve">Learning objectives</w:t>
      </w:r>
    </w:p>
    <w:p>
      <w:pPr>
        <w:numPr>
          <w:ilvl w:val="0"/>
          <w:numId w:val="1089"/>
        </w:numPr>
        <w:pStyle w:val="Compact"/>
      </w:pPr>
      <w:r>
        <w:t xml:space="preserve">Use phyloseq to explore data associated with Amplicon Sequence Variants (ASVs).</w:t>
      </w:r>
    </w:p>
    <w:p>
      <w:pPr>
        <w:numPr>
          <w:ilvl w:val="0"/>
          <w:numId w:val="1089"/>
        </w:numPr>
        <w:pStyle w:val="Compact"/>
      </w:pPr>
      <w:r>
        <w:t xml:space="preserve">In phyloseq, subset data based on metadata and taxonomy.</w:t>
      </w:r>
    </w:p>
    <w:p>
      <w:pPr>
        <w:numPr>
          <w:ilvl w:val="0"/>
          <w:numId w:val="1089"/>
        </w:numPr>
        <w:pStyle w:val="Compact"/>
      </w:pPr>
      <w:r>
        <w:t xml:space="preserve">In phyloseq, profile and plot taxonomy.</w:t>
      </w:r>
    </w:p>
    <w:bookmarkEnd w:id="261"/>
    <w:bookmarkStart w:id="262" w:name="introduction-7"/>
    <w:p>
      <w:pPr>
        <w:pStyle w:val="Heading3"/>
      </w:pPr>
      <w:r>
        <w:rPr>
          <w:rStyle w:val="SectionNumber"/>
        </w:rPr>
        <w:t xml:space="preserve">4.3.2</w:t>
      </w:r>
      <w:r>
        <w:tab/>
      </w:r>
      <w:r>
        <w:t xml:space="preserve">Introduction</w:t>
      </w:r>
    </w:p>
    <w:p>
      <w:pPr>
        <w:pStyle w:val="FirstParagraph"/>
      </w:pPr>
      <w:r>
        <w:t xml:space="preserve">The most popular sequencing technique for the analysis of bacterial diversity is targeted sequencing, or sequencing of a specific gene (or region of a gene, e.g. a hypervariable region of the bacterial 16S ribosomal rRNA gene) using polymerase chain reaction (PCR) to create sequences called amplicons. Sequence variation in the resulting amplicons creates amplicon sequence variants (ASVs). ASVs varying from as little as one single nucleotide can be defined as separate ASVs, which can be further clustered into OTUs (Operational Taxonomic Units) based on sequence similarity; e.g. as ASVs within 1% sequence difference can clustered into the same species/OTU.</w:t>
      </w:r>
    </w:p>
    <w:bookmarkEnd w:id="262"/>
    <w:bookmarkStart w:id="263" w:name="Xe45af9acbb28abccd6a23dcf034e37d37ee88bd"/>
    <w:p>
      <w:pPr>
        <w:pStyle w:val="Heading3"/>
      </w:pPr>
      <w:r>
        <w:rPr>
          <w:rStyle w:val="SectionNumber"/>
        </w:rPr>
        <w:t xml:space="preserve">4.3.3</w:t>
      </w:r>
      <w:r>
        <w:tab/>
      </w:r>
      <w:r>
        <w:t xml:space="preserve">Activity 1 – Explore 16S rRNA Data with phyloseq tutorial</w:t>
      </w:r>
    </w:p>
    <w:p>
      <w:pPr>
        <w:pStyle w:val="FirstParagraph"/>
      </w:pPr>
      <w:r>
        <w:rPr>
          <w:iCs/>
          <w:i/>
        </w:rPr>
        <w:t xml:space="preserve">Estimated time: 25 min</w:t>
      </w:r>
    </w:p>
    <w:p>
      <w:pPr>
        <w:pStyle w:val="BodyText"/>
      </w:pPr>
      <w:r>
        <w:t xml:space="preserve">Explore a phyloseq object through the</w:t>
      </w:r>
      <w:r>
        <w:t xml:space="preserve"> </w:t>
      </w:r>
      <w:r>
        <w:t xml:space="preserve">“</w:t>
      </w:r>
      <w:r>
        <w:t xml:space="preserve">Explore 16S rRNA Data with phyloseq</w:t>
      </w:r>
      <w:r>
        <w:t xml:space="preserve">”</w:t>
      </w:r>
      <w:r>
        <w:t xml:space="preserve"> </w:t>
      </w:r>
      <w:r>
        <w:t xml:space="preserve">tutorial on your cloud platform.</w:t>
      </w:r>
    </w:p>
    <w:p>
      <w:pPr>
        <w:numPr>
          <w:ilvl w:val="0"/>
          <w:numId w:val="1090"/>
        </w:numPr>
        <w:pStyle w:val="Compact"/>
      </w:pPr>
      <w:r>
        <w:t xml:space="preserve">Access the C-MOOR Tutorials</w:t>
      </w:r>
    </w:p>
    <w:p>
      <w:pPr>
        <w:numPr>
          <w:ilvl w:val="0"/>
          <w:numId w:val="109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09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1-explore-ps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091"/>
        </w:numPr>
      </w:pPr>
      <w:r>
        <w:t xml:space="preserve">If you are using an alternative setup, follow the instructions provided by your instructor.</w:t>
      </w:r>
    </w:p>
    <w:p>
      <w:pPr>
        <w:numPr>
          <w:ilvl w:val="0"/>
          <w:numId w:val="1092"/>
        </w:numPr>
        <w:pStyle w:val="Compact"/>
      </w:pPr>
      <w:r>
        <w:t xml:space="preserve">Start the</w:t>
      </w:r>
      <w:r>
        <w:t xml:space="preserve"> </w:t>
      </w:r>
      <w:r>
        <w:t xml:space="preserve">“</w:t>
      </w:r>
      <w:r>
        <w:t xml:space="preserve">Explore 16S rRNA Data with phyloseq</w:t>
      </w:r>
      <w:r>
        <w:t xml:space="preserve">”</w:t>
      </w:r>
      <w:r>
        <w:t xml:space="preserve"> </w:t>
      </w:r>
      <w:r>
        <w:t xml:space="preserve">tutorial.</w:t>
      </w:r>
    </w:p>
    <w:p>
      <w:pPr>
        <w:numPr>
          <w:ilvl w:val="0"/>
          <w:numId w:val="109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92"/>
        </w:numPr>
        <w:pStyle w:val="Compact"/>
      </w:pPr>
      <w:r>
        <w:t xml:space="preserve">This tutorial has small boxes in which you can enter and run short lines of code to analyze the data.</w:t>
      </w:r>
    </w:p>
    <w:p>
      <w:pPr>
        <w:numPr>
          <w:ilvl w:val="0"/>
          <w:numId w:val="1092"/>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OTU_table section – Take a snapshot and paste your code and the output for the following question in the tutorial:</w:t>
            </w:r>
            <w:r>
              <w:rPr>
                <w:bCs/>
                <w:b/>
              </w:rPr>
              <w:t xml:space="preserve"> </w:t>
            </w:r>
            <w:r>
              <w:rPr>
                <w:bCs/>
                <w:b/>
              </w:rPr>
              <w:t xml:space="preserve">“</w:t>
            </w:r>
            <w:r>
              <w:rPr>
                <w:bCs/>
                <w:b/>
              </w:rPr>
              <w:t xml:space="preserve">What is the normalized count for ASV115 in sample 10?</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Visualizing Taxonomy section – Take a snapshot and paste your code and the output for the following question in the tutorial:</w:t>
            </w:r>
            <w:r>
              <w:rPr>
                <w:bCs/>
                <w:b/>
              </w:rPr>
              <w:t xml:space="preserve"> </w:t>
            </w:r>
            <w:r>
              <w:rPr>
                <w:bCs/>
                <w:b/>
              </w:rPr>
              <w:t xml:space="preserve">“</w:t>
            </w:r>
            <w:r>
              <w:rPr>
                <w:bCs/>
                <w:b/>
              </w:rPr>
              <w:t xml:space="preserve">What timepoint has the lowest proportion of phylum Verrucomicrobia?</w:t>
            </w:r>
            <w:r>
              <w:rPr>
                <w:bCs/>
                <w:b/>
              </w:rP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Using subset_taxa() section – Take a snapshot and paste your code and the output for the following question in the tutorial:</w:t>
            </w:r>
            <w:r>
              <w:rPr>
                <w:bCs/>
                <w:b/>
              </w:rPr>
              <w:t xml:space="preserve"> </w:t>
            </w:r>
            <w:r>
              <w:rPr>
                <w:bCs/>
                <w:b/>
              </w:rPr>
              <w:t xml:space="preserve">“</w:t>
            </w:r>
            <w:r>
              <w:rPr>
                <w:bCs/>
                <w:b/>
              </w:rPr>
              <w:t xml:space="preserve">What are the 2 most abundant orders in the class Gammaproteobacteria?</w:t>
            </w:r>
            <w:r>
              <w:rPr>
                <w:bCs/>
                <w:b/>
              </w:rPr>
              <w:t xml:space="preserve">”</w:t>
            </w:r>
          </w:p>
        </w:tc>
      </w:tr>
      <w:tr>
        <w:tc>
          <w:tcPr/>
          <w:p>
            <w:pPr>
              <w:pStyle w:val="Compact"/>
              <w:jc w:val="left"/>
            </w:pPr>
          </w:p>
        </w:tc>
      </w:tr>
    </w:tbl>
    <w:p>
      <w:pPr>
        <w:pStyle w:val="BodyText"/>
      </w:pPr>
    </w:p>
    <w:bookmarkEnd w:id="263"/>
    <w:bookmarkStart w:id="268" w:name="activity-2-try-it-out-questions"/>
    <w:p>
      <w:pPr>
        <w:pStyle w:val="Heading3"/>
      </w:pPr>
      <w:r>
        <w:rPr>
          <w:rStyle w:val="SectionNumber"/>
        </w:rPr>
        <w:t xml:space="preserve">4.3.4</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264" w:name="X3970f89dd765a83559f7ef93a84d5c8174de857"/>
    <w:p>
      <w:pPr>
        <w:pStyle w:val="Heading4"/>
      </w:pPr>
      <w:r>
        <w:rPr>
          <w:rStyle w:val="SectionNumber"/>
        </w:rPr>
        <w:t xml:space="preserve">4.3.4.1</w:t>
      </w:r>
      <w:r>
        <w:tab/>
      </w:r>
      <w:r>
        <w:t xml:space="preserve">Question 1.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human gut microbiome.</w:t>
      </w:r>
    </w:p>
    <w:p>
      <w:pPr>
        <w:pStyle w:val="BodyText"/>
      </w:pPr>
      <w:r>
        <w:t xml:space="preserve">Approach: Examine high-level (Phylum) taxonomy for 5 timepoints and 21 individuals and evaluate if the change of diet or inter-individual differences have more impact on microbe variation.</w:t>
      </w:r>
    </w:p>
    <w:p>
      <w:pPr>
        <w:numPr>
          <w:ilvl w:val="0"/>
          <w:numId w:val="1093"/>
        </w:numPr>
        <w:pStyle w:val="Compact"/>
      </w:pPr>
      <w:r>
        <w:t xml:space="preserve">Evaluate the effect of diet – Plot the three dietary groups BD, HD, and WO corresponding to 5 experimental timepoints (where timepoints 1 and 2 are BD, timepoints 3 and 4 are HD and timepoint 5 is WO).</w:t>
      </w:r>
    </w:p>
    <w:p>
      <w:pPr>
        <w:numPr>
          <w:ilvl w:val="0"/>
          <w:numId w:val="1093"/>
        </w:numPr>
        <w:pStyle w:val="Compact"/>
      </w:pPr>
      <w:r>
        <w:t xml:space="preserve">Evaluate the effect of individuality – Plot the microbiome for all 21 individuals but focus on just the HD timepointgroup (where diet is the same).</w:t>
      </w:r>
    </w:p>
    <w:bookmarkEnd w:id="264"/>
    <w:bookmarkStart w:id="265" w:name="Xff240a2d483d54ced52f51f9c4c7d07d2360700"/>
    <w:p>
      <w:pPr>
        <w:pStyle w:val="Heading4"/>
      </w:pPr>
      <w:r>
        <w:rPr>
          <w:rStyle w:val="SectionNumber"/>
        </w:rPr>
        <w:t xml:space="preserve">4.3.4.2</w:t>
      </w:r>
      <w:r>
        <w:tab/>
      </w:r>
      <w:r>
        <w:t xml:space="preserve">Question 2.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Examine microbial composition for most abundant taxonomic ranks in the human gut of the 21 individuals. To do so, you will use progressive sub-setting of the most abundant taxonomic ranks ranging from Phylum down to Species.</w:t>
      </w:r>
    </w:p>
    <w:p>
      <w:pPr>
        <w:numPr>
          <w:ilvl w:val="0"/>
          <w:numId w:val="1094"/>
        </w:numPr>
        <w:pStyle w:val="Compact"/>
      </w:pPr>
      <w:r>
        <w:t xml:space="preserve">Plot all the Phyla and identify the most abundant Phylum</w:t>
      </w:r>
    </w:p>
    <w:p>
      <w:pPr>
        <w:numPr>
          <w:ilvl w:val="0"/>
          <w:numId w:val="1094"/>
        </w:numPr>
        <w:pStyle w:val="Compact"/>
      </w:pPr>
      <w:r>
        <w:t xml:space="preserve">Subset the most abundant Phylum, and plot all the Orders</w:t>
      </w:r>
    </w:p>
    <w:p>
      <w:pPr>
        <w:numPr>
          <w:ilvl w:val="0"/>
          <w:numId w:val="1094"/>
        </w:numPr>
        <w:pStyle w:val="Compact"/>
      </w:pPr>
      <w:r>
        <w:t xml:space="preserve">Subset the most abundant Order, and plot all the Families</w:t>
      </w:r>
    </w:p>
    <w:p>
      <w:pPr>
        <w:numPr>
          <w:ilvl w:val="0"/>
          <w:numId w:val="1094"/>
        </w:numPr>
        <w:pStyle w:val="Compact"/>
      </w:pPr>
      <w:r>
        <w:t xml:space="preserve">Subset the most abundant Family, and plot all the Genera</w:t>
      </w:r>
    </w:p>
    <w:p>
      <w:pPr>
        <w:numPr>
          <w:ilvl w:val="0"/>
          <w:numId w:val="1094"/>
        </w:numPr>
        <w:pStyle w:val="Compact"/>
      </w:pPr>
      <w:r>
        <w:t xml:space="preserve">Subset the most abundant Genus, and plot all the Species</w:t>
      </w:r>
    </w:p>
    <w:bookmarkEnd w:id="265"/>
    <w:bookmarkStart w:id="266" w:name="Xceaa160192ac623c0852540bd90f0b232ee8573"/>
    <w:p>
      <w:pPr>
        <w:pStyle w:val="Heading4"/>
      </w:pPr>
      <w:r>
        <w:rPr>
          <w:rStyle w:val="SectionNumber"/>
        </w:rPr>
        <w:t xml:space="preserve">4.3.4.3</w:t>
      </w:r>
      <w:r>
        <w:tab/>
      </w:r>
      <w:r>
        <w:t xml:space="preserve">Question 3. Does gender have an impact on the human gut microbiome?</w:t>
      </w:r>
    </w:p>
    <w:p>
      <w:pPr>
        <w:pStyle w:val="FirstParagraph"/>
      </w:pPr>
      <w:r>
        <w:t xml:space="preserve">The biological sex of the host has been suggested to help shape or influence its gut microbiome. Some candidate microbes have been implicated in sex differences. Here we will explore the potential gender-based differences in the human gut microbiome.</w:t>
      </w:r>
    </w:p>
    <w:p>
      <w:pPr>
        <w:pStyle w:val="BodyText"/>
      </w:pPr>
      <w:r>
        <w:t xml:space="preserve">Approach: Test if Phyla and/or species vary based on gender. First you will survey the differences between male and female subjects in the composition of their Phylum and species. Then you will select some candidate microbes of interest to examine in further detail.</w:t>
      </w:r>
    </w:p>
    <w:p>
      <w:pPr>
        <w:numPr>
          <w:ilvl w:val="0"/>
          <w:numId w:val="1095"/>
        </w:numPr>
        <w:pStyle w:val="Compact"/>
      </w:pPr>
      <w:r>
        <w:t xml:space="preserve">Survey differences in phylum and species composition by gender.</w:t>
      </w:r>
    </w:p>
    <w:p>
      <w:pPr>
        <w:numPr>
          <w:ilvl w:val="0"/>
          <w:numId w:val="1095"/>
        </w:numPr>
        <w:pStyle w:val="Compact"/>
      </w:pPr>
      <w:r>
        <w:t xml:space="preserve">Plot differences in species for a high abundance phylum by gender.</w:t>
      </w:r>
    </w:p>
    <w:p>
      <w:pPr>
        <w:numPr>
          <w:ilvl w:val="0"/>
          <w:numId w:val="1095"/>
        </w:numPr>
        <w:pStyle w:val="Compact"/>
      </w:pPr>
      <w:r>
        <w:t xml:space="preserve">Plot differences in species for a low abundance phylum by gender.</w:t>
      </w:r>
    </w:p>
    <w:p>
      <w:pPr>
        <w:numPr>
          <w:ilvl w:val="0"/>
          <w:numId w:val="1095"/>
        </w:numPr>
        <w:pStyle w:val="Compact"/>
      </w:pPr>
      <w:r>
        <w:t xml:space="preserve">Plot two candidate microbes reported in the literature to vary with gender.</w:t>
      </w:r>
    </w:p>
    <w:bookmarkEnd w:id="266"/>
    <w:bookmarkStart w:id="267" w:name="X1ad1701246c1eca43dcadb7b5da61951b044c41"/>
    <w:p>
      <w:pPr>
        <w:pStyle w:val="Heading4"/>
      </w:pPr>
      <w:r>
        <w:rPr>
          <w:rStyle w:val="SectionNumber"/>
        </w:rPr>
        <w:t xml:space="preserve">4.3.4.4</w:t>
      </w:r>
      <w:r>
        <w:tab/>
      </w:r>
      <w:r>
        <w:t xml:space="preserve">Question 4. Does age have an impact on human gut microbiomes?</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Test if Phylum and/or species composition differs by age across the dataset. First you will plot the relationship between age and phylum; we will see that age is a more challenging variable to work with than our categorical variables. You will collapse and transform the data to fix this issue to create a final plot for your interpretation.</w:t>
      </w:r>
    </w:p>
    <w:p>
      <w:pPr>
        <w:numPr>
          <w:ilvl w:val="0"/>
          <w:numId w:val="1096"/>
        </w:numPr>
        <w:pStyle w:val="Compact"/>
      </w:pPr>
      <w:r>
        <w:t xml:space="preserve">Plot all Phyla based on age.</w:t>
      </w:r>
    </w:p>
    <w:p>
      <w:pPr>
        <w:numPr>
          <w:ilvl w:val="0"/>
          <w:numId w:val="1096"/>
        </w:numPr>
        <w:pStyle w:val="Compact"/>
      </w:pPr>
      <w:r>
        <w:t xml:space="preserve">Normalize age that includes multiple individuals to avoid overestimation (e.g., 2 individuals are of age 27, 46 and 58, and 3 individuals are 54).</w:t>
      </w:r>
    </w:p>
    <w:p>
      <w:pPr>
        <w:numPr>
          <w:ilvl w:val="0"/>
          <w:numId w:val="1096"/>
        </w:numPr>
        <w:pStyle w:val="Compact"/>
      </w:pPr>
      <w:r>
        <w:t xml:space="preserve">Profile candidate Phyla Firmicutes based on age.</w:t>
      </w:r>
    </w:p>
    <w:p>
      <w:pPr>
        <w:numPr>
          <w:ilvl w:val="0"/>
          <w:numId w:val="1096"/>
        </w:numPr>
        <w:pStyle w:val="Compact"/>
      </w:pPr>
      <w:r>
        <w:t xml:space="preserve">Profile candidate Phyla Bacteroidetes based on age.</w:t>
      </w:r>
    </w:p>
    <w:bookmarkEnd w:id="267"/>
    <w:bookmarkEnd w:id="268"/>
    <w:bookmarkStart w:id="269" w:name="grading-criteria-3"/>
    <w:p>
      <w:pPr>
        <w:pStyle w:val="Heading3"/>
      </w:pPr>
      <w:r>
        <w:rPr>
          <w:rStyle w:val="SectionNumber"/>
        </w:rPr>
        <w:t xml:space="preserve">4.3.5</w:t>
      </w:r>
      <w:r>
        <w:tab/>
      </w:r>
      <w:r>
        <w:t xml:space="preserve">Grading criteria</w:t>
      </w:r>
    </w:p>
    <w:p>
      <w:pPr>
        <w:numPr>
          <w:ilvl w:val="0"/>
          <w:numId w:val="1097"/>
        </w:numPr>
        <w:pStyle w:val="Compact"/>
      </w:pPr>
      <w:r>
        <w:t xml:space="preserve">Download the assignment to your local computer as a .docx, complete it, and upload the assignment to your LMS (Blackboard, Canvas, Google Classroom).</w:t>
      </w:r>
    </w:p>
    <w:bookmarkEnd w:id="269"/>
    <w:bookmarkStart w:id="274" w:name="footnotes-7"/>
    <w:p>
      <w:pPr>
        <w:pStyle w:val="Heading3"/>
      </w:pPr>
      <w:r>
        <w:rPr>
          <w:rStyle w:val="SectionNumber"/>
        </w:rPr>
        <w:t xml:space="preserve">4.3.6</w:t>
      </w:r>
      <w:r>
        <w:tab/>
      </w:r>
      <w:r>
        <w:t xml:space="preserve">Footnotes</w:t>
      </w:r>
    </w:p>
    <w:bookmarkStart w:id="272" w:name="resources-11"/>
    <w:p>
      <w:pPr>
        <w:pStyle w:val="Heading4"/>
      </w:pPr>
      <w:r>
        <w:rPr>
          <w:rStyle w:val="SectionNumber"/>
        </w:rPr>
        <w:t xml:space="preserve">4.3.6.1</w:t>
      </w:r>
      <w:r>
        <w:tab/>
      </w:r>
      <w:r>
        <w:t xml:space="preserve">Resources</w:t>
      </w:r>
    </w:p>
    <w:p>
      <w:pPr>
        <w:numPr>
          <w:ilvl w:val="0"/>
          <w:numId w:val="1098"/>
        </w:numPr>
        <w:pStyle w:val="Compact"/>
      </w:pPr>
      <w:hyperlink r:id="rId270">
        <w:r>
          <w:rPr>
            <w:rStyle w:val="Hyperlink"/>
          </w:rPr>
          <w:t xml:space="preserve">Google Doc</w:t>
        </w:r>
      </w:hyperlink>
    </w:p>
    <w:p>
      <w:pPr>
        <w:numPr>
          <w:ilvl w:val="0"/>
          <w:numId w:val="1098"/>
        </w:numPr>
        <w:pStyle w:val="Compact"/>
      </w:pPr>
      <w:hyperlink r:id="rId271">
        <w:r>
          <w:rPr>
            <w:rStyle w:val="Hyperlink"/>
          </w:rPr>
          <w:t xml:space="preserve">16S rRNA R Quick Reference</w:t>
        </w:r>
      </w:hyperlink>
    </w:p>
    <w:bookmarkEnd w:id="272"/>
    <w:bookmarkStart w:id="273" w:name="contributions-and-affiliations-7"/>
    <w:p>
      <w:pPr>
        <w:pStyle w:val="Heading4"/>
      </w:pPr>
      <w:r>
        <w:rPr>
          <w:rStyle w:val="SectionNumber"/>
        </w:rPr>
        <w:t xml:space="preserve">4.3.6.2</w:t>
      </w:r>
      <w:r>
        <w:tab/>
      </w:r>
      <w:r>
        <w:t xml:space="preserve">Contributions and affiliations</w:t>
      </w:r>
    </w:p>
    <w:p>
      <w:pPr>
        <w:numPr>
          <w:ilvl w:val="0"/>
          <w:numId w:val="1099"/>
        </w:numPr>
        <w:pStyle w:val="Compact"/>
      </w:pPr>
      <w:r>
        <w:t xml:space="preserve">Valeriya Gaysinskaya, Johns Hopkins University</w:t>
      </w:r>
    </w:p>
    <w:p>
      <w:pPr>
        <w:numPr>
          <w:ilvl w:val="0"/>
          <w:numId w:val="1099"/>
        </w:numPr>
        <w:pStyle w:val="Compact"/>
      </w:pPr>
      <w:r>
        <w:t xml:space="preserve">Gauri Paul, Clovis Community College</w:t>
      </w:r>
    </w:p>
    <w:p>
      <w:pPr>
        <w:numPr>
          <w:ilvl w:val="0"/>
          <w:numId w:val="1099"/>
        </w:numPr>
        <w:pStyle w:val="Compact"/>
      </w:pPr>
      <w:r>
        <w:t xml:space="preserve">Frederick Tan, Johns Hopkins University</w:t>
      </w:r>
    </w:p>
    <w:p>
      <w:pPr>
        <w:numPr>
          <w:ilvl w:val="0"/>
          <w:numId w:val="1099"/>
        </w:numPr>
        <w:pStyle w:val="Compact"/>
      </w:pPr>
      <w:r>
        <w:t xml:space="preserve">Sayumi York, Notre Dame of Maryland University</w:t>
      </w:r>
    </w:p>
    <w:bookmarkEnd w:id="273"/>
    <w:bookmarkEnd w:id="274"/>
    <w:bookmarkEnd w:id="275"/>
    <w:bookmarkStart w:id="282" w:name="X4d4ca1b452e7987c69de277e9ce95c54822fb0d"/>
    <w:p>
      <w:pPr>
        <w:pStyle w:val="Heading2"/>
      </w:pPr>
      <w:r>
        <w:rPr>
          <w:rStyle w:val="SectionNumber"/>
        </w:rPr>
        <w:t xml:space="preserve">4.4</w:t>
      </w:r>
      <w:r>
        <w:tab/>
      </w:r>
      <w:r>
        <w:t xml:space="preserve">Try it Question 1 - What has more impact on human microbial variation, diet or individuality</w:t>
      </w:r>
    </w:p>
    <w:p>
      <w:pPr>
        <w:pStyle w:val="FirstParagraph"/>
      </w:pPr>
      <w:r>
        <w:t xml:space="preserve">Diet is suggested to play an important role in shaping the human gut microbiome. However, other factors that are specific to an individual such as their physical fitness, metabolism, and genotype are also suspected to play a strong role. Here we will explore the impact of diet and individuality on the human gut microbiome.</w:t>
      </w:r>
    </w:p>
    <w:p>
      <w:pPr>
        <w:pStyle w:val="BodyText"/>
      </w:pPr>
      <w:r>
        <w:t xml:space="preserve">Approach: Plot high level taxa (Phyla) for all timepoints and subjects and compare the plots to determine which factor has a stronger effect on microbiome composition.</w:t>
      </w:r>
    </w:p>
    <w:bookmarkStart w:id="276" w:name="Xc42490a7e52876b0cf8b34ba878c458ecf6c0d4"/>
    <w:p>
      <w:pPr>
        <w:pStyle w:val="Heading3"/>
      </w:pPr>
      <w:r>
        <w:rPr>
          <w:rStyle w:val="SectionNumber"/>
        </w:rPr>
        <w:t xml:space="preserve">4.4.1</w:t>
      </w:r>
      <w:r>
        <w:tab/>
      </w:r>
      <w:r>
        <w:t xml:space="preserve">Step 1A: Plot high-level taxonomy (Phylum level) for each timepoint using the plot_bar() function.** Specifically, your plot should show Phyla diversity across all 5 timepoints.</w:t>
      </w:r>
    </w:p>
    <w:p>
      <w:pPr>
        <w:numPr>
          <w:ilvl w:val="0"/>
          <w:numId w:val="1100"/>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0"/>
        </w:numPr>
        <w:pStyle w:val="Compact"/>
      </w:pPr>
      <w:r>
        <w:t xml:space="preserve">Ensure your plot has a title</w:t>
      </w:r>
    </w:p>
    <w:p>
      <w:pPr>
        <w:numPr>
          <w:ilvl w:val="0"/>
          <w:numId w:val="1100"/>
        </w:numPr>
        <w:pStyle w:val="Compact"/>
      </w:pPr>
      <w:r>
        <w:t xml:space="preserve">Remember, the BD diet includes timepoints 1 and 2, the HD diet includes timepoints 3 and 4, and the WO diet includes timepoint 5.</w:t>
      </w:r>
    </w:p>
    <w:p>
      <w:pPr>
        <w:numPr>
          <w:ilvl w:val="0"/>
          <w:numId w:val="1100"/>
        </w:numPr>
        <w:pStyle w:val="Compact"/>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figure 1A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gut microbiome at the phyla-level look similar for the two samples within the baseline diet treatment (timepoints 1&amp;2)?</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the gut microbiome at the phyla-level look similar for the two samples within the homogenous diet treatment (timepoints 3&amp;4)?</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Does the gut microbiome at the phyla-level look different between diet treatments (timepoints 1 &amp; 2 vs. 3 &amp; 4 vs 5?)</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Based on what you wrote above, conclude the effect of diet on the gut microbiome at the level of phylum.</w:t>
            </w:r>
          </w:p>
        </w:tc>
      </w:tr>
      <w:tr>
        <w:tc>
          <w:tcPr/>
          <w:p>
            <w:pPr>
              <w:pStyle w:val="Compact"/>
              <w:jc w:val="left"/>
            </w:pPr>
          </w:p>
        </w:tc>
      </w:tr>
    </w:tbl>
    <w:p>
      <w:pPr>
        <w:pStyle w:val="BodyText"/>
      </w:pPr>
    </w:p>
    <w:bookmarkEnd w:id="276"/>
    <w:bookmarkStart w:id="277" w:name="X2d4d82d780c68e758a74280799ee71fc953bd97"/>
    <w:p>
      <w:pPr>
        <w:pStyle w:val="Heading3"/>
      </w:pPr>
      <w:r>
        <w:rPr>
          <w:rStyle w:val="SectionNumber"/>
        </w:rPr>
        <w:t xml:space="preserve">4.4.2</w:t>
      </w:r>
      <w:r>
        <w:tab/>
      </w:r>
      <w:r>
        <w:t xml:space="preserve">Step 1B: Plot high-level taxonomy (Phylum level) for each individual, using only normalized homogenized diet</w:t>
      </w:r>
      <w:r>
        <w:t xml:space="preserve"> </w:t>
      </w:r>
      <w:r>
        <w:t xml:space="preserve">“</w:t>
      </w:r>
      <w:r>
        <w:t xml:space="preserve">HD</w:t>
      </w:r>
      <w:r>
        <w:t xml:space="preserve">”</w:t>
      </w:r>
      <w:r>
        <w:t xml:space="preserve"> </w:t>
      </w:r>
      <w:r>
        <w:t xml:space="preserve">timepoints to minimize contribution of diet to the analysis using the plot_bar() function.</w:t>
      </w:r>
    </w:p>
    <w:p>
      <w:pPr>
        <w:pStyle w:val="SourceCode"/>
      </w:pP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"HD"</w:t>
      </w:r>
      <w:r>
        <w:rPr>
          <w:rStyle w:val="NormalTok"/>
        </w:rPr>
        <w:t xml:space="preserve">)</w:t>
      </w:r>
      <w:r>
        <w:br/>
      </w:r>
      <w:r>
        <w:rPr>
          <w:rStyle w:val="FunctionTok"/>
        </w:rPr>
        <w:t xml:space="preserve">plot_bar</w:t>
      </w:r>
      <w:r>
        <w:rPr>
          <w:rStyle w:val="NormalTok"/>
        </w:rPr>
        <w:t xml:space="preserve">(misoHD,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numPr>
          <w:ilvl w:val="0"/>
          <w:numId w:val="1101"/>
        </w:numPr>
        <w:pStyle w:val="Compact"/>
      </w:pPr>
      <w:r>
        <w:t xml:space="preserve">Specifically, your plot should show Phyla diversity across all 21 individuals at HD timepoints.</w:t>
      </w:r>
    </w:p>
    <w:p>
      <w:pPr>
        <w:numPr>
          <w:ilvl w:val="0"/>
          <w:numId w:val="1101"/>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1"/>
        </w:numPr>
        <w:pStyle w:val="Compact"/>
      </w:pPr>
      <w:r>
        <w:t xml:space="preserve">Check that your plot has a title</w:t>
      </w:r>
    </w:p>
    <w:p>
      <w:pPr>
        <w:numPr>
          <w:ilvl w:val="0"/>
          <w:numId w:val="1101"/>
        </w:numPr>
        <w:pStyle w:val="Compact"/>
      </w:pPr>
      <w:r>
        <w:t xml:space="preserve">Use the command below to create a phyloseq object with only</w:t>
      </w:r>
      <w:r>
        <w:t xml:space="preserve"> </w:t>
      </w:r>
      <w:r>
        <w:t xml:space="preserve">“</w:t>
      </w:r>
      <w:r>
        <w:t xml:space="preserve">HD</w:t>
      </w:r>
      <w:r>
        <w:t xml:space="preserve">”</w:t>
      </w:r>
      <w:r>
        <w:t xml:space="preserve"> </w:t>
      </w:r>
      <w:r>
        <w:t xml:space="preserve">timepoints and fill in the template code to make your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Figure 1B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 How different is the gut microbiome between subjects?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this figure, what is the effect of the individual on the gut microbiome composition at the level of phylum?</w:t>
            </w:r>
            <w:r>
              <w:t xml:space="preserve"> </w:t>
            </w:r>
            <w:r>
              <w:t xml:space="preserve">Remember, this figure contains data for subjects who were all eating the same homogenized diet. So, the effect of diet is controlled for here and we can see the effect of the individual, which encompasses their lifestyle, genetic factors, age, and unique biology.</w:t>
            </w:r>
          </w:p>
        </w:tc>
      </w:tr>
      <w:tr>
        <w:tc>
          <w:tcPr/>
          <w:p>
            <w:pPr>
              <w:pStyle w:val="Compact"/>
              <w:jc w:val="left"/>
            </w:pPr>
          </w:p>
        </w:tc>
      </w:tr>
    </w:tbl>
    <w:p>
      <w:pPr>
        <w:pStyle w:val="BodyText"/>
      </w:pPr>
    </w:p>
    <w:bookmarkEnd w:id="277"/>
    <w:bookmarkStart w:id="278" w:name="grading-criteria-4"/>
    <w:p>
      <w:pPr>
        <w:pStyle w:val="Heading3"/>
      </w:pPr>
      <w:r>
        <w:rPr>
          <w:rStyle w:val="SectionNumber"/>
        </w:rPr>
        <w:t xml:space="preserve">4.4.3</w:t>
      </w:r>
      <w:r>
        <w:tab/>
      </w:r>
      <w:r>
        <w:t xml:space="preserve">Grading criteria</w:t>
      </w:r>
    </w:p>
    <w:p>
      <w:pPr>
        <w:numPr>
          <w:ilvl w:val="0"/>
          <w:numId w:val="1102"/>
        </w:numPr>
        <w:pStyle w:val="Compact"/>
      </w:pPr>
      <w:r>
        <w:t xml:space="preserve">Download the assignment to your local computer as a .docx, complete it, and upload the assignment to your LMS (Blackboard, Canvas, Google Classroom).</w:t>
      </w:r>
    </w:p>
    <w:bookmarkEnd w:id="278"/>
    <w:bookmarkStart w:id="281" w:name="footnotes-8"/>
    <w:p>
      <w:pPr>
        <w:pStyle w:val="Heading3"/>
      </w:pPr>
      <w:r>
        <w:rPr>
          <w:rStyle w:val="SectionNumber"/>
        </w:rPr>
        <w:t xml:space="preserve">4.4.4</w:t>
      </w:r>
      <w:r>
        <w:tab/>
      </w:r>
      <w:r>
        <w:t xml:space="preserve">Footnotes</w:t>
      </w:r>
    </w:p>
    <w:bookmarkStart w:id="279" w:name="resources-12"/>
    <w:p>
      <w:pPr>
        <w:pStyle w:val="Heading4"/>
      </w:pPr>
      <w:r>
        <w:rPr>
          <w:rStyle w:val="SectionNumber"/>
        </w:rPr>
        <w:t xml:space="preserve">4.4.4.1</w:t>
      </w:r>
      <w:r>
        <w:tab/>
      </w:r>
      <w:r>
        <w:t xml:space="preserve">Resources</w:t>
      </w:r>
    </w:p>
    <w:p>
      <w:pPr>
        <w:numPr>
          <w:ilvl w:val="0"/>
          <w:numId w:val="1103"/>
        </w:numPr>
        <w:pStyle w:val="Compact"/>
      </w:pPr>
      <w:hyperlink r:id="rId270">
        <w:r>
          <w:rPr>
            <w:rStyle w:val="Hyperlink"/>
          </w:rPr>
          <w:t xml:space="preserve">Google Doc</w:t>
        </w:r>
      </w:hyperlink>
    </w:p>
    <w:p>
      <w:pPr>
        <w:numPr>
          <w:ilvl w:val="0"/>
          <w:numId w:val="1103"/>
        </w:numPr>
        <w:pStyle w:val="Compact"/>
      </w:pPr>
      <w:hyperlink r:id="rId271">
        <w:r>
          <w:rPr>
            <w:rStyle w:val="Hyperlink"/>
          </w:rPr>
          <w:t xml:space="preserve">16S rRNA R Quick Reference</w:t>
        </w:r>
      </w:hyperlink>
    </w:p>
    <w:bookmarkEnd w:id="279"/>
    <w:bookmarkStart w:id="280" w:name="contributions-and-affiliations-8"/>
    <w:p>
      <w:pPr>
        <w:pStyle w:val="Heading4"/>
      </w:pPr>
      <w:r>
        <w:rPr>
          <w:rStyle w:val="SectionNumber"/>
        </w:rPr>
        <w:t xml:space="preserve">4.4.4.2</w:t>
      </w:r>
      <w:r>
        <w:tab/>
      </w:r>
      <w:r>
        <w:t xml:space="preserve">Contributions and affiliations</w:t>
      </w:r>
    </w:p>
    <w:p>
      <w:pPr>
        <w:numPr>
          <w:ilvl w:val="0"/>
          <w:numId w:val="1104"/>
        </w:numPr>
        <w:pStyle w:val="Compact"/>
      </w:pPr>
      <w:r>
        <w:t xml:space="preserve">Valeriya Gaysinskaya, Johns Hopkins University</w:t>
      </w:r>
    </w:p>
    <w:p>
      <w:pPr>
        <w:numPr>
          <w:ilvl w:val="0"/>
          <w:numId w:val="1104"/>
        </w:numPr>
        <w:pStyle w:val="Compact"/>
      </w:pPr>
      <w:r>
        <w:t xml:space="preserve">Gauri Paul, Clovis Community College</w:t>
      </w:r>
    </w:p>
    <w:p>
      <w:pPr>
        <w:numPr>
          <w:ilvl w:val="0"/>
          <w:numId w:val="1104"/>
        </w:numPr>
        <w:pStyle w:val="Compact"/>
      </w:pPr>
      <w:r>
        <w:t xml:space="preserve">Frederick Tan, Johns Hopkins University</w:t>
      </w:r>
    </w:p>
    <w:p>
      <w:pPr>
        <w:numPr>
          <w:ilvl w:val="0"/>
          <w:numId w:val="1104"/>
        </w:numPr>
        <w:pStyle w:val="Compact"/>
      </w:pPr>
      <w:r>
        <w:t xml:space="preserve">Sayumi York, Notre Dame of Maryland University</w:t>
      </w:r>
    </w:p>
    <w:bookmarkEnd w:id="280"/>
    <w:bookmarkEnd w:id="281"/>
    <w:bookmarkEnd w:id="282"/>
    <w:bookmarkStart w:id="292" w:name="X52620bebbd61fa8f7bc585afe2b70105c561004"/>
    <w:p>
      <w:pPr>
        <w:pStyle w:val="Heading2"/>
      </w:pPr>
      <w:r>
        <w:rPr>
          <w:rStyle w:val="SectionNumber"/>
        </w:rPr>
        <w:t xml:space="preserve">4.5</w:t>
      </w:r>
      <w:r>
        <w:tab/>
      </w:r>
      <w:r>
        <w:t xml:space="preserve">Try it Question 2 - What are some of the most abundant microbes when viewed at different taxonomic resolutions</w:t>
      </w:r>
    </w:p>
    <w:p>
      <w:pPr>
        <w:pStyle w:val="FirstParagraph"/>
      </w:pPr>
      <w:r>
        <w:t xml:space="preserve">Microbes within the core microbiome - the most common and abundant species across samples in a given group - are likely to be involved in key functions of the holobiont. Here we will explore some of the most common microbes at increasing levels of taxonomic resolution.</w:t>
      </w:r>
    </w:p>
    <w:p>
      <w:pPr>
        <w:pStyle w:val="BodyText"/>
      </w:pPr>
      <w:r>
        <w:t xml:space="preserve">Approach: Plot progressively lower level taxa for all individuals, subsetting most abundant from each rank.</w:t>
      </w:r>
    </w:p>
    <w:bookmarkStart w:id="283" w:name="X7b48b8da6143e29cbbda40ca37a070df2933ae3"/>
    <w:p>
      <w:pPr>
        <w:pStyle w:val="Heading3"/>
      </w:pPr>
      <w:r>
        <w:rPr>
          <w:rStyle w:val="SectionNumber"/>
        </w:rPr>
        <w:t xml:space="preserve">4.5.1</w:t>
      </w:r>
      <w:r>
        <w:tab/>
      </w:r>
      <w:r>
        <w:t xml:space="preserve">Step 2A. Plot Phyla across all subjects and identify the most abundant Phyla. Specifically, your plot should show Phyla diversity across all 21 individuals.</w:t>
      </w:r>
    </w:p>
    <w:p>
      <w:pPr>
        <w:numPr>
          <w:ilvl w:val="0"/>
          <w:numId w:val="1105"/>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05"/>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Enter the name of the most abundant Phyla below:</w:t>
            </w:r>
          </w:p>
        </w:tc>
      </w:tr>
      <w:tr>
        <w:tc>
          <w:tcPr/>
          <w:p>
            <w:pPr>
              <w:pStyle w:val="Compact"/>
              <w:jc w:val="left"/>
            </w:pPr>
          </w:p>
        </w:tc>
      </w:tr>
    </w:tbl>
    <w:p>
      <w:pPr>
        <w:pStyle w:val="BodyText"/>
      </w:pPr>
    </w:p>
    <w:bookmarkEnd w:id="283"/>
    <w:bookmarkStart w:id="287" w:name="X7139f1be24f956f0f40afe6682cc8c0c7c9716b"/>
    <w:p>
      <w:pPr>
        <w:pStyle w:val="Heading3"/>
      </w:pPr>
      <w:r>
        <w:rPr>
          <w:rStyle w:val="SectionNumber"/>
        </w:rPr>
        <w:t xml:space="preserve">4.5.2</w:t>
      </w:r>
      <w:r>
        <w:tab/>
      </w:r>
      <w:r>
        <w:t xml:space="preserve">Step 2B. Subset the most abundant Phyla, and plot Order (Skip Class)</w:t>
      </w:r>
    </w:p>
    <w:p>
      <w:pPr>
        <w:numPr>
          <w:ilvl w:val="0"/>
          <w:numId w:val="1106"/>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6"/>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"Order"</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 Your plot’s abundance should be more varied and less than all the previous plots you have made so far, as it is only including a subset of the overall dataset.</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Enter the name of the most abundant Order of your chosen phylum below:</w:t>
            </w:r>
          </w:p>
        </w:tc>
      </w:tr>
      <w:tr>
        <w:tc>
          <w:tcPr/>
          <w:p>
            <w:pPr>
              <w:pStyle w:val="Compact"/>
              <w:jc w:val="left"/>
            </w:pPr>
          </w:p>
        </w:tc>
      </w:tr>
    </w:tbl>
    <w:p>
      <w:pPr>
        <w:pStyle w:val="BodyText"/>
      </w:pPr>
    </w:p>
    <w:bookmarkStart w:id="284" w:name="Xabbdf55606f58d7d6fafd9bc2edb7defe600b03"/>
    <w:p>
      <w:pPr>
        <w:pStyle w:val="Heading4"/>
      </w:pPr>
      <w:r>
        <w:rPr>
          <w:rStyle w:val="SectionNumber"/>
        </w:rPr>
        <w:t xml:space="preserve">4.5.2.1</w:t>
      </w:r>
      <w:r>
        <w:tab/>
      </w:r>
      <w:r>
        <w:t xml:space="preserve">Step 2C. Subset the most abundant Order, and plot associated Family</w:t>
      </w:r>
    </w:p>
    <w:p>
      <w:pPr>
        <w:numPr>
          <w:ilvl w:val="0"/>
          <w:numId w:val="110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7"/>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Order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"Family"</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Enter the name of the most abundant Family below:</w:t>
            </w:r>
          </w:p>
        </w:tc>
      </w:tr>
      <w:tr>
        <w:tc>
          <w:tcPr/>
          <w:p>
            <w:pPr>
              <w:pStyle w:val="Compact"/>
              <w:jc w:val="left"/>
            </w:pPr>
          </w:p>
        </w:tc>
      </w:tr>
    </w:tbl>
    <w:p>
      <w:pPr>
        <w:pStyle w:val="BodyText"/>
      </w:pPr>
    </w:p>
    <w:bookmarkEnd w:id="284"/>
    <w:bookmarkStart w:id="285" w:name="X8503efb866327a0b909fbc74abc6bbf2b7abd54"/>
    <w:p>
      <w:pPr>
        <w:pStyle w:val="Heading4"/>
      </w:pPr>
      <w:r>
        <w:rPr>
          <w:rStyle w:val="SectionNumber"/>
        </w:rPr>
        <w:t xml:space="preserve">4.5.2.2</w:t>
      </w:r>
      <w:r>
        <w:tab/>
      </w:r>
      <w:r>
        <w:t xml:space="preserve">Step 2D. Subset most abundant Family, and plot associated Genus</w:t>
      </w:r>
    </w:p>
    <w:p>
      <w:pPr>
        <w:numPr>
          <w:ilvl w:val="0"/>
          <w:numId w:val="110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Family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"Genus"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2D-2. Enter the name of the most abundant Genus of your chosen Family below:</w:t>
            </w:r>
          </w:p>
        </w:tc>
      </w:tr>
      <w:tr>
        <w:tc>
          <w:tcPr/>
          <w:p>
            <w:pPr>
              <w:pStyle w:val="Compact"/>
              <w:jc w:val="left"/>
            </w:pPr>
          </w:p>
        </w:tc>
      </w:tr>
    </w:tbl>
    <w:p>
      <w:pPr>
        <w:pStyle w:val="BodyText"/>
      </w:pPr>
    </w:p>
    <w:bookmarkEnd w:id="285"/>
    <w:bookmarkStart w:id="286" w:name="X297f878056c0b28dc2a46fdbf7aa111b883b0b1"/>
    <w:p>
      <w:pPr>
        <w:pStyle w:val="Heading4"/>
      </w:pPr>
      <w:r>
        <w:rPr>
          <w:rStyle w:val="SectionNumber"/>
        </w:rPr>
        <w:t xml:space="preserve">4.5.2.3</w:t>
      </w:r>
      <w:r>
        <w:tab/>
      </w:r>
      <w:r>
        <w:t xml:space="preserve">Step 2E. Subset the most abundant Genus, and plot associated Species</w:t>
      </w:r>
    </w:p>
    <w:p>
      <w:pPr>
        <w:numPr>
          <w:ilvl w:val="0"/>
          <w:numId w:val="1109"/>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09"/>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Genus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0"/>
        </w:numPr>
        <w:pStyle w:val="Compact"/>
      </w:pPr>
      <w:r>
        <w:t xml:space="preserve">Note, given the many different Species associated with an abundant Genus, 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2E-1.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2E-2. Enter the name of the some of the most abundant species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2E-3. After looking through all your plots, summarize your conclusion regarding individual microbiome composition diversity. Explain what reasoning led you to your conclusion.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2E-4. If an ASV is listed as NA at a given taxonomic rank, it means taxonomic information is not available at that level for that microbe. Are there are lot of ASVs with NA annotations across different levels?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2E-5. Look up one of the species you found. How might it serve a function in the gut microbiome?</w:t>
            </w:r>
          </w:p>
        </w:tc>
      </w:tr>
      <w:tr>
        <w:tc>
          <w:tcPr/>
          <w:p>
            <w:pPr>
              <w:pStyle w:val="Compact"/>
              <w:jc w:val="left"/>
            </w:pPr>
          </w:p>
        </w:tc>
      </w:tr>
    </w:tbl>
    <w:p>
      <w:pPr>
        <w:pStyle w:val="BodyText"/>
      </w:pPr>
    </w:p>
    <w:bookmarkEnd w:id="286"/>
    <w:bookmarkEnd w:id="287"/>
    <w:bookmarkStart w:id="288" w:name="grading-criteria-5"/>
    <w:p>
      <w:pPr>
        <w:pStyle w:val="Heading3"/>
      </w:pPr>
      <w:r>
        <w:rPr>
          <w:rStyle w:val="SectionNumber"/>
        </w:rPr>
        <w:t xml:space="preserve">4.5.3</w:t>
      </w:r>
      <w:r>
        <w:tab/>
      </w:r>
      <w:r>
        <w:t xml:space="preserve">Grading criteria</w:t>
      </w:r>
    </w:p>
    <w:p>
      <w:pPr>
        <w:numPr>
          <w:ilvl w:val="0"/>
          <w:numId w:val="1111"/>
        </w:numPr>
        <w:pStyle w:val="Compact"/>
      </w:pPr>
      <w:r>
        <w:t xml:space="preserve">Download the assignment to your local computer as a .docx, complete it, and upload the assignment to your LMS (Blackboard, Canvas, Google Classroom).</w:t>
      </w:r>
    </w:p>
    <w:bookmarkEnd w:id="288"/>
    <w:bookmarkStart w:id="291" w:name="footnotes-9"/>
    <w:p>
      <w:pPr>
        <w:pStyle w:val="Heading3"/>
      </w:pPr>
      <w:r>
        <w:rPr>
          <w:rStyle w:val="SectionNumber"/>
        </w:rPr>
        <w:t xml:space="preserve">4.5.4</w:t>
      </w:r>
      <w:r>
        <w:tab/>
      </w:r>
      <w:r>
        <w:t xml:space="preserve">Footnotes</w:t>
      </w:r>
    </w:p>
    <w:bookmarkStart w:id="289" w:name="resources-13"/>
    <w:p>
      <w:pPr>
        <w:pStyle w:val="Heading4"/>
      </w:pPr>
      <w:r>
        <w:rPr>
          <w:rStyle w:val="SectionNumber"/>
        </w:rPr>
        <w:t xml:space="preserve">4.5.4.1</w:t>
      </w:r>
      <w:r>
        <w:tab/>
      </w:r>
      <w:r>
        <w:t xml:space="preserve">Resources</w:t>
      </w:r>
    </w:p>
    <w:p>
      <w:pPr>
        <w:numPr>
          <w:ilvl w:val="0"/>
          <w:numId w:val="1112"/>
        </w:numPr>
        <w:pStyle w:val="Compact"/>
      </w:pPr>
      <w:hyperlink r:id="rId270">
        <w:r>
          <w:rPr>
            <w:rStyle w:val="Hyperlink"/>
          </w:rPr>
          <w:t xml:space="preserve">Google Doc</w:t>
        </w:r>
      </w:hyperlink>
    </w:p>
    <w:p>
      <w:pPr>
        <w:numPr>
          <w:ilvl w:val="0"/>
          <w:numId w:val="1112"/>
        </w:numPr>
        <w:pStyle w:val="Compact"/>
      </w:pPr>
      <w:hyperlink r:id="rId271">
        <w:r>
          <w:rPr>
            <w:rStyle w:val="Hyperlink"/>
          </w:rPr>
          <w:t xml:space="preserve">16S rRNA R Quick Reference</w:t>
        </w:r>
      </w:hyperlink>
    </w:p>
    <w:bookmarkEnd w:id="289"/>
    <w:bookmarkStart w:id="290" w:name="contributions-and-affiliations-9"/>
    <w:p>
      <w:pPr>
        <w:pStyle w:val="Heading4"/>
      </w:pPr>
      <w:r>
        <w:rPr>
          <w:rStyle w:val="SectionNumber"/>
        </w:rPr>
        <w:t xml:space="preserve">4.5.4.2</w:t>
      </w:r>
      <w:r>
        <w:tab/>
      </w:r>
      <w: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numPr>
          <w:ilvl w:val="0"/>
          <w:numId w:val="1113"/>
        </w:numPr>
        <w:pStyle w:val="Compact"/>
      </w:pPr>
      <w:r>
        <w:t xml:space="preserve">Sayumi York, Notre Dame of Maryland University</w:t>
      </w:r>
    </w:p>
    <w:bookmarkEnd w:id="290"/>
    <w:bookmarkEnd w:id="291"/>
    <w:bookmarkEnd w:id="292"/>
    <w:bookmarkStart w:id="301" w:name="Xf07bdb27473f6c68d614de5835bcfe771092cc5"/>
    <w:p>
      <w:pPr>
        <w:pStyle w:val="Heading2"/>
      </w:pPr>
      <w:r>
        <w:rPr>
          <w:rStyle w:val="SectionNumber"/>
        </w:rPr>
        <w:t xml:space="preserve">4.6</w:t>
      </w:r>
      <w:r>
        <w:tab/>
      </w:r>
      <w:r>
        <w:t xml:space="preserve">Try it Question 3 - Does gender contribute to individual microbiome variation</w:t>
      </w:r>
    </w:p>
    <w:p>
      <w:pPr>
        <w:pStyle w:val="FirstParagraph"/>
      </w:pPr>
      <w:r>
        <w:t xml:space="preserve">The biological sex of the host has been suggested to help shape or influence its gut microbiome. Some candidate microbes have been implicated in sex differences. Here we will explore the potential sex-based differences in the human gut microbiome.</w:t>
      </w:r>
    </w:p>
    <w:p>
      <w:pPr>
        <w:pStyle w:val="BodyText"/>
      </w:pPr>
      <w:r>
        <w:t xml:space="preserve">Approach: First survey the differences in microbiome across gender at the level of phyla and species, and identify potential candidates that may differ between males and females. Then, plot your candidates of interest and additional candidate microbes previously associated with gender-based variation.</w:t>
      </w:r>
    </w:p>
    <w:bookmarkStart w:id="293" w:name="X30c62400bcd05f0224a1b73321b93f9cca6d687"/>
    <w:p>
      <w:pPr>
        <w:pStyle w:val="Heading4"/>
      </w:pPr>
      <w:r>
        <w:rPr>
          <w:rStyle w:val="SectionNumber"/>
        </w:rPr>
        <w:t xml:space="preserve">4.6.0.1</w:t>
      </w:r>
      <w:r>
        <w:tab/>
      </w:r>
      <w:r>
        <w:t xml:space="preserve">Step 3A. Perform an initial survey to see if there are any differences in phyla and species composition between genders.</w:t>
      </w:r>
    </w:p>
    <w:p>
      <w:pPr>
        <w:pStyle w:val="FirstParagraph"/>
      </w:pPr>
      <w:r>
        <w:t xml:space="preserve">Specifically, your plot should show phyla diversity within male and female groups.</w:t>
      </w:r>
    </w:p>
    <w:p>
      <w:pPr>
        <w:numPr>
          <w:ilvl w:val="0"/>
          <w:numId w:val="1114"/>
        </w:numPr>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14"/>
        </w:numPr>
      </w:pPr>
      <w:r>
        <w:t xml:space="preserve">Use the following code as a template: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pPr>
        <w:pStyle w:val="BodyText"/>
      </w:pPr>
    </w:p>
    <w:p>
      <w:pPr>
        <w:pStyle w:val="BodyText"/>
      </w:pPr>
      <w:r>
        <w:t xml:space="preserve">Consider any initial differences you see, then choose one high-abundant and one low-abundant candidate Phylum that shows hints of being differentially abundant between genders.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Record the phylum you chose:</w:t>
            </w:r>
          </w:p>
        </w:tc>
      </w:tr>
      <w:tr>
        <w:tc>
          <w:tcPr/>
          <w:p>
            <w:pPr>
              <w:pStyle w:val="Compact"/>
              <w:jc w:val="left"/>
            </w:pPr>
          </w:p>
        </w:tc>
      </w:tr>
    </w:tbl>
    <w:p>
      <w:pPr>
        <w:pStyle w:val="BodyText"/>
      </w:pPr>
    </w:p>
    <w:bookmarkEnd w:id="293"/>
    <w:bookmarkStart w:id="294" w:name="X489b42404d1e8570eb5f41cc0ab48400a0c8e3f"/>
    <w:p>
      <w:pPr>
        <w:pStyle w:val="Heading4"/>
      </w:pPr>
      <w:r>
        <w:rPr>
          <w:rStyle w:val="SectionNumber"/>
        </w:rPr>
        <w:t xml:space="preserve">4.6.0.2</w:t>
      </w:r>
      <w:r>
        <w:tab/>
      </w:r>
      <w:r>
        <w:t xml:space="preserve">Step 3B. Test gender-based difference in Species for the high abundant phylum you selected. Specifically, your plot should show species diversity within male and female groups for only your phylum of choice.</w:t>
      </w:r>
    </w:p>
    <w:p>
      <w:pPr>
        <w:numPr>
          <w:ilvl w:val="0"/>
          <w:numId w:val="1115"/>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5"/>
        </w:numPr>
      </w:pPr>
      <w:r>
        <w:t xml:space="preserve">Use the following code as a starter:</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plot_bar</w:t>
      </w:r>
      <w:r>
        <w:rPr>
          <w:rStyle w:val="NormalTok"/>
        </w:rPr>
        <w:t xml:space="preserve">(subset,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AttributeTok"/>
        </w:rPr>
        <w:t xml:space="preserve">title =</w:t>
      </w:r>
      <w:r>
        <w:rPr>
          <w:rStyle w:val="NormalTok"/>
        </w:rPr>
        <w:t xml:space="preserve"> </w:t>
      </w:r>
      <w:r>
        <w:rPr>
          <w:rStyle w:val="StringTok"/>
        </w:rPr>
        <w:t xml:space="preserve">"choose a name for your graph"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16"/>
        </w:numPr>
        <w:pStyle w:val="Compact"/>
      </w:pPr>
      <w:r>
        <w:t xml:space="preserve">We may need to reduce the legend text and key size in order to visualize the plot better. We have added some code above to help see the legend.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3B-2. Do you observe any differences in species based on gender within your highly abundant phylum?</w:t>
            </w:r>
          </w:p>
        </w:tc>
      </w:tr>
      <w:tr>
        <w:tc>
          <w:tcPr/>
          <w:p>
            <w:pPr>
              <w:pStyle w:val="Compact"/>
              <w:jc w:val="left"/>
            </w:pPr>
          </w:p>
        </w:tc>
      </w:tr>
    </w:tbl>
    <w:p>
      <w:pPr>
        <w:pStyle w:val="BodyText"/>
      </w:pPr>
    </w:p>
    <w:bookmarkEnd w:id="294"/>
    <w:bookmarkStart w:id="295" w:name="Xb894903059dcddb99417701dd118a39d26ae795"/>
    <w:p>
      <w:pPr>
        <w:pStyle w:val="Heading3"/>
      </w:pPr>
      <w:r>
        <w:rPr>
          <w:rStyle w:val="SectionNumber"/>
        </w:rPr>
        <w:t xml:space="preserve">4.6.1</w:t>
      </w:r>
      <w:r>
        <w:tab/>
      </w:r>
      <w:r>
        <w:t xml:space="preserve">Step 3C. Test gender-based difference in Species for the low abundant phylum you selected.** Specifically, your plot should show species diversity within male and female groups for only your phylum of choice.</w:t>
      </w:r>
    </w:p>
    <w:p>
      <w:pPr>
        <w:numPr>
          <w:ilvl w:val="0"/>
          <w:numId w:val="1117"/>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7"/>
        </w:numPr>
      </w:pPr>
      <w:r>
        <w:t xml:space="preserve">Use the code you used in Step 3B as a template for your code</w:t>
      </w:r>
    </w:p>
    <w:p>
      <w:pPr>
        <w:numPr>
          <w:ilvl w:val="0"/>
          <w:numId w:val="1117"/>
        </w:numPr>
      </w:pPr>
      <w:r>
        <w:t xml:space="preserve">You may receive an error if you chose a phylum that has no species data (all NA). Please choose a new low abundant phylum and try again.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Do you observe any differences in species based on gender within your low abundant phylum?</w:t>
            </w:r>
          </w:p>
        </w:tc>
      </w:tr>
      <w:tr>
        <w:tc>
          <w:tcPr/>
          <w:p>
            <w:pPr>
              <w:pStyle w:val="Compact"/>
              <w:jc w:val="left"/>
            </w:pPr>
          </w:p>
        </w:tc>
      </w:tr>
    </w:tbl>
    <w:p>
      <w:pPr>
        <w:pStyle w:val="BodyText"/>
      </w:pPr>
    </w:p>
    <w:bookmarkEnd w:id="295"/>
    <w:bookmarkStart w:id="296" w:name="X5f70ddfa74df22de0026f05f7ad8eac7deb90ee"/>
    <w:p>
      <w:pPr>
        <w:pStyle w:val="Heading3"/>
      </w:pPr>
      <w:r>
        <w:rPr>
          <w:rStyle w:val="SectionNumber"/>
        </w:rPr>
        <w:t xml:space="preserve">4.6.2</w:t>
      </w:r>
      <w:r>
        <w:tab/>
      </w:r>
      <w:r>
        <w:t xml:space="preserve">Step 3D: Plot the individual abundance of 2 candidate microbes for gender differences based on your analysis above, and/or the curated menu of microbes below (previously associated with gender variation), with color denoting gender.</w:t>
      </w:r>
    </w:p>
    <w:p>
      <w:pPr>
        <w:numPr>
          <w:ilvl w:val="0"/>
          <w:numId w:val="1118"/>
        </w:numPr>
      </w:pPr>
      <w:r>
        <w:t xml:space="preserve">Specifically, your plot should show the chosen microbial group across 21 subjects with the bars colored by gender.</w:t>
      </w:r>
    </w:p>
    <w:p>
      <w:pPr>
        <w:numPr>
          <w:ilvl w:val="0"/>
          <w:numId w:val="1118"/>
        </w:numPr>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18"/>
        </w:numPr>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(miso,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"subject"</w:t>
      </w:r>
      <w:r>
        <w:rPr>
          <w:rStyle w:val="NormalTok"/>
        </w:rPr>
        <w:t xml:space="preserve">, </w:t>
      </w:r>
      <w:r>
        <w:rPr>
          <w:rStyle w:val="AttributeTok"/>
        </w:rPr>
        <w:t xml:space="preserve">fill =</w:t>
      </w:r>
      <w:r>
        <w:rPr>
          <w:rStyle w:val="NormalTok"/>
        </w:rPr>
        <w:t xml:space="preserve"> </w:t>
      </w:r>
      <w:r>
        <w:rPr>
          <w:rStyle w:val="StringTok"/>
        </w:rPr>
        <w:t xml:space="preserve">"gender"</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gender, </w:t>
      </w:r>
      <w:r>
        <w:rPr>
          <w:rStyle w:val="AttributeTok"/>
        </w:rPr>
        <w:t xml:space="preserve">fill =</w:t>
      </w:r>
      <w:r>
        <w:rPr>
          <w:rStyle w:val="NormalTok"/>
        </w:rPr>
        <w:t xml:space="preserve"> gender),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p>
      <w:pPr>
        <w:pStyle w:val="FirstParagraph"/>
      </w:pPr>
      <w:r>
        <w:t xml:space="preserve">Here is the candidate list of different microbes previously implicated in gender-based variation.</w:t>
      </w:r>
    </w:p>
    <w:p>
      <w:pPr>
        <w:numPr>
          <w:ilvl w:val="0"/>
          <w:numId w:val="1119"/>
        </w:numPr>
        <w:pStyle w:val="Compact"/>
      </w:pPr>
      <w:r>
        <w:t xml:space="preserve">Phylum: Proteobacteria</w:t>
      </w:r>
    </w:p>
    <w:p>
      <w:pPr>
        <w:numPr>
          <w:ilvl w:val="0"/>
          <w:numId w:val="1119"/>
        </w:numPr>
        <w:pStyle w:val="Compact"/>
      </w:pPr>
      <w:r>
        <w:t xml:space="preserve">Order: Clostridiales</w:t>
      </w:r>
    </w:p>
    <w:p>
      <w:pPr>
        <w:numPr>
          <w:ilvl w:val="0"/>
          <w:numId w:val="1119"/>
        </w:numPr>
        <w:pStyle w:val="Compact"/>
      </w:pPr>
      <w:r>
        <w:t xml:space="preserve">Family: Ruminococcaceae</w:t>
      </w:r>
    </w:p>
    <w:p>
      <w:pPr>
        <w:numPr>
          <w:ilvl w:val="0"/>
          <w:numId w:val="1119"/>
        </w:numPr>
        <w:pStyle w:val="Compact"/>
      </w:pPr>
      <w:r>
        <w:t xml:space="preserve">Genus: Prevotella</w:t>
      </w:r>
    </w:p>
    <w:p>
      <w:pPr>
        <w:numPr>
          <w:ilvl w:val="0"/>
          <w:numId w:val="1119"/>
        </w:numPr>
        <w:pStyle w:val="Compact"/>
      </w:pPr>
      <w:r>
        <w:t xml:space="preserve">Genus: Fusobacterium</w:t>
      </w:r>
    </w:p>
    <w:p>
      <w:pPr>
        <w:numPr>
          <w:ilvl w:val="0"/>
          <w:numId w:val="1119"/>
        </w:numPr>
        <w:pStyle w:val="Compact"/>
      </w:pPr>
      <w:r>
        <w:t xml:space="preserve">Species: muciniphila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3D-1. Insert the plot from your first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3D-2. Insert the plot from your second chosen microbial group below: Your plot should have subjects on the x-axis, with each subject denoted as male or female by a colored bar. The height of the bars will vary.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3D-3. Based on the all graphs you made, did you identify any candidate Phylum or Species that may differ between genders?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3D-4. Based on the graphs you made, what conclusion can you make about microbiome differences between genders? Do you think gender is connected to a difference in the gut microbiome?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3D-5. Which seems to have more effect on microbial compositions? Gender or individual subject? Are there bigger differences between genders or between individuals of the same gender?</w:t>
            </w:r>
          </w:p>
        </w:tc>
      </w:tr>
      <w:tr>
        <w:tc>
          <w:tcPr/>
          <w:p>
            <w:pPr>
              <w:pStyle w:val="Compact"/>
              <w:jc w:val="left"/>
            </w:pPr>
          </w:p>
        </w:tc>
      </w:tr>
    </w:tbl>
    <w:p>
      <w:pPr>
        <w:pStyle w:val="BodyText"/>
      </w:pPr>
    </w:p>
    <w:bookmarkEnd w:id="296"/>
    <w:bookmarkStart w:id="297" w:name="grading-criteria-6"/>
    <w:p>
      <w:pPr>
        <w:pStyle w:val="Heading3"/>
      </w:pPr>
      <w:r>
        <w:rPr>
          <w:rStyle w:val="SectionNumber"/>
        </w:rPr>
        <w:t xml:space="preserve">4.6.3</w:t>
      </w:r>
      <w:r>
        <w:tab/>
      </w:r>
      <w:r>
        <w:t xml:space="preserve">Grading criteria</w:t>
      </w:r>
    </w:p>
    <w:p>
      <w:pPr>
        <w:numPr>
          <w:ilvl w:val="0"/>
          <w:numId w:val="1120"/>
        </w:numPr>
        <w:pStyle w:val="Compact"/>
      </w:pPr>
      <w:r>
        <w:t xml:space="preserve">Download the assignment to your local computer as a .docx, complete it, and upload the assignment to your LMS (Blackboard, Canvas, Google Classroom).</w:t>
      </w:r>
    </w:p>
    <w:bookmarkEnd w:id="297"/>
    <w:bookmarkStart w:id="300" w:name="footnotes-10"/>
    <w:p>
      <w:pPr>
        <w:pStyle w:val="Heading3"/>
      </w:pPr>
      <w:r>
        <w:rPr>
          <w:rStyle w:val="SectionNumber"/>
        </w:rPr>
        <w:t xml:space="preserve">4.6.4</w:t>
      </w:r>
      <w:r>
        <w:tab/>
      </w:r>
      <w:r>
        <w:t xml:space="preserve">Footnotes</w:t>
      </w:r>
    </w:p>
    <w:bookmarkStart w:id="298" w:name="resources-14"/>
    <w:p>
      <w:pPr>
        <w:pStyle w:val="Heading4"/>
      </w:pPr>
      <w:r>
        <w:rPr>
          <w:rStyle w:val="SectionNumber"/>
        </w:rPr>
        <w:t xml:space="preserve">4.6.4.1</w:t>
      </w:r>
      <w:r>
        <w:tab/>
      </w:r>
      <w:r>
        <w:t xml:space="preserve">Resources</w:t>
      </w:r>
    </w:p>
    <w:p>
      <w:pPr>
        <w:numPr>
          <w:ilvl w:val="0"/>
          <w:numId w:val="1121"/>
        </w:numPr>
        <w:pStyle w:val="Compact"/>
      </w:pPr>
      <w:hyperlink r:id="rId270">
        <w:r>
          <w:rPr>
            <w:rStyle w:val="Hyperlink"/>
          </w:rPr>
          <w:t xml:space="preserve">Google Doc</w:t>
        </w:r>
      </w:hyperlink>
    </w:p>
    <w:p>
      <w:pPr>
        <w:numPr>
          <w:ilvl w:val="0"/>
          <w:numId w:val="1121"/>
        </w:numPr>
        <w:pStyle w:val="Compact"/>
      </w:pPr>
      <w:hyperlink r:id="rId271">
        <w:r>
          <w:rPr>
            <w:rStyle w:val="Hyperlink"/>
          </w:rPr>
          <w:t xml:space="preserve">16S rRNA R Quick Reference</w:t>
        </w:r>
      </w:hyperlink>
    </w:p>
    <w:bookmarkEnd w:id="298"/>
    <w:bookmarkStart w:id="299" w:name="contributions-and-affiliations-10"/>
    <w:p>
      <w:pPr>
        <w:pStyle w:val="Heading4"/>
      </w:pPr>
      <w:r>
        <w:rPr>
          <w:rStyle w:val="SectionNumber"/>
        </w:rPr>
        <w:t xml:space="preserve">4.6.4.2</w:t>
      </w:r>
      <w:r>
        <w:tab/>
      </w:r>
      <w:r>
        <w:t xml:space="preserve">Contributions and affiliations</w:t>
      </w:r>
    </w:p>
    <w:p>
      <w:pPr>
        <w:numPr>
          <w:ilvl w:val="0"/>
          <w:numId w:val="1122"/>
        </w:numPr>
        <w:pStyle w:val="Compact"/>
      </w:pPr>
      <w:r>
        <w:t xml:space="preserve">Valeriya Gaysinskaya, Johns Hopkins University</w:t>
      </w:r>
    </w:p>
    <w:p>
      <w:pPr>
        <w:numPr>
          <w:ilvl w:val="0"/>
          <w:numId w:val="1122"/>
        </w:numPr>
        <w:pStyle w:val="Compact"/>
      </w:pPr>
      <w:r>
        <w:t xml:space="preserve">Gauri Paul, Clovis Community College</w:t>
      </w:r>
    </w:p>
    <w:p>
      <w:pPr>
        <w:numPr>
          <w:ilvl w:val="0"/>
          <w:numId w:val="1122"/>
        </w:numPr>
        <w:pStyle w:val="Compact"/>
      </w:pPr>
      <w:r>
        <w:t xml:space="preserve">Frederick Tan, Johns Hopkins University</w:t>
      </w:r>
    </w:p>
    <w:p>
      <w:pPr>
        <w:numPr>
          <w:ilvl w:val="0"/>
          <w:numId w:val="1122"/>
        </w:numPr>
        <w:pStyle w:val="Compact"/>
      </w:pPr>
      <w:r>
        <w:t xml:space="preserve">Sayumi York, Notre Dame of Maryland University</w:t>
      </w:r>
    </w:p>
    <w:bookmarkEnd w:id="299"/>
    <w:bookmarkEnd w:id="300"/>
    <w:bookmarkEnd w:id="301"/>
    <w:bookmarkStart w:id="309" w:name="X5ffbbefb093f912e8383b28a8f1ea2e66a65dbd"/>
    <w:p>
      <w:pPr>
        <w:pStyle w:val="Heading2"/>
      </w:pPr>
      <w:r>
        <w:rPr>
          <w:rStyle w:val="SectionNumber"/>
        </w:rPr>
        <w:t xml:space="preserve">4.7</w:t>
      </w:r>
      <w:r>
        <w:tab/>
      </w:r>
      <w:r>
        <w:t xml:space="preserve">Try it Question 4 - Does age contribute to individual microbiome variation</w:t>
      </w:r>
    </w:p>
    <w:p>
      <w:pPr>
        <w:pStyle w:val="FirstParagraph"/>
      </w:pPr>
      <w:r>
        <w:t xml:space="preserve">The human gut microbiome has been associated with age-related disease states, immune-system changes, and metabolic function. Here we will explore the potential microbiome changes associated with aging.</w:t>
      </w:r>
    </w:p>
    <w:p>
      <w:pPr>
        <w:pStyle w:val="BodyText"/>
      </w:pPr>
      <w:r>
        <w:t xml:space="preserve">Approach: Survey the differences in microbiome across age, refining the plot to accommodate a continuous variable (age) and unequal sample sizes (some individuals in the study are the same age). Then, test if there is a shift in microbiome abundance of phyla Firmicutes and Bacteroidetes, two phyla suggested previously to change with age.</w:t>
      </w:r>
    </w:p>
    <w:bookmarkStart w:id="302" w:name="X2622e4cbd51e6b50ddd7c4fe93f1862f3f7f850"/>
    <w:p>
      <w:pPr>
        <w:pStyle w:val="Heading3"/>
      </w:pPr>
      <w:r>
        <w:rPr>
          <w:rStyle w:val="SectionNumber"/>
        </w:rPr>
        <w:t xml:space="preserve">4.7.1</w:t>
      </w:r>
      <w:r>
        <w:tab/>
      </w:r>
      <w:r>
        <w:t xml:space="preserve">Step 4A. Perform an initial survey to see if there are any differences in phyla related to age.</w:t>
      </w:r>
    </w:p>
    <w:p>
      <w:pPr>
        <w:pStyle w:val="FirstParagraph"/>
      </w:pPr>
      <w:r>
        <w:t xml:space="preserve">Specifically, your plot should show the relationship phyla diversity and age of an individual.</w:t>
      </w:r>
    </w:p>
    <w:p>
      <w:pPr>
        <w:numPr>
          <w:ilvl w:val="0"/>
          <w:numId w:val="1123"/>
        </w:numPr>
        <w:pStyle w:val="Compact"/>
      </w:pPr>
      <w:r>
        <w:t xml:space="preserve">Refer to the</w:t>
      </w:r>
      <w:r>
        <w:t xml:space="preserve"> </w:t>
      </w:r>
      <w:r>
        <w:t xml:space="preserve">“</w:t>
      </w:r>
      <w:r>
        <w:t xml:space="preserve">Explore 16S rRNA Data with phyloseq</w:t>
      </w:r>
      <w:r>
        <w:t xml:space="preserve">”</w:t>
      </w:r>
      <w:r>
        <w:t xml:space="preserve"> </w:t>
      </w:r>
      <w:r>
        <w:t xml:space="preserve">tutorial for help using the plot_bar() function.</w:t>
      </w:r>
    </w:p>
    <w:p>
      <w:pPr>
        <w:numPr>
          <w:ilvl w:val="0"/>
          <w:numId w:val="1123"/>
        </w:numPr>
        <w:pStyle w:val="Compact"/>
      </w:pPr>
      <w:r>
        <w:t xml:space="preserve">Use the following code as a template</w:t>
      </w:r>
      <w:r>
        <w:t xml:space="preserve"> </w:t>
      </w:r>
      <w:r>
        <w:t xml:space="preserve">plot_bar(miso,</w:t>
      </w:r>
      <w:r>
        <w:t xml:space="preserve"> </w:t>
      </w:r>
      <w:r>
        <w:t xml:space="preserve">“</w:t>
      </w:r>
      <w:r>
        <w:t xml:space="preserve">fill in the blank</w:t>
      </w:r>
      <w:r>
        <w:t xml:space="preserve">”</w:t>
      </w:r>
      <w:r>
        <w:t xml:space="preserve">, fill =</w:t>
      </w:r>
      <w:r>
        <w:t xml:space="preserve"> </w:t>
      </w:r>
      <w:r>
        <w:t xml:space="preserve">“</w:t>
      </w:r>
      <w:r>
        <w:t xml:space="preserve">fill in the blank</w:t>
      </w:r>
      <w:r>
        <w:t xml:space="preserve">”</w:t>
      </w:r>
      <w:r>
        <w:t xml:space="preserve">, title =</w:t>
      </w:r>
      <w:r>
        <w:t xml:space="preserve"> </w:t>
      </w:r>
      <w:r>
        <w:t xml:space="preserve">“</w:t>
      </w:r>
      <w:r>
        <w:t xml:space="preserve">fill in the blank</w:t>
      </w:r>
      <w:r>
        <w:t xml:space="preserve">”</w:t>
      </w:r>
      <w:r>
        <w:t xml:space="preserve">) +</w:t>
      </w:r>
      <w:r>
        <w:t xml:space="preserve"> </w:t>
      </w:r>
      <w:r>
        <w:t xml:space="preserve">geom_bar(aes(color = fill in the blank, fill = fill in the blank), stat =</w:t>
      </w:r>
      <w:r>
        <w:t xml:space="preserve"> </w:t>
      </w:r>
      <w:r>
        <w:t xml:space="preserve">“</w:t>
      </w:r>
      <w:r>
        <w:t xml:space="preserve">identity</w:t>
      </w:r>
      <w:r>
        <w:t xml:space="preserve">”</w:t>
      </w:r>
      <w:r>
        <w:t xml:space="preserve">, position =</w:t>
      </w:r>
      <w:r>
        <w:t xml:space="preserve"> </w:t>
      </w:r>
      <w:r>
        <w:t xml:space="preserve">“</w:t>
      </w:r>
      <w:r>
        <w:t xml:space="preserve">stack</w:t>
      </w:r>
      <w:r>
        <w:t xml:space="preserve">”</w:t>
      </w:r>
      <w:r>
        <w:t xml:space="preserve">)</w:t>
      </w:r>
    </w:p>
    <w:p>
      <w:pPr>
        <w:pStyle w:val="SourceCode"/>
      </w:pPr>
      <w:r>
        <w:rPr>
          <w:rStyle w:val="FunctionTok"/>
        </w:rPr>
        <w:t xml:space="preserve">plot_bar</w:t>
      </w:r>
      <w:r>
        <w:rPr>
          <w:rStyle w:val="NormalTok"/>
        </w:rPr>
        <w:t xml:space="preserve">(miso, </w:t>
      </w:r>
      <w:r>
        <w:rPr>
          <w:rStyle w:val="StringTok"/>
        </w:rPr>
        <w:t xml:space="preserve">"fill in the blank"</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4A-1. Insert the resulting plot below: It will be a very unusual looking graph!</w:t>
            </w:r>
          </w:p>
        </w:tc>
      </w:tr>
      <w:tr>
        <w:tc>
          <w:tcPr/>
          <w:p>
            <w:pPr>
              <w:pStyle w:val="Compact"/>
              <w:jc w:val="left"/>
            </w:pPr>
          </w:p>
        </w:tc>
      </w:tr>
    </w:tbl>
    <w:p>
      <w:pPr>
        <w:pStyle w:val="BodyText"/>
      </w:pPr>
    </w:p>
    <w:p>
      <w:pPr>
        <w:numPr>
          <w:ilvl w:val="0"/>
          <w:numId w:val="1124"/>
        </w:numPr>
        <w:pStyle w:val="Compact"/>
      </w:pPr>
      <w:r>
        <w:t xml:space="preserve">You probably found it difficult to discern any differences.</w:t>
      </w:r>
    </w:p>
    <w:p>
      <w:pPr>
        <w:numPr>
          <w:ilvl w:val="0"/>
          <w:numId w:val="1124"/>
        </w:numPr>
        <w:pStyle w:val="Compact"/>
      </w:pPr>
      <w:r>
        <w:t xml:space="preserve">Abundance is additive, so having more samples of the same age will result in adding the abundances together, so if there are say 2 samples with age 27 (as is the case), the abundance of the bar will be much higher than other ages that have only one individual.</w:t>
      </w:r>
    </w:p>
    <w:bookmarkEnd w:id="302"/>
    <w:bookmarkStart w:id="303" w:name="X4d702404d7626cb25beef07571773745b349ee9"/>
    <w:p>
      <w:pPr>
        <w:pStyle w:val="Heading3"/>
      </w:pPr>
      <w:r>
        <w:rPr>
          <w:rStyle w:val="SectionNumber"/>
        </w:rPr>
        <w:t xml:space="preserve">4.7.2</w:t>
      </w:r>
      <w:r>
        <w:tab/>
      </w:r>
      <w:r>
        <w:t xml:space="preserve">Step 4B. Merge samples by age, then re-normalize and finally re-plot Phyla by age.</w:t>
      </w:r>
    </w:p>
    <w:p>
      <w:pPr>
        <w:numPr>
          <w:ilvl w:val="0"/>
          <w:numId w:val="1125"/>
        </w:numPr>
        <w:pStyle w:val="Compact"/>
      </w:pPr>
      <w:r>
        <w:t xml:space="preserve">Merge samples of the same age, saving the resulting phyloseq object as</w:t>
      </w:r>
      <w:r>
        <w:t xml:space="preserve"> </w:t>
      </w:r>
      <w:r>
        <w:t xml:space="preserve">‘</w:t>
      </w:r>
      <w:r>
        <w:t xml:space="preserve">merge</w:t>
      </w:r>
      <w:r>
        <w:t xml:space="preserve">’</w:t>
      </w:r>
      <w:r>
        <w:t xml:space="preserve">. You will probably get a warning message letting you know</w:t>
      </w:r>
      <w:r>
        <w:t xml:space="preserve"> </w:t>
      </w:r>
      <w:r>
        <w:t xml:space="preserve">“</w:t>
      </w:r>
      <w:r>
        <w:t xml:space="preserve">NAs were introduced by coercion.</w:t>
      </w:r>
      <w:r>
        <w:t xml:space="preserve">”</w:t>
      </w:r>
      <w:r>
        <w:t xml:space="preserve"> </w:t>
      </w:r>
      <w:r>
        <w:t xml:space="preserve">That is OK.</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merge_samples</w:t>
      </w:r>
      <w:r>
        <w:rPr>
          <w:rStyle w:val="NormalTok"/>
        </w:rPr>
        <w:t xml:space="preserve">(miso, </w:t>
      </w:r>
      <w:r>
        <w:rPr>
          <w:rStyle w:val="StringTok"/>
        </w:rPr>
        <w:t xml:space="preserve">"age"</w:t>
      </w:r>
      <w:r>
        <w:rPr>
          <w:rStyle w:val="NormalTok"/>
        </w:rPr>
        <w:t xml:space="preserve">)</w:t>
      </w:r>
    </w:p>
    <w:p>
      <w:pPr>
        <w:numPr>
          <w:ilvl w:val="0"/>
          <w:numId w:val="1126"/>
        </w:numPr>
        <w:pStyle w:val="Compact"/>
      </w:pPr>
      <w:r>
        <w:t xml:space="preserve">Check your merged phyloseq object. Your new</w:t>
      </w:r>
      <w:r>
        <w:t xml:space="preserve"> </w:t>
      </w:r>
      <w:r>
        <w:t xml:space="preserve">‘</w:t>
      </w:r>
      <w:r>
        <w:t xml:space="preserve">merge</w:t>
      </w:r>
      <w:r>
        <w:t xml:space="preserve">’</w:t>
      </w:r>
      <w:r>
        <w:t xml:space="preserve"> </w:t>
      </w:r>
      <w:r>
        <w:t xml:space="preserve">object should have 16 samples corresponding to 16 unique ages in the MISO dataset.</w:t>
      </w:r>
    </w:p>
    <w:p>
      <w:pPr>
        <w:pStyle w:val="SourceCode"/>
      </w:pPr>
      <w:r>
        <w:rPr>
          <w:rStyle w:val="NormalTok"/>
        </w:rPr>
        <w:t xml:space="preserve">merge</w:t>
      </w:r>
      <w:r>
        <w:br/>
      </w:r>
      <w:r>
        <w:br/>
      </w:r>
      <w:r>
        <w:rPr>
          <w:rStyle w:val="NormalTok"/>
        </w:rPr>
        <w:t xml:space="preserve">phyloseq</w:t>
      </w:r>
      <w:r>
        <w:rPr>
          <w:rStyle w:val="SpecialCharTok"/>
        </w:rPr>
        <w:t xml:space="preserve">-</w:t>
      </w:r>
      <w:r>
        <w:rPr>
          <w:rStyle w:val="NormalTok"/>
        </w:rPr>
        <w:t xml:space="preserve">class experiment</w:t>
      </w:r>
      <w:r>
        <w:rPr>
          <w:rStyle w:val="SpecialCharTok"/>
        </w:rPr>
        <w:t xml:space="preserve">-</w:t>
      </w:r>
      <w:r>
        <w:rPr>
          <w:rStyle w:val="NormalTok"/>
        </w:rPr>
        <w:t xml:space="preserve">level object</w:t>
      </w:r>
      <w:r>
        <w:br/>
      </w:r>
      <w:r>
        <w:rPr>
          <w:rStyle w:val="FunctionTok"/>
        </w:rPr>
        <w:t xml:space="preserve">otu_table</w:t>
      </w:r>
      <w:r>
        <w:rPr>
          <w:rStyle w:val="NormalTok"/>
        </w:rPr>
        <w:t xml:space="preserve">()   OTU Table</w:t>
      </w:r>
      <w:r>
        <w:rPr>
          <w:rStyle w:val="SpecialCharTok"/>
        </w:rPr>
        <w:t xml:space="preserve">:</w:t>
      </w:r>
      <w:r>
        <w:rPr>
          <w:rStyle w:val="NormalTok"/>
        </w:rPr>
        <w:t xml:space="preserve">         [ </w:t>
      </w:r>
      <w:r>
        <w:rPr>
          <w:rStyle w:val="DecValTok"/>
        </w:rPr>
        <w:t xml:space="preserve">1702</w:t>
      </w:r>
      <w:r>
        <w:rPr>
          <w:rStyle w:val="NormalTok"/>
        </w:rPr>
        <w:t xml:space="preserve"> taxa and </w:t>
      </w:r>
      <w:r>
        <w:rPr>
          <w:rStyle w:val="DecValTok"/>
        </w:rPr>
        <w:t xml:space="preserve">16</w:t>
      </w:r>
      <w:r>
        <w:rPr>
          <w:rStyle w:val="NormalTok"/>
        </w:rPr>
        <w:t xml:space="preserve"> samples ]</w:t>
      </w:r>
      <w:r>
        <w:br/>
      </w:r>
      <w:r>
        <w:rPr>
          <w:rStyle w:val="FunctionTok"/>
        </w:rPr>
        <w:t xml:space="preserve">sample_data</w:t>
      </w:r>
      <w:r>
        <w:rPr>
          <w:rStyle w:val="NormalTok"/>
        </w:rPr>
        <w:t xml:space="preserve">() Sample Data</w:t>
      </w:r>
      <w:r>
        <w:rPr>
          <w:rStyle w:val="SpecialCharTok"/>
        </w:rPr>
        <w:t xml:space="preserve">:</w:t>
      </w:r>
      <w:r>
        <w:rPr>
          <w:rStyle w:val="NormalTok"/>
        </w:rPr>
        <w:t xml:space="preserve">       [ </w:t>
      </w:r>
      <w:r>
        <w:rPr>
          <w:rStyle w:val="DecValTok"/>
        </w:rPr>
        <w:t xml:space="preserve">16</w:t>
      </w:r>
      <w:r>
        <w:rPr>
          <w:rStyle w:val="NormalTok"/>
        </w:rPr>
        <w:t xml:space="preserve"> samples by </w:t>
      </w:r>
      <w:r>
        <w:rPr>
          <w:rStyle w:val="DecValTok"/>
        </w:rPr>
        <w:t xml:space="preserve">32</w:t>
      </w:r>
      <w:r>
        <w:rPr>
          <w:rStyle w:val="NormalTok"/>
        </w:rPr>
        <w:t xml:space="preserve"> sample variables ]</w:t>
      </w:r>
      <w:r>
        <w:br/>
      </w:r>
      <w:r>
        <w:rPr>
          <w:rStyle w:val="FunctionTok"/>
        </w:rPr>
        <w:t xml:space="preserve">tax_table</w:t>
      </w:r>
      <w:r>
        <w:rPr>
          <w:rStyle w:val="NormalTok"/>
        </w:rPr>
        <w:t xml:space="preserve">()   Taxonomy Table</w:t>
      </w:r>
      <w:r>
        <w:rPr>
          <w:rStyle w:val="SpecialCharTok"/>
        </w:rPr>
        <w:t xml:space="preserve">:</w:t>
      </w:r>
      <w:r>
        <w:rPr>
          <w:rStyle w:val="NormalTok"/>
        </w:rPr>
        <w:t xml:space="preserve">    [ </w:t>
      </w:r>
      <w:r>
        <w:rPr>
          <w:rStyle w:val="DecValTok"/>
        </w:rPr>
        <w:t xml:space="preserve">1702</w:t>
      </w:r>
      <w:r>
        <w:rPr>
          <w:rStyle w:val="NormalTok"/>
        </w:rPr>
        <w:t xml:space="preserve"> taxa by </w:t>
      </w:r>
      <w:r>
        <w:rPr>
          <w:rStyle w:val="DecValTok"/>
        </w:rPr>
        <w:t xml:space="preserve">9</w:t>
      </w:r>
      <w:r>
        <w:rPr>
          <w:rStyle w:val="NormalTok"/>
        </w:rPr>
        <w:t xml:space="preserve"> taxonomic ranks ]</w:t>
      </w:r>
    </w:p>
    <w:p>
      <w:pPr>
        <w:numPr>
          <w:ilvl w:val="0"/>
          <w:numId w:val="1127"/>
        </w:numPr>
        <w:pStyle w:val="Compact"/>
      </w:pPr>
      <w:r>
        <w:t xml:space="preserve">Normalize the sample counts using the function transform_sample_counts. Our function, (100* x/sum(x)) will transform all the samples into proportions.</w:t>
      </w:r>
    </w:p>
    <w:p>
      <w:pPr>
        <w:pStyle w:val="SourceCode"/>
      </w:pPr>
      <w:r>
        <w:rPr>
          <w:rStyle w:val="NormalTok"/>
        </w:rPr>
        <w:t xml:space="preserve">merge </w:t>
      </w:r>
      <w:r>
        <w:rPr>
          <w:rStyle w:val="OtherTok"/>
        </w:rPr>
        <w:t xml:space="preserve">&lt;-</w:t>
      </w:r>
      <w:r>
        <w:rPr>
          <w:rStyle w:val="NormalTok"/>
        </w:rPr>
        <w:t xml:space="preserve"> </w:t>
      </w:r>
      <w:r>
        <w:rPr>
          <w:rStyle w:val="FunctionTok"/>
        </w:rPr>
        <w:t xml:space="preserve">transform_sample_counts</w:t>
      </w:r>
      <w:r>
        <w:rPr>
          <w:rStyle w:val="NormalTok"/>
        </w:rPr>
        <w:t xml:space="preserve">(merge, </w:t>
      </w:r>
      <w:r>
        <w:rPr>
          <w:rStyle w:val="ControlFlowTok"/>
        </w:rPr>
        <w:t xml:space="preserve">function</w:t>
      </w:r>
      <w:r>
        <w:rPr>
          <w:rStyle w:val="NormalTok"/>
        </w:rPr>
        <w:t xml:space="preserve">(x) </w:t>
      </w:r>
      <w:r>
        <w:rPr>
          <w:rStyle w:val="DecValTok"/>
        </w:rPr>
        <w:t xml:space="preserve">100</w:t>
      </w:r>
      <w:r>
        <w:rPr>
          <w:rStyle w:val="NormalTok"/>
        </w:rPr>
        <w:t xml:space="preserve"> </w:t>
      </w:r>
      <w:r>
        <w:rPr>
          <w:rStyle w:val="SpecialCharTok"/>
        </w:rPr>
        <w:t xml:space="preserve">*</w:t>
      </w:r>
      <w:r>
        <w:rPr>
          <w:rStyle w:val="NormalTok"/>
        </w:rPr>
        <w:t xml:space="preserve"> x</w:t>
      </w:r>
      <w:r>
        <w:rPr>
          <w:rStyle w:val="SpecialCharTok"/>
        </w:rPr>
        <w:t xml:space="preserve">/</w:t>
      </w:r>
      <w:r>
        <w:rPr>
          <w:rStyle w:val="FunctionTok"/>
        </w:rPr>
        <w:t xml:space="preserve">sum</w:t>
      </w:r>
      <w:r>
        <w:rPr>
          <w:rStyle w:val="NormalTok"/>
        </w:rPr>
        <w:t xml:space="preserve">(x))</w:t>
      </w:r>
    </w:p>
    <w:p>
      <w:pPr>
        <w:numPr>
          <w:ilvl w:val="0"/>
          <w:numId w:val="1128"/>
        </w:numPr>
        <w:pStyle w:val="Compact"/>
      </w:pPr>
      <w:r>
        <w:t xml:space="preserve">Re-plot Phyla by age.</w:t>
      </w:r>
    </w:p>
    <w:p>
      <w:pPr>
        <w:pStyle w:val="SourceCode"/>
      </w:pPr>
      <w:r>
        <w:rPr>
          <w:rStyle w:val="FunctionTok"/>
        </w:rPr>
        <w:t xml:space="preserve">plot_bar</w:t>
      </w:r>
      <w:r>
        <w:rPr>
          <w:rStyle w:val="NormalTok"/>
        </w:rPr>
        <w:t xml:space="preserve">(merge, </w:t>
      </w:r>
      <w:r>
        <w:rPr>
          <w:rStyle w:val="AttributeTok"/>
        </w:rPr>
        <w:t xml:space="preserve">x=</w:t>
      </w:r>
      <w:r>
        <w:rPr>
          <w:rStyle w:val="NormalTok"/>
        </w:rPr>
        <w:t xml:space="preserve">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r>
        <w:rPr>
          <w:rStyle w:val="SpecialCharTok"/>
        </w:rPr>
        <w:t xml:space="preserve">+</w:t>
      </w:r>
      <w:r>
        <w:br/>
      </w:r>
      <w:r>
        <w:rPr>
          <w:rStyle w:val="FunctionTok"/>
        </w:rPr>
        <w:t xml:space="preserve">theme</w:t>
      </w:r>
      <w:r>
        <w:rPr>
          <w:rStyle w:val="NormalTok"/>
        </w:rPr>
        <w:t xml:space="preserve">(</w:t>
      </w:r>
      <w:r>
        <w:rPr>
          <w:rStyle w:val="AttributeTok"/>
        </w:rPr>
        <w:t xml:space="preserve">legend.text=</w:t>
      </w:r>
      <w:r>
        <w:rPr>
          <w:rStyle w:val="FunctionTok"/>
        </w:rPr>
        <w:t xml:space="preserve">element_text</w:t>
      </w:r>
      <w:r>
        <w:rPr>
          <w:rStyle w:val="NormalTok"/>
        </w:rPr>
        <w:t xml:space="preserve">(</w:t>
      </w:r>
      <w:r>
        <w:rPr>
          <w:rStyle w:val="AttributeTok"/>
        </w:rPr>
        <w:t xml:space="preserve">size=</w:t>
      </w:r>
      <w:r>
        <w:rPr>
          <w:rStyle w:val="DecValTok"/>
        </w:rPr>
        <w:t xml:space="preserve">6</w:t>
      </w:r>
      <w:r>
        <w:rPr>
          <w:rStyle w:val="NormalTok"/>
        </w:rPr>
        <w:t xml:space="preserve">)) </w:t>
      </w:r>
      <w:r>
        <w:rPr>
          <w:rStyle w:val="SpecialCharTok"/>
        </w:rPr>
        <w:t xml:space="preserve">+</w:t>
      </w:r>
      <w:r>
        <w:rPr>
          <w:rStyle w:val="NormalTok"/>
        </w:rPr>
        <w:t xml:space="preserve"> </w:t>
      </w:r>
      <w:r>
        <w:br/>
      </w:r>
      <w:r>
        <w:rPr>
          <w:rStyle w:val="FunctionTok"/>
        </w:rPr>
        <w:t xml:space="preserve">theme</w:t>
      </w:r>
      <w:r>
        <w:rPr>
          <w:rStyle w:val="NormalTok"/>
        </w:rPr>
        <w:t xml:space="preserve">(</w:t>
      </w:r>
      <w:r>
        <w:rPr>
          <w:rStyle w:val="AttributeTok"/>
        </w:rPr>
        <w:t xml:space="preserve">legend.key.size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"pt"</w:t>
      </w:r>
      <w:r>
        <w:rPr>
          <w:rStyle w:val="NormalTok"/>
        </w:rPr>
        <w:t xml:space="preserve">))</w:t>
      </w:r>
    </w:p>
    <w:p>
      <w:pPr>
        <w:numPr>
          <w:ilvl w:val="0"/>
          <w:numId w:val="1129"/>
        </w:numPr>
      </w:pPr>
      <w:r>
        <w:t xml:space="preserve">We may need to reduce the legend text and key size in order to visualize the plot better. We have added some code above in light blue to help see the legend.</w:t>
      </w:r>
    </w:p>
    <w:p>
      <w:pPr>
        <w:numPr>
          <w:ilvl w:val="0"/>
          <w:numId w:val="1129"/>
        </w:numPr>
      </w:pPr>
      <w:r>
        <w:t xml:space="preserve">You will need to run all the commands in the same code chunk to produce the plot.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Insert the resulting plot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4B-2. Do you observe any candidate Phyla that changes with age?</w:t>
            </w:r>
          </w:p>
        </w:tc>
      </w:tr>
      <w:tr>
        <w:tc>
          <w:tcPr/>
          <w:p>
            <w:pPr>
              <w:pStyle w:val="Compact"/>
              <w:jc w:val="left"/>
            </w:pPr>
          </w:p>
        </w:tc>
      </w:tr>
    </w:tbl>
    <w:p>
      <w:pPr>
        <w:pStyle w:val="BodyText"/>
      </w:pPr>
    </w:p>
    <w:bookmarkEnd w:id="303"/>
    <w:bookmarkStart w:id="304" w:name="X16359a43e1e27634430b0117a20c2f824be564f"/>
    <w:p>
      <w:pPr>
        <w:pStyle w:val="Heading3"/>
      </w:pPr>
      <w:r>
        <w:rPr>
          <w:rStyle w:val="SectionNumber"/>
        </w:rPr>
        <w:t xml:space="preserve">4.7.3</w:t>
      </w:r>
      <w:r>
        <w:tab/>
      </w:r>
      <w:r>
        <w:t xml:space="preserve">Step 4C. Candidate Phyla implicated in age variation include Firmicutes and Bacteroidetes. Plot these specific phyla on their own, separately, to observe any shift that occurs with age.</w:t>
      </w:r>
    </w:p>
    <w:p>
      <w:pPr>
        <w:numPr>
          <w:ilvl w:val="0"/>
          <w:numId w:val="1130"/>
        </w:numPr>
        <w:pStyle w:val="Compact"/>
      </w:pPr>
      <w:r>
        <w:t xml:space="preserve">Use your new merged and normalized</w:t>
      </w:r>
      <w:r>
        <w:t xml:space="preserve"> </w:t>
      </w:r>
      <w:r>
        <w:t xml:space="preserve">‘</w:t>
      </w:r>
      <w:r>
        <w:t xml:space="preserve">merge</w:t>
      </w:r>
      <w:r>
        <w:t xml:space="preserve">’</w:t>
      </w:r>
      <w:r>
        <w:t xml:space="preserve"> </w:t>
      </w:r>
      <w:r>
        <w:t xml:space="preserve">phyloseq object as input. This means the new code must be placed in the same code block as the previous and run together.</w:t>
      </w:r>
    </w:p>
    <w:p>
      <w:pPr>
        <w:numPr>
          <w:ilvl w:val="0"/>
          <w:numId w:val="1130"/>
        </w:numPr>
        <w:pStyle w:val="Compact"/>
      </w:pPr>
      <w:r>
        <w:t xml:space="preserve">Refer to the</w:t>
      </w:r>
      <w:r>
        <w:t xml:space="preserve"> </w:t>
      </w:r>
      <w:r>
        <w:t xml:space="preserve">“</w:t>
      </w:r>
      <w:r>
        <w:t xml:space="preserve">Subset taxonomy</w:t>
      </w:r>
      <w:r>
        <w:t xml:space="preserve">”</w:t>
      </w:r>
      <w:r>
        <w:t xml:space="preserve"> </w:t>
      </w:r>
      <w:r>
        <w:t xml:space="preserve">section of the</w:t>
      </w:r>
      <w:r>
        <w:t xml:space="preserve"> </w:t>
      </w:r>
      <w:r>
        <w:t xml:space="preserve">“</w:t>
      </w:r>
      <w:r>
        <w:t xml:space="preserve">Explore 16S rRNA Data with phyloseq</w:t>
      </w:r>
      <w:r>
        <w:t xml:space="preserve">”</w:t>
      </w:r>
      <w:r>
        <w:t xml:space="preserve"> </w:t>
      </w:r>
      <w:r>
        <w:t xml:space="preserve">tutorial for help using the subset_taxa and plot_bar() functions.</w:t>
      </w:r>
    </w:p>
    <w:p>
      <w:pPr>
        <w:numPr>
          <w:ilvl w:val="0"/>
          <w:numId w:val="1130"/>
        </w:numPr>
        <w:pStyle w:val="Compact"/>
      </w:pPr>
      <w:r>
        <w:t xml:space="preserve">Use the following code as a template:</w:t>
      </w:r>
    </w:p>
    <w:p>
      <w:pPr>
        <w:pStyle w:val="SourceCode"/>
      </w:pPr>
      <w:r>
        <w:rPr>
          <w:rStyle w:val="NormalTok"/>
        </w:rPr>
        <w:t xml:space="preserve">subset </w:t>
      </w:r>
      <w:r>
        <w:rPr>
          <w:rStyle w:val="OtherTok"/>
        </w:rPr>
        <w:t xml:space="preserve">=</w:t>
      </w:r>
      <w:r>
        <w:rPr>
          <w:rStyle w:val="NormalTok"/>
        </w:rPr>
        <w:t xml:space="preserve"> </w:t>
      </w:r>
      <w:r>
        <w:rPr>
          <w:rStyle w:val="FunctionTok"/>
        </w:rPr>
        <w:t xml:space="preserve">subset_taxa</w:t>
      </w:r>
      <w:r>
        <w:rPr>
          <w:rStyle w:val="NormalTok"/>
        </w:rPr>
        <w:t xml:space="preserve">(merge,  Phylum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rPr>
          <w:rStyle w:val="FunctionTok"/>
        </w:rPr>
        <w:t xml:space="preserve">plot_bar</w:t>
      </w:r>
      <w:r>
        <w:rPr>
          <w:rStyle w:val="NormalTok"/>
        </w:rPr>
        <w:t xml:space="preserve">(subset, </w:t>
      </w:r>
      <w:r>
        <w:rPr>
          <w:rStyle w:val="StringTok"/>
        </w:rPr>
        <w:t xml:space="preserve">"age"</w:t>
      </w:r>
      <w:r>
        <w:rPr>
          <w:rStyle w:val="NormalTok"/>
        </w:rPr>
        <w:t xml:space="preserve">, </w:t>
      </w:r>
      <w:r>
        <w:rPr>
          <w:rStyle w:val="AttributeTok"/>
        </w:rPr>
        <w:t xml:space="preserve">fill =</w:t>
      </w:r>
      <w:r>
        <w:rPr>
          <w:rStyle w:val="NormalTok"/>
        </w:rPr>
        <w:t xml:space="preserve"> </w:t>
      </w:r>
      <w:r>
        <w:rPr>
          <w:rStyle w:val="StringTok"/>
        </w:rPr>
        <w:t xml:space="preserve">"fill in the blank"</w:t>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fill </w:t>
      </w:r>
      <w:r>
        <w:rPr>
          <w:rStyle w:val="ControlFlowTok"/>
        </w:rPr>
        <w:t xml:space="preserve">in</w:t>
      </w:r>
      <w:r>
        <w:rPr>
          <w:rStyle w:val="NormalTok"/>
        </w:rPr>
        <w:t xml:space="preserve"> the blank, </w:t>
      </w:r>
      <w:r>
        <w:rPr>
          <w:rStyle w:val="AttributeTok"/>
        </w:rPr>
        <w:t xml:space="preserve">fill =</w:t>
      </w:r>
      <w:r>
        <w:rPr>
          <w:rStyle w:val="NormalTok"/>
        </w:rPr>
        <w:t xml:space="preserve"> fill </w:t>
      </w:r>
      <w:r>
        <w:rPr>
          <w:rStyle w:val="ControlFlowTok"/>
        </w:rPr>
        <w:t xml:space="preserve">in</w:t>
      </w:r>
      <w:r>
        <w:rPr>
          <w:rStyle w:val="NormalTok"/>
        </w:rPr>
        <w:t xml:space="preserve"> the blank),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StringTok"/>
        </w:rPr>
        <w:t xml:space="preserve">"stack"</w:t>
      </w:r>
      <w:r>
        <w:rPr>
          <w:rStyle w:val="NormalTok"/>
        </w:rP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4C-1. Insert the plot that graphs the relationship of age to the Phylum Firmicutes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4C-2. Do you observe any changes in Firmicutes based on age?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4C-3. Insert the plot that graphs the relationship of age to the Phylum Bacteroidetes below: The graph should have age on the axis, and just one color of bar that varies in height.</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4C-4 Do you observe any changes in Bacteroidetes based on age?</w:t>
            </w:r>
          </w:p>
        </w:tc>
      </w:tr>
      <w:tr>
        <w:tc>
          <w:tcPr/>
          <w:p>
            <w:pPr>
              <w:pStyle w:val="Compact"/>
              <w:jc w:val="left"/>
            </w:pPr>
          </w:p>
        </w:tc>
      </w:tr>
    </w:tbl>
    <w:p>
      <w:pPr>
        <w:pStyle w:val="BodyText"/>
      </w:pPr>
    </w:p>
    <w:bookmarkEnd w:id="304"/>
    <w:bookmarkStart w:id="305" w:name="grading-criteria-7"/>
    <w:p>
      <w:pPr>
        <w:pStyle w:val="Heading3"/>
      </w:pPr>
      <w:r>
        <w:rPr>
          <w:rStyle w:val="SectionNumber"/>
        </w:rPr>
        <w:t xml:space="preserve">4.7.4</w:t>
      </w:r>
      <w:r>
        <w:tab/>
      </w:r>
      <w:r>
        <w:t xml:space="preserve">Grading criteria</w:t>
      </w:r>
    </w:p>
    <w:p>
      <w:pPr>
        <w:numPr>
          <w:ilvl w:val="0"/>
          <w:numId w:val="1131"/>
        </w:numPr>
        <w:pStyle w:val="Compact"/>
      </w:pPr>
      <w:r>
        <w:t xml:space="preserve">Download the assignment to your local computer as a .docx, complete it, and upload the assignment to your LMS (Blackboard, Canvas, Google Classroom).</w:t>
      </w:r>
    </w:p>
    <w:bookmarkEnd w:id="305"/>
    <w:bookmarkStart w:id="308" w:name="footnotes-11"/>
    <w:p>
      <w:pPr>
        <w:pStyle w:val="Heading3"/>
      </w:pPr>
      <w:r>
        <w:rPr>
          <w:rStyle w:val="SectionNumber"/>
        </w:rPr>
        <w:t xml:space="preserve">4.7.5</w:t>
      </w:r>
      <w:r>
        <w:tab/>
      </w:r>
      <w:r>
        <w:t xml:space="preserve">Footnotes</w:t>
      </w:r>
    </w:p>
    <w:bookmarkStart w:id="306" w:name="resources-15"/>
    <w:p>
      <w:pPr>
        <w:pStyle w:val="Heading4"/>
      </w:pPr>
      <w:r>
        <w:rPr>
          <w:rStyle w:val="SectionNumber"/>
        </w:rPr>
        <w:t xml:space="preserve">4.7.5.1</w:t>
      </w:r>
      <w:r>
        <w:tab/>
      </w:r>
      <w:r>
        <w:t xml:space="preserve">Resources</w:t>
      </w:r>
    </w:p>
    <w:p>
      <w:pPr>
        <w:numPr>
          <w:ilvl w:val="0"/>
          <w:numId w:val="1132"/>
        </w:numPr>
        <w:pStyle w:val="Compact"/>
      </w:pPr>
      <w:hyperlink r:id="rId270">
        <w:r>
          <w:rPr>
            <w:rStyle w:val="Hyperlink"/>
          </w:rPr>
          <w:t xml:space="preserve">Google Doc</w:t>
        </w:r>
      </w:hyperlink>
    </w:p>
    <w:p>
      <w:pPr>
        <w:numPr>
          <w:ilvl w:val="0"/>
          <w:numId w:val="1132"/>
        </w:numPr>
        <w:pStyle w:val="Compact"/>
      </w:pPr>
      <w:hyperlink r:id="rId271">
        <w:r>
          <w:rPr>
            <w:rStyle w:val="Hyperlink"/>
          </w:rPr>
          <w:t xml:space="preserve">16S rRNA R Quick Reference</w:t>
        </w:r>
      </w:hyperlink>
    </w:p>
    <w:bookmarkEnd w:id="306"/>
    <w:bookmarkStart w:id="307" w:name="contributions-and-affiliations-11"/>
    <w:p>
      <w:pPr>
        <w:pStyle w:val="Heading4"/>
      </w:pPr>
      <w:r>
        <w:rPr>
          <w:rStyle w:val="SectionNumber"/>
        </w:rPr>
        <w:t xml:space="preserve">4.7.5.2</w:t>
      </w:r>
      <w:r>
        <w:tab/>
      </w:r>
      <w:r>
        <w:t xml:space="preserve">Contributions and affiliations</w:t>
      </w:r>
    </w:p>
    <w:p>
      <w:pPr>
        <w:numPr>
          <w:ilvl w:val="0"/>
          <w:numId w:val="1133"/>
        </w:numPr>
        <w:pStyle w:val="Compact"/>
      </w:pPr>
      <w:r>
        <w:t xml:space="preserve">Valeriya Gaysinskaya, Johns Hopkins University</w:t>
      </w:r>
    </w:p>
    <w:p>
      <w:pPr>
        <w:numPr>
          <w:ilvl w:val="0"/>
          <w:numId w:val="1133"/>
        </w:numPr>
        <w:pStyle w:val="Compact"/>
      </w:pPr>
      <w:r>
        <w:t xml:space="preserve">Gauri Paul, Clovis Community College</w:t>
      </w:r>
    </w:p>
    <w:p>
      <w:pPr>
        <w:numPr>
          <w:ilvl w:val="0"/>
          <w:numId w:val="1133"/>
        </w:numPr>
        <w:pStyle w:val="Compact"/>
      </w:pPr>
      <w:r>
        <w:t xml:space="preserve">Frederick Tan, Johns Hopkins University</w:t>
      </w:r>
    </w:p>
    <w:p>
      <w:pPr>
        <w:numPr>
          <w:ilvl w:val="0"/>
          <w:numId w:val="1133"/>
        </w:numPr>
        <w:pStyle w:val="Compact"/>
      </w:pPr>
      <w:r>
        <w:t xml:space="preserve">Sayumi York, Notre Dame of Maryland University</w:t>
      </w:r>
    </w:p>
    <w:bookmarkEnd w:id="307"/>
    <w:bookmarkEnd w:id="308"/>
    <w:bookmarkEnd w:id="309"/>
    <w:bookmarkEnd w:id="310"/>
    <w:bookmarkStart w:id="363" w:name="analyzing-16s-rrna-data-with-phyloseq"/>
    <w:p>
      <w:pPr>
        <w:pStyle w:val="Heading1"/>
      </w:pPr>
      <w:r>
        <w:rPr>
          <w:rStyle w:val="SectionNumber"/>
        </w:rPr>
        <w:t xml:space="preserve">5</w:t>
      </w:r>
      <w:r>
        <w:tab/>
      </w:r>
      <w:r>
        <w:t xml:space="preserve">Analyzing 16S rRNA Data with phyloseq</w:t>
      </w:r>
    </w:p>
    <w:bookmarkStart w:id="311" w:name="analyzing-16s-rrna-data-with-phyloseq-1"/>
    <w:p>
      <w:pPr>
        <w:pStyle w:val="Heading2"/>
      </w:pPr>
      <w:r>
        <w:rPr>
          <w:rStyle w:val="SectionNumber"/>
        </w:rPr>
        <w:t xml:space="preserve">5.1</w:t>
      </w:r>
      <w:r>
        <w:tab/>
      </w:r>
      <w:r>
        <w:t xml:space="preserve">Analyzing 16S rRNA Data with phyloseq</w:t>
      </w:r>
    </w:p>
    <w:p>
      <w:pPr>
        <w:pStyle w:val="FirstParagraph"/>
      </w:pPr>
      <w:r>
        <w:t xml:space="preserve">In this section we will do more advanced analyses in phyloseq. These include:</w:t>
      </w:r>
    </w:p>
    <w:p>
      <w:pPr>
        <w:numPr>
          <w:ilvl w:val="0"/>
          <w:numId w:val="1134"/>
        </w:numPr>
        <w:pStyle w:val="Compact"/>
      </w:pPr>
      <w:r>
        <w:t xml:space="preserve">Profiling biodiveristy of sample through alpha diversity</w:t>
      </w:r>
    </w:p>
    <w:p>
      <w:pPr>
        <w:numPr>
          <w:ilvl w:val="0"/>
          <w:numId w:val="1134"/>
        </w:numPr>
        <w:pStyle w:val="Compact"/>
      </w:pPr>
      <w:r>
        <w:t xml:space="preserve">Plotting samples in a multidimensional plot which will allow us to easily see similarities between samples</w:t>
      </w:r>
    </w:p>
    <w:p>
      <w:pPr>
        <w:numPr>
          <w:ilvl w:val="0"/>
          <w:numId w:val="1134"/>
        </w:numPr>
        <w:pStyle w:val="Compact"/>
      </w:pPr>
      <w:r>
        <w:t xml:space="preserve">Performing a differential abundance analysis to compare the abundance of microbes between two conditions</w:t>
      </w:r>
    </w:p>
    <w:p>
      <w:pPr>
        <w:numPr>
          <w:ilvl w:val="0"/>
          <w:numId w:val="1134"/>
        </w:numPr>
        <w:pStyle w:val="Compact"/>
      </w:pPr>
      <w:r>
        <w:t xml:space="preserve">Relating all the above to different metadata variables in our datasets such as subject, age, and gender</w:t>
      </w:r>
    </w:p>
    <w:p>
      <w:pPr>
        <w:pStyle w:val="FirstParagraph"/>
      </w:pPr>
      <w:r>
        <w:t xml:space="preserve">These analyses are slightly more complex to run and interpret, but students who have completed the</w:t>
      </w:r>
      <w:r>
        <w:t xml:space="preserve"> </w:t>
      </w:r>
      <w:hyperlink r:id="rId41">
        <w:r>
          <w:rPr>
            <w:rStyle w:val="Hyperlink"/>
          </w:rPr>
          <w:t xml:space="preserve">chapter on scientific literature</w:t>
        </w:r>
      </w:hyperlink>
      <w:r>
        <w:t xml:space="preserve"> </w:t>
      </w:r>
      <w:r>
        <w:t xml:space="preserve">will have previous exposure to these figures.</w:t>
      </w:r>
    </w:p>
    <w:bookmarkEnd w:id="311"/>
    <w:bookmarkStart w:id="316" w:name="Xc987d52058f3cfdde5814fbc9ed44a17b9bd862"/>
    <w:p>
      <w:pPr>
        <w:pStyle w:val="Heading2"/>
      </w:pPr>
      <w:r>
        <w:rPr>
          <w:rStyle w:val="SectionNumber"/>
        </w:rPr>
        <w:t xml:space="preserve">5.2</w:t>
      </w:r>
      <w:r>
        <w:tab/>
      </w:r>
      <w:r>
        <w:t xml:space="preserve">Lecture - Analyzing 16S rRNA Data with phyloseq</w:t>
      </w:r>
    </w:p>
    <w:p>
      <w:pPr>
        <w:pStyle w:val="FirstParagraph"/>
      </w:pPr>
      <w:r>
        <w:rPr>
          <w:iCs/>
          <w:i/>
        </w:rPr>
        <w:t xml:space="preserve">Estimated time:</w:t>
      </w:r>
      <w:r>
        <w:rPr>
          <w:iCs/>
          <w:i/>
        </w:rPr>
        <w:t xml:space="preserve"> </w:t>
      </w:r>
    </w:p>
    <w:p>
      <w:pPr>
        <w:pStyle w:val="BodyText"/>
      </w:pPr>
      <w:r>
        <w:drawing>
          <wp:inline>
            <wp:extent cx="5334000" cy="3000375"/>
            <wp:effectExtent b="0" l="0" r="0" t="0"/>
            <wp:docPr descr="" title="" id="313" name="Picture"/>
            <a:graphic>
              <a:graphicData uri="http://schemas.openxmlformats.org/drawingml/2006/picture">
                <pic:pic>
                  <pic:nvPicPr>
                    <pic:cNvPr descr="analyze-phyloseq_files/figure-docx//1QZbSBPOGkBeizh1L45C6EaktOxl6pqrTDGNIncHQ5lY_g35f391192_00.png" id="314" name="Picture"/>
                    <pic:cNvPicPr>
                      <a:picLocks noChangeArrowheads="1" noChangeAspect="1"/>
                    </pic:cNvPicPr>
                  </pic:nvPicPr>
                  <pic:blipFill>
                    <a:blip r:embed="rId3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15">
        <w:r>
          <w:rPr>
            <w:rStyle w:val="Hyperlink"/>
          </w:rPr>
          <w:t xml:space="preserve">Lecture</w:t>
        </w:r>
      </w:hyperlink>
    </w:p>
    <w:bookmarkEnd w:id="316"/>
    <w:bookmarkStart w:id="331" w:name="X8f91bb87d0455a3b5505646cf528f27e7ba8c11"/>
    <w:p>
      <w:pPr>
        <w:pStyle w:val="Heading2"/>
      </w:pPr>
      <w:r>
        <w:rPr>
          <w:rStyle w:val="SectionNumber"/>
        </w:rPr>
        <w:t xml:space="preserve">5.3</w:t>
      </w:r>
      <w:r>
        <w:tab/>
      </w:r>
      <w:r>
        <w:t xml:space="preserve">Activity - Exploring 16S rRNA Data with phyloseq</w:t>
      </w:r>
    </w:p>
    <w:bookmarkStart w:id="317" w:name="purpose-8"/>
    <w:p>
      <w:pPr>
        <w:pStyle w:val="Heading3"/>
      </w:pPr>
      <w:r>
        <w:rPr>
          <w:rStyle w:val="SectionNumber"/>
        </w:rPr>
        <w:t xml:space="preserve">5.3.1</w:t>
      </w:r>
      <w:r>
        <w:tab/>
      </w:r>
      <w:r>
        <w:t xml:space="preserve">Purpose</w:t>
      </w:r>
    </w:p>
    <w:p>
      <w:pPr>
        <w:pStyle w:val="FirstParagraph"/>
      </w:pPr>
      <w:r>
        <w:t xml:space="preserve">To analyze bacterial diversity based on 16S rRNA gene sequencing using data from the</w:t>
      </w:r>
      <w:r>
        <w:t xml:space="preserve"> </w:t>
      </w:r>
      <w:r>
        <w:t xml:space="preserve">“</w:t>
      </w:r>
      <w:r>
        <w:t xml:space="preserve">Impact of a 7-day homogeneous diet on interpersonal variation in human gut microbiomes and metabolomes</w:t>
      </w:r>
      <w:r>
        <w:t xml:space="preserve">”</w:t>
      </w:r>
      <w:r>
        <w:t xml:space="preserve"> </w:t>
      </w:r>
      <w:r>
        <w:t xml:space="preserve">by Guthrie et al., 2023. This study is also referred to as the MISO study for</w:t>
      </w:r>
      <w:r>
        <w:t xml:space="preserve"> </w:t>
      </w:r>
      <w:r>
        <w:t xml:space="preserve">“</w:t>
      </w:r>
      <w:r>
        <w:t xml:space="preserve">Microbiome Individuality and Stability Over Time</w:t>
      </w:r>
      <w:r>
        <w:t xml:space="preserve">”</w:t>
      </w:r>
      <w:r>
        <w:t xml:space="preserve"> </w:t>
      </w:r>
      <w:r>
        <w:t xml:space="preserve">because the study aims to understand variation (or stability) of microbiomes across individuals.</w:t>
      </w:r>
    </w:p>
    <w:p>
      <w:pPr>
        <w:pStyle w:val="BodyText"/>
      </w:pPr>
      <w:r>
        <w:t xml:space="preserve">This activity aims to analyze metagenomic diversity using the following R packages:</w:t>
      </w:r>
    </w:p>
    <w:p>
      <w:pPr>
        <w:numPr>
          <w:ilvl w:val="0"/>
          <w:numId w:val="1135"/>
        </w:numPr>
        <w:pStyle w:val="Compact"/>
      </w:pPr>
      <w:r>
        <w:rPr>
          <w:bCs/>
          <w:b/>
        </w:rPr>
        <w:t xml:space="preserve">phyloseq</w:t>
      </w:r>
      <w:r>
        <w:t xml:space="preserve">: A popular package for taxonomy profiling</w:t>
      </w:r>
    </w:p>
    <w:p>
      <w:pPr>
        <w:numPr>
          <w:ilvl w:val="0"/>
          <w:numId w:val="1135"/>
        </w:numPr>
        <w:pStyle w:val="Compact"/>
      </w:pPr>
      <w:r>
        <w:rPr>
          <w:bCs/>
          <w:b/>
        </w:rPr>
        <w:t xml:space="preserve">DESeq2</w:t>
      </w:r>
      <w:r>
        <w:t xml:space="preserve">: A package originally designed for differential expression which we will use for differential abundance</w:t>
      </w:r>
    </w:p>
    <w:p>
      <w:pPr>
        <w:numPr>
          <w:ilvl w:val="0"/>
          <w:numId w:val="1135"/>
        </w:numPr>
        <w:pStyle w:val="Compact"/>
      </w:pPr>
      <w:r>
        <w:rPr>
          <w:bCs/>
          <w:b/>
        </w:rPr>
        <w:t xml:space="preserve">ggplot2</w:t>
      </w:r>
      <w:r>
        <w:t xml:space="preserve">: A tidyverse package that produces high-quality figures</w:t>
      </w:r>
    </w:p>
    <w:bookmarkEnd w:id="317"/>
    <w:bookmarkStart w:id="318" w:name="learning-objectives-7"/>
    <w:p>
      <w:pPr>
        <w:pStyle w:val="Heading3"/>
      </w:pPr>
      <w:r>
        <w:rPr>
          <w:rStyle w:val="SectionNumber"/>
        </w:rPr>
        <w:t xml:space="preserve">5.3.2</w:t>
      </w:r>
      <w:r>
        <w:tab/>
      </w:r>
      <w:r>
        <w:t xml:space="preserve">Learning objectives</w:t>
      </w:r>
    </w:p>
    <w:p>
      <w:pPr>
        <w:numPr>
          <w:ilvl w:val="0"/>
          <w:numId w:val="1136"/>
        </w:numPr>
        <w:pStyle w:val="Compact"/>
      </w:pPr>
      <w:r>
        <w:t xml:space="preserve">Use phyloseq to cluster samples based on the similarity of their microbial compositions using multidimensional scaling methods (NMDS or PCoA)</w:t>
      </w:r>
    </w:p>
    <w:p>
      <w:pPr>
        <w:numPr>
          <w:ilvl w:val="0"/>
          <w:numId w:val="1136"/>
        </w:numPr>
        <w:pStyle w:val="Compact"/>
      </w:pPr>
      <w:r>
        <w:t xml:space="preserve">Use phyloseq to profile alpha diversity (Shannon and Simpson’s indices)</w:t>
      </w:r>
    </w:p>
    <w:p>
      <w:pPr>
        <w:numPr>
          <w:ilvl w:val="0"/>
          <w:numId w:val="1136"/>
        </w:numPr>
        <w:pStyle w:val="Compact"/>
      </w:pPr>
      <w:r>
        <w:t xml:space="preserve">Use DESeq2 to perform differential abundance analysis</w:t>
      </w:r>
    </w:p>
    <w:bookmarkEnd w:id="318"/>
    <w:bookmarkStart w:id="319" w:name="introduction-8"/>
    <w:p>
      <w:pPr>
        <w:pStyle w:val="Heading3"/>
      </w:pPr>
      <w:r>
        <w:rPr>
          <w:rStyle w:val="SectionNumber"/>
        </w:rPr>
        <w:t xml:space="preserve">5.3.3</w:t>
      </w:r>
      <w:r>
        <w:tab/>
      </w:r>
      <w:r>
        <w:t xml:space="preserve">Introduction</w:t>
      </w:r>
    </w:p>
    <w:p>
      <w:pPr>
        <w:pStyle w:val="FirstParagraph"/>
      </w:pPr>
      <w:r>
        <w:t xml:space="preserve">16S data can be manipulated and visualized in a variety of ways. In Google Sheets, we explored the data manually to gain an understanding at the level of 1-10 ASVs. Through phyloseq we collapsed ASVs with the same taxonomic annotation to survey microbial diversity and perform the same exploration across the entire dataset. In this activity, we will use the functions of phyloseq and DESeq2 that are more advanced. These analyses would be extremely difficult and tedious to do manually and will allow us deeper insights into our dataset. We will cluster samples based on similarity of ASV counts, survey alpha diversity, and search for differentially abundant ASVs between different groups.</w:t>
      </w:r>
    </w:p>
    <w:bookmarkEnd w:id="319"/>
    <w:bookmarkStart w:id="320" w:name="X86de0bad542461c14caf91529ba08092a314e92"/>
    <w:p>
      <w:pPr>
        <w:pStyle w:val="Heading3"/>
      </w:pPr>
      <w:r>
        <w:rPr>
          <w:rStyle w:val="SectionNumber"/>
        </w:rPr>
        <w:t xml:space="preserve">5.3.4</w:t>
      </w:r>
      <w:r>
        <w:tab/>
      </w:r>
      <w:r>
        <w:t xml:space="preserve">Activity 1 – Analyze 16S rRNA Data with phyloseq tutorial</w:t>
      </w:r>
    </w:p>
    <w:p>
      <w:pPr>
        <w:pStyle w:val="FirstParagraph"/>
      </w:pPr>
      <w:r>
        <w:rPr>
          <w:iCs/>
          <w:i/>
        </w:rPr>
        <w:t xml:space="preserve">Estimated time: 35 min</w:t>
      </w:r>
    </w:p>
    <w:p>
      <w:pPr>
        <w:pStyle w:val="BodyText"/>
      </w:pPr>
      <w:r>
        <w:rPr>
          <w:bCs/>
          <w:b/>
        </w:rPr>
        <w:t xml:space="preserve">Activity 1. Explore a phyloseq object through the</w:t>
      </w:r>
      <w:r>
        <w:rPr>
          <w:bCs/>
          <w:b/>
        </w:rPr>
        <w:t xml:space="preserve"> </w:t>
      </w:r>
      <w:r>
        <w:rPr>
          <w:bCs/>
          <w:b/>
        </w:rPr>
        <w:t xml:space="preserve">“</w:t>
      </w:r>
      <w:r>
        <w:rPr>
          <w:bCs/>
          <w:b/>
        </w:rPr>
        <w:t xml:space="preserve">Analyze 16S rRNA Data with phyloseq</w:t>
      </w:r>
      <w:r>
        <w:rPr>
          <w:bCs/>
          <w:b/>
        </w:rPr>
        <w:t xml:space="preserve">”</w:t>
      </w:r>
      <w:r>
        <w:rPr>
          <w:bCs/>
          <w:b/>
        </w:rPr>
        <w:t xml:space="preserve"> </w:t>
      </w:r>
      <w:r>
        <w:rPr>
          <w:bCs/>
          <w:b/>
        </w:rPr>
        <w:t xml:space="preserve">tutorial.</w:t>
      </w:r>
    </w:p>
    <w:p>
      <w:pPr>
        <w:numPr>
          <w:ilvl w:val="0"/>
          <w:numId w:val="1137"/>
        </w:numPr>
        <w:pStyle w:val="Compact"/>
      </w:pPr>
      <w:r>
        <w:t xml:space="preserve">Access the C-MOOR Tutorials</w:t>
      </w:r>
    </w:p>
    <w:p>
      <w:pPr>
        <w:numPr>
          <w:ilvl w:val="0"/>
          <w:numId w:val="1138"/>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38"/>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2-analyze-ps</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38"/>
        </w:numPr>
      </w:pPr>
      <w:r>
        <w:t xml:space="preserve">If you are using an alternative setup, follow the instructions provided by your instructor.</w:t>
      </w:r>
    </w:p>
    <w:p>
      <w:pPr>
        <w:numPr>
          <w:ilvl w:val="0"/>
          <w:numId w:val="1139"/>
        </w:numPr>
        <w:pStyle w:val="Compact"/>
      </w:pPr>
      <w:r>
        <w:t xml:space="preserve">Start the</w:t>
      </w:r>
      <w:r>
        <w:t xml:space="preserve"> </w:t>
      </w:r>
      <w:r>
        <w:t xml:space="preserve">“</w:t>
      </w:r>
      <w:r>
        <w:t xml:space="preserve">Analyze 16S rRNA Data with phyloseq</w:t>
      </w:r>
      <w:r>
        <w:t xml:space="preserve">”</w:t>
      </w:r>
      <w:r>
        <w:t xml:space="preserve"> </w:t>
      </w:r>
      <w:r>
        <w:t xml:space="preserve">tutorial.</w:t>
      </w:r>
    </w:p>
    <w:p>
      <w:pPr>
        <w:numPr>
          <w:ilvl w:val="0"/>
          <w:numId w:val="113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139"/>
        </w:numPr>
        <w:pStyle w:val="Compact"/>
      </w:pPr>
      <w:r>
        <w:t xml:space="preserve">This tutorial has small boxes in which you can enter and run short lines of code to analyze the data.</w:t>
      </w:r>
    </w:p>
    <w:p>
      <w:pPr>
        <w:numPr>
          <w:ilvl w:val="0"/>
          <w:numId w:val="1139"/>
        </w:numPr>
        <w:pStyle w:val="Compact"/>
      </w:pPr>
      <w:r>
        <w:t xml:space="preserve">As you work through the tutorial, take snapshots of your work and paste your answers in the grey boxes below: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1-1. Alpha diversity section: Take a snapshot and paste the code for an alpha diversity plot (Simpson) from the quiz question: What male subject has the data point for the LOWEST alpha diversity? HINT: Use subset_samples() to subset males, and specify individuals (subject) on x-axis of the alpha diversity plot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1-2. PCoA section: Take a snapshot and paste the code for a PCoA plot from the quiz question: In a PCoA with only data from ASVs with the class Bacteroidia, what is the percent of variance in the dataset explained by principal coordinate 1? HINT: You will need to change the code subsetting phylum and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1-3. Differential abundance: Take a snapshot and paste the code for the differential abundance plot for the quiz question: Which of the following Phylum have ASVs that are differentially abundant between the subject S02 and subject S03?</w:t>
            </w:r>
          </w:p>
        </w:tc>
      </w:tr>
      <w:tr>
        <w:tc>
          <w:tcPr/>
          <w:p>
            <w:pPr>
              <w:pStyle w:val="Compact"/>
              <w:jc w:val="left"/>
            </w:pPr>
          </w:p>
        </w:tc>
      </w:tr>
    </w:tbl>
    <w:bookmarkEnd w:id="320"/>
    <w:bookmarkStart w:id="325" w:name="activity-2-try-it-out-questions-1"/>
    <w:p>
      <w:pPr>
        <w:pStyle w:val="Heading3"/>
      </w:pPr>
      <w:r>
        <w:rPr>
          <w:rStyle w:val="SectionNumber"/>
        </w:rPr>
        <w:t xml:space="preserve">5.3.5</w:t>
      </w:r>
      <w:r>
        <w:tab/>
      </w:r>
      <w:r>
        <w:t xml:space="preserve">Activity 2 – Try it out questions</w:t>
      </w:r>
    </w:p>
    <w:p>
      <w:pPr>
        <w:pStyle w:val="FirstParagraph"/>
      </w:pPr>
      <w:r>
        <w:rPr>
          <w:iCs/>
          <w:i/>
        </w:rPr>
        <w:t xml:space="preserve">Estimated time: 60 min</w:t>
      </w:r>
    </w:p>
    <w:p>
      <w:pPr>
        <w:pStyle w:val="BodyText"/>
      </w:pPr>
      <w:r>
        <w:t xml:space="preserve">With your group, perform some exploratory data analysis selecting from one of the four questions below or coming up with your own question. Each question has its own section with code templates for you to use below. Select a question here, then go to the page specific to your question.</w:t>
      </w:r>
    </w:p>
    <w:bookmarkStart w:id="321" w:name="Xd7fe6c5293c3dabe27f88cf1c7ce09a9de27f08"/>
    <w:p>
      <w:pPr>
        <w:pStyle w:val="Heading4"/>
      </w:pPr>
      <w:r>
        <w:rPr>
          <w:rStyle w:val="SectionNumber"/>
        </w:rPr>
        <w:t xml:space="preserve">5.3.5.1</w:t>
      </w:r>
      <w:r>
        <w:tab/>
      </w:r>
      <w:r>
        <w:t xml:space="preserve">Question 1.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variables that impact alpha diversity. Visible shifts in alpha diversity suggest a shift in microbial diversity, and a higher alpha diversity value indicates an increase in alpha diversity (either richness or abundance).</w:t>
      </w:r>
    </w:p>
    <w:p>
      <w:pPr>
        <w:numPr>
          <w:ilvl w:val="0"/>
          <w:numId w:val="1140"/>
        </w:numPr>
        <w:pStyle w:val="Compact"/>
      </w:pPr>
      <w:r>
        <w:t xml:space="preserve">Evaluate the impact of diet on alpha diversity by plotting ASVs based on</w:t>
      </w:r>
      <w:r>
        <w:t xml:space="preserve"> </w:t>
      </w:r>
      <w:r>
        <w:t xml:space="preserve">“</w:t>
      </w:r>
      <w:r>
        <w:t xml:space="preserve">diet</w:t>
      </w:r>
      <w:r>
        <w:t xml:space="preserve">”</w:t>
      </w:r>
      <w:r>
        <w:t xml:space="preserve"> </w:t>
      </w:r>
      <w:r>
        <w:t xml:space="preserve">variable.</w:t>
      </w:r>
    </w:p>
    <w:p>
      <w:pPr>
        <w:numPr>
          <w:ilvl w:val="0"/>
          <w:numId w:val="1140"/>
        </w:numPr>
        <w:pStyle w:val="Compact"/>
      </w:pPr>
      <w:r>
        <w:t xml:space="preserve">Evaluate the impact of individuality on alpha diversity by plotting ASVs based on</w:t>
      </w:r>
      <w:r>
        <w:t xml:space="preserve"> </w:t>
      </w:r>
      <w:r>
        <w:t xml:space="preserve">“</w:t>
      </w:r>
      <w:r>
        <w:t xml:space="preserve">subject</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age</w:t>
      </w:r>
      <w:r>
        <w:t xml:space="preserve">”</w:t>
      </w:r>
      <w:r>
        <w:t xml:space="preserve"> </w:t>
      </w:r>
      <w:r>
        <w:t xml:space="preserve">variable.</w:t>
      </w:r>
    </w:p>
    <w:p>
      <w:pPr>
        <w:numPr>
          <w:ilvl w:val="0"/>
          <w:numId w:val="1140"/>
        </w:numPr>
        <w:pStyle w:val="Compact"/>
      </w:pPr>
      <w:r>
        <w:t xml:space="preserve">Evaluate the impact of gender on alpha diversity by plotting ASVs based on</w:t>
      </w:r>
      <w:r>
        <w:t xml:space="preserve"> </w:t>
      </w:r>
      <w:r>
        <w:t xml:space="preserve">“</w:t>
      </w:r>
      <w:r>
        <w:t xml:space="preserve">gender</w:t>
      </w:r>
      <w:r>
        <w:t xml:space="preserve">”</w:t>
      </w:r>
      <w:r>
        <w:t xml:space="preserve"> </w:t>
      </w:r>
      <w:r>
        <w:t xml:space="preserve">variable.</w:t>
      </w:r>
    </w:p>
    <w:p>
      <w:pPr>
        <w:numPr>
          <w:ilvl w:val="0"/>
          <w:numId w:val="1140"/>
        </w:numPr>
        <w:pStyle w:val="Compact"/>
      </w:pPr>
      <w:r>
        <w:t xml:space="preserve">Evaluate the impact of gender on alpha diversity by plotting ASVs based on the 5 different levels of metabolites in the study (Creatinine, PCS, IS, HIPP, PAG).</w:t>
      </w:r>
    </w:p>
    <w:bookmarkEnd w:id="321"/>
    <w:bookmarkStart w:id="322" w:name="Xce8ba0af66d77c0493c92044e197fc52f25ceec"/>
    <w:p>
      <w:pPr>
        <w:pStyle w:val="Heading4"/>
      </w:pPr>
      <w:r>
        <w:rPr>
          <w:rStyle w:val="SectionNumber"/>
        </w:rPr>
        <w:t xml:space="preserve">5.3.5.2</w:t>
      </w:r>
      <w:r>
        <w:tab/>
      </w:r>
      <w:r>
        <w:t xml:space="preserve">Question 2.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correlate with sample diversity. In a PcOA plot, samples with similar microbial profiles will be plotted close and may appear as groups.</w:t>
      </w:r>
    </w:p>
    <w:p>
      <w:pPr>
        <w:numPr>
          <w:ilvl w:val="0"/>
          <w:numId w:val="1141"/>
        </w:numPr>
        <w:pStyle w:val="Compact"/>
      </w:pPr>
      <w:r>
        <w:t xml:space="preserve">Make a PCoA plot, ordinate on the entire dataset (all ASVs) and color by individual. Investigate the shape of the resulting PCoA plot.</w:t>
      </w:r>
    </w:p>
    <w:p>
      <w:pPr>
        <w:numPr>
          <w:ilvl w:val="0"/>
          <w:numId w:val="1141"/>
        </w:numPr>
        <w:pStyle w:val="Compact"/>
      </w:pPr>
      <w:r>
        <w:t xml:space="preserve">Correlate PCoA plot shape with metadata variables by coloring the PCoA plot with different variables including diet, subject, age and gender. Do any of the variables correlate with the shape of PCoA plot and data groupings?</w:t>
      </w:r>
    </w:p>
    <w:p>
      <w:pPr>
        <w:numPr>
          <w:ilvl w:val="0"/>
          <w:numId w:val="1141"/>
        </w:numPr>
        <w:pStyle w:val="Compact"/>
      </w:pPr>
      <w:r>
        <w:t xml:space="preserve">Correlate PCoA plot shape with the levels of metabolites in the study (Creatinine, PCS, IS, HIPP, PAG). From the color-coding pattern, identify 1. which variables help potentially explain the data groups formed in the PCoA plot.</w:t>
      </w:r>
      <w:r>
        <w:t xml:space="preserve"> </w:t>
      </w:r>
      <w:r>
        <w:t xml:space="preserve">Subset</w:t>
      </w:r>
      <w:r>
        <w:t xml:space="preserve"> </w:t>
      </w:r>
      <w:r>
        <w:t xml:space="preserve">“</w:t>
      </w:r>
      <w:r>
        <w:t xml:space="preserve">HD</w:t>
      </w:r>
      <w:r>
        <w:t xml:space="preserve">”</w:t>
      </w:r>
      <w:r>
        <w:t xml:space="preserve">, ordinate on</w:t>
      </w:r>
      <w:r>
        <w:t xml:space="preserve"> </w:t>
      </w:r>
      <w:r>
        <w:t xml:space="preserve">“</w:t>
      </w:r>
      <w:r>
        <w:t xml:space="preserve">HD</w:t>
      </w:r>
      <w:r>
        <w:t xml:space="preserve">”</w:t>
      </w:r>
      <w:r>
        <w:t xml:space="preserve">, and make a new PCoA plot.</w:t>
      </w:r>
    </w:p>
    <w:bookmarkEnd w:id="322"/>
    <w:bookmarkStart w:id="323" w:name="X42c4a4c2165e20d75f675444fe8cf678c8bf11b"/>
    <w:p>
      <w:pPr>
        <w:pStyle w:val="Heading4"/>
      </w:pPr>
      <w:r>
        <w:rPr>
          <w:rStyle w:val="SectionNumber"/>
        </w:rPr>
        <w:t xml:space="preserve">5.3.5.3</w:t>
      </w:r>
      <w:r>
        <w:tab/>
      </w:r>
      <w:r>
        <w:t xml:space="preserve">Question 3. What microbes (ASVs) differ between males and females, and does age have an impact?</w:t>
      </w:r>
    </w:p>
    <w:p>
      <w:pPr>
        <w:pStyle w:val="FirstParagraph"/>
      </w:pPr>
      <w:r>
        <w:t xml:space="preserve">Approach: Perform DESeq2 differential abundance analysis between females and males and determine how many differentially abundant microbes are there between the sexes. Then examine if age has a further impact on the differential abundance of the microbes between the sexes.</w:t>
      </w:r>
    </w:p>
    <w:p>
      <w:pPr>
        <w:numPr>
          <w:ilvl w:val="0"/>
          <w:numId w:val="1142"/>
        </w:numPr>
        <w:pStyle w:val="Compact"/>
      </w:pPr>
      <w:r>
        <w:t xml:space="preserve">Perform DESeq2 analysis between females and males and identify differences.</w:t>
      </w:r>
    </w:p>
    <w:p>
      <w:pPr>
        <w:numPr>
          <w:ilvl w:val="0"/>
          <w:numId w:val="1142"/>
        </w:numPr>
        <w:pStyle w:val="Compact"/>
      </w:pPr>
      <w:r>
        <w:t xml:space="preserve">Test if younger age contributes to differential microbe abundance between females and males by subsetting younger (&lt; 50 years old) individuals.</w:t>
      </w:r>
    </w:p>
    <w:p>
      <w:pPr>
        <w:numPr>
          <w:ilvl w:val="0"/>
          <w:numId w:val="1142"/>
        </w:numPr>
        <w:pStyle w:val="Compact"/>
      </w:pPr>
      <w:r>
        <w:t xml:space="preserve">Test if older age contributes to differential microbe abundance between females and males by subsetting older (&gt; 50 years old) individuals.</w:t>
      </w:r>
    </w:p>
    <w:bookmarkEnd w:id="323"/>
    <w:bookmarkStart w:id="324" w:name="X589fd5694809ec29780eb6eef5817c774102113"/>
    <w:p>
      <w:pPr>
        <w:pStyle w:val="Heading4"/>
      </w:pPr>
      <w:r>
        <w:rPr>
          <w:rStyle w:val="SectionNumber"/>
        </w:rPr>
        <w:t xml:space="preserve">5.3.5.4</w:t>
      </w:r>
      <w:r>
        <w:tab/>
      </w:r>
      <w:r>
        <w:t xml:space="preserve">Question 4. Is there diet and age interaction and what microbes (ASVs) correlate with changes in diet-age interaction?</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Then, use DESeq2 to evaluate if younger or older age changes ASVs associated with diet.</w:t>
      </w:r>
    </w:p>
    <w:p>
      <w:pPr>
        <w:numPr>
          <w:ilvl w:val="0"/>
          <w:numId w:val="1143"/>
        </w:numPr>
        <w:pStyle w:val="Compact"/>
      </w:pPr>
      <w:r>
        <w:t xml:space="preserve">Plot alpha diversity based age for the population in general, and then for individuals subsetted for BD, HD and WO diets. Look for shifts in alpha diversity with change in diet.</w:t>
      </w:r>
    </w:p>
    <w:p>
      <w:pPr>
        <w:numPr>
          <w:ilvl w:val="0"/>
          <w:numId w:val="1143"/>
        </w:numPr>
        <w:pStyle w:val="Compact"/>
      </w:pPr>
      <w:r>
        <w:t xml:space="preserve">Perform DESeq2 analysis based on the diet for the population in general, establishing baseline differential abundance between dietary groups HD and BD.</w:t>
      </w:r>
    </w:p>
    <w:p>
      <w:pPr>
        <w:numPr>
          <w:ilvl w:val="0"/>
          <w:numId w:val="1143"/>
        </w:numPr>
        <w:pStyle w:val="Compact"/>
      </w:pPr>
      <w:r>
        <w:t xml:space="preserve">Perform DESeq2 analysis based on the diet for the younger (&lt;= 50 yo) and older (&gt;=50 yo) individuals, evaluating age-associated changes in differential abundance between dietary groups HD and BD.</w:t>
      </w:r>
    </w:p>
    <w:bookmarkEnd w:id="324"/>
    <w:bookmarkEnd w:id="325"/>
    <w:bookmarkStart w:id="326" w:name="grading-criteria-8"/>
    <w:p>
      <w:pPr>
        <w:pStyle w:val="Heading3"/>
      </w:pPr>
      <w:r>
        <w:rPr>
          <w:rStyle w:val="SectionNumber"/>
        </w:rPr>
        <w:t xml:space="preserve">5.3.6</w:t>
      </w:r>
      <w:r>
        <w:tab/>
      </w:r>
      <w:r>
        <w:t xml:space="preserve">Grading criteria</w:t>
      </w:r>
    </w:p>
    <w:p>
      <w:pPr>
        <w:numPr>
          <w:ilvl w:val="0"/>
          <w:numId w:val="1144"/>
        </w:numPr>
        <w:pStyle w:val="Compact"/>
      </w:pPr>
      <w:r>
        <w:t xml:space="preserve">Download the assignment to your local computer as a .docx, complete it, and upload the assignment to your LMS (Blackboard, Canvas, Google Classroom).</w:t>
      </w:r>
    </w:p>
    <w:bookmarkEnd w:id="326"/>
    <w:bookmarkStart w:id="330" w:name="footnotes-12"/>
    <w:p>
      <w:pPr>
        <w:pStyle w:val="Heading3"/>
      </w:pPr>
      <w:r>
        <w:rPr>
          <w:rStyle w:val="SectionNumber"/>
        </w:rPr>
        <w:t xml:space="preserve">5.3.7</w:t>
      </w:r>
      <w:r>
        <w:tab/>
      </w:r>
      <w:r>
        <w:t xml:space="preserve">Footnotes</w:t>
      </w:r>
    </w:p>
    <w:bookmarkStart w:id="328" w:name="resources-16"/>
    <w:p>
      <w:pPr>
        <w:pStyle w:val="Heading4"/>
      </w:pPr>
      <w:r>
        <w:rPr>
          <w:rStyle w:val="SectionNumber"/>
        </w:rPr>
        <w:t xml:space="preserve">5.3.7.1</w:t>
      </w:r>
      <w:r>
        <w:tab/>
      </w:r>
      <w:r>
        <w:t xml:space="preserve">Resources</w:t>
      </w:r>
    </w:p>
    <w:p>
      <w:pPr>
        <w:numPr>
          <w:ilvl w:val="0"/>
          <w:numId w:val="1145"/>
        </w:numPr>
        <w:pStyle w:val="Compact"/>
      </w:pPr>
      <w:hyperlink r:id="rId327">
        <w:r>
          <w:rPr>
            <w:rStyle w:val="Hyperlink"/>
          </w:rPr>
          <w:t xml:space="preserve">Google Doc</w:t>
        </w:r>
      </w:hyperlink>
    </w:p>
    <w:p>
      <w:pPr>
        <w:numPr>
          <w:ilvl w:val="0"/>
          <w:numId w:val="1145"/>
        </w:numPr>
        <w:pStyle w:val="Compact"/>
      </w:pPr>
      <w:hyperlink r:id="rId271">
        <w:r>
          <w:rPr>
            <w:rStyle w:val="Hyperlink"/>
          </w:rPr>
          <w:t xml:space="preserve">16S rRNA R Quick Reference</w:t>
        </w:r>
      </w:hyperlink>
    </w:p>
    <w:bookmarkEnd w:id="328"/>
    <w:bookmarkStart w:id="329" w:name="contributions-and-affiliations-12"/>
    <w:p>
      <w:pPr>
        <w:pStyle w:val="Heading4"/>
      </w:pPr>
      <w:r>
        <w:rPr>
          <w:rStyle w:val="SectionNumber"/>
        </w:rPr>
        <w:t xml:space="preserve">5.3.7.2</w:t>
      </w:r>
      <w:r>
        <w:tab/>
      </w:r>
      <w:r>
        <w:t xml:space="preserve">Contributions and affiliations</w:t>
      </w:r>
    </w:p>
    <w:p>
      <w:pPr>
        <w:numPr>
          <w:ilvl w:val="0"/>
          <w:numId w:val="1146"/>
        </w:numPr>
        <w:pStyle w:val="Compact"/>
      </w:pPr>
      <w:r>
        <w:t xml:space="preserve">Valeriya Gaysinskaya, Johns Hopkins University</w:t>
      </w:r>
    </w:p>
    <w:p>
      <w:pPr>
        <w:numPr>
          <w:ilvl w:val="0"/>
          <w:numId w:val="1146"/>
        </w:numPr>
        <w:pStyle w:val="Compact"/>
      </w:pPr>
      <w:r>
        <w:t xml:space="preserve">Gauri Paul, Clovis Community College</w:t>
      </w:r>
    </w:p>
    <w:p>
      <w:pPr>
        <w:numPr>
          <w:ilvl w:val="0"/>
          <w:numId w:val="1146"/>
        </w:numPr>
        <w:pStyle w:val="Compact"/>
      </w:pPr>
      <w:r>
        <w:t xml:space="preserve">Frederick Tan, Johns Hopkins University</w:t>
      </w:r>
    </w:p>
    <w:p>
      <w:pPr>
        <w:numPr>
          <w:ilvl w:val="0"/>
          <w:numId w:val="1146"/>
        </w:numPr>
        <w:pStyle w:val="Compact"/>
      </w:pPr>
      <w:r>
        <w:t xml:space="preserve">Sayumi York, Notre Dame of Maryland University</w:t>
      </w:r>
    </w:p>
    <w:bookmarkEnd w:id="329"/>
    <w:bookmarkEnd w:id="330"/>
    <w:bookmarkEnd w:id="331"/>
    <w:bookmarkStart w:id="340" w:name="X6e72b077ebe1d568b55a78e6f7c82187a139671"/>
    <w:p>
      <w:pPr>
        <w:pStyle w:val="Heading2"/>
      </w:pPr>
      <w:r>
        <w:rPr>
          <w:rStyle w:val="SectionNumber"/>
        </w:rPr>
        <w:t xml:space="preserve">5.4</w:t>
      </w:r>
      <w:r>
        <w:tab/>
      </w:r>
      <w:r>
        <w:t xml:space="preserve">Try it Question 1 - How sensitive is microbial diversity to variables like diet, age and gender</w:t>
      </w:r>
    </w:p>
    <w:p>
      <w:pPr>
        <w:pStyle w:val="FirstParagraph"/>
      </w:pPr>
      <w:r>
        <w:t xml:space="preserve">Alpha diversity is a measure that estimates how the distribution of microbes changes due to a variable (or metadata category). Alpha diversity measures changes in the richness (the number of different organisms or ASVs) and evenness (how evenly are these organisms distributed in terms of their abundance). Using the</w:t>
      </w:r>
      <w:r>
        <w:t xml:space="preserve"> </w:t>
      </w:r>
      <w:r>
        <w:t xml:space="preserve">“</w:t>
      </w:r>
      <w:r>
        <w:t xml:space="preserve">MISO</w:t>
      </w:r>
      <w:r>
        <w:t xml:space="preserve">”</w:t>
      </w:r>
      <w:r>
        <w:t xml:space="preserve"> </w:t>
      </w:r>
      <w:r>
        <w:t xml:space="preserve">study dataset we will use Simpson (or specifically, Gini-Simpson) alpha diversity to evaluate changes in microbial diversity in individuals due to different metadata variables.</w:t>
      </w:r>
    </w:p>
    <w:p>
      <w:pPr>
        <w:pStyle w:val="BodyText"/>
      </w:pPr>
      <w:r>
        <w:t xml:space="preserve">Approach: Plot Simpson alpha diversity using plot_richness() command in phyloseq and assess the impact of different study variables on changes in microbial diversity. Identify the variables that impact alpha diversity. Visible shifts in alpha diversity measure suggests a shift in microbial diversity, and higher alpha diversity value indicates an increase in alpha diversity.</w:t>
      </w:r>
    </w:p>
    <w:p>
      <w:pPr>
        <w:pStyle w:val="BodyText"/>
      </w:pPr>
      <w:r>
        <w:rPr>
          <w:bCs/>
          <w:b/>
        </w:rP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47"/>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32" w:name="Xaf182b85ae6e5e29b42cf857378a05c8dc0f8da"/>
    <w:p>
      <w:pPr>
        <w:pStyle w:val="Heading3"/>
      </w:pPr>
      <w:r>
        <w:rPr>
          <w:rStyle w:val="SectionNumber"/>
        </w:rPr>
        <w:t xml:space="preserve">5.4.1</w:t>
      </w:r>
      <w:r>
        <w:tab/>
      </w:r>
      <w:r>
        <w:t xml:space="preserve">Step 1A. Plot alpha diversity of the full MISO dataset by subject (individuals).</w:t>
      </w:r>
    </w:p>
    <w:p>
      <w:pPr>
        <w:numPr>
          <w:ilvl w:val="0"/>
          <w:numId w:val="1148"/>
        </w:numPr>
        <w:pStyle w:val="Compact"/>
      </w:pPr>
      <w:r>
        <w:t xml:space="preserve">subject is on the x-axis</w:t>
      </w:r>
    </w:p>
    <w:p>
      <w:pPr>
        <w:numPr>
          <w:ilvl w:val="0"/>
          <w:numId w:val="1148"/>
        </w:numPr>
        <w:pStyle w:val="Compact"/>
      </w:pPr>
      <w:r>
        <w:t xml:space="preserve">Color is by subject</w:t>
      </w:r>
    </w:p>
    <w:p>
      <w:pPr>
        <w:numPr>
          <w:ilvl w:val="0"/>
          <w:numId w:val="1148"/>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"subject"</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Examine the alpha diversity plot you made. Are the points for an individual highly clustered or far apart?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Is the alpha diversity metric for one individual similar to another’s?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1A-4. When the points for an individual are highly clustered, this means their gut microbiome has the same level of biodiversity over the length of the experiment (although the exact community of microbes may not be the same). Conversely, when the points are farther apart, their gut microbiome’s biodiversity has changed through the experiment. What does it mean to see a varied pattern of clustering across individuals in the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1A-5. Do you think a healthy microbiome has a high or low alpha diversity? Why or why not?</w:t>
            </w:r>
          </w:p>
        </w:tc>
      </w:tr>
      <w:tr>
        <w:tc>
          <w:tcPr/>
          <w:p>
            <w:pPr>
              <w:pStyle w:val="Compact"/>
              <w:jc w:val="left"/>
            </w:pPr>
          </w:p>
        </w:tc>
      </w:tr>
    </w:tbl>
    <w:bookmarkEnd w:id="332"/>
    <w:bookmarkStart w:id="333" w:name="Xae2c10566198956216ec76befaaca2f89b9b6cc"/>
    <w:p>
      <w:pPr>
        <w:pStyle w:val="Heading3"/>
      </w:pPr>
      <w:r>
        <w:rPr>
          <w:rStyle w:val="SectionNumber"/>
        </w:rPr>
        <w:t xml:space="preserve">5.4.2</w:t>
      </w:r>
      <w:r>
        <w:tab/>
      </w:r>
      <w:r>
        <w:t xml:space="preserve">Step 1B. Plot alpha diversity of the full MISO dataset by diet</w:t>
      </w:r>
    </w:p>
    <w:p>
      <w:pPr>
        <w:numPr>
          <w:ilvl w:val="0"/>
          <w:numId w:val="1149"/>
        </w:numPr>
        <w:pStyle w:val="Compact"/>
      </w:pPr>
      <w:r>
        <w:t xml:space="preserve">diet is on the x-axis</w:t>
      </w:r>
    </w:p>
    <w:p>
      <w:pPr>
        <w:numPr>
          <w:ilvl w:val="0"/>
          <w:numId w:val="1149"/>
        </w:numPr>
        <w:pStyle w:val="Compact"/>
      </w:pPr>
      <w:r>
        <w:t xml:space="preserve">Color is by subject</w:t>
      </w:r>
    </w:p>
    <w:p>
      <w:pPr>
        <w:numPr>
          <w:ilvl w:val="0"/>
          <w:numId w:val="1149"/>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Based on the plot above, does diet change the overall alpha diversity metric of the gut microbiome (ex. Are the points higher or lower overall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1B-3. Based on the plot above does diet change how varied the alpha diversity is between individuals? (ex. Are the points more spread out in one diet versus the others?)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1B-4. Do you think diet has an impact on gut microbial alpha diversity?</w:t>
            </w:r>
            <w:r>
              <w:rPr>
                <w:bCs/>
                <w:b/>
              </w:rPr>
              <w:t xml:space="preserve"> </w:t>
            </w:r>
          </w:p>
        </w:tc>
      </w:tr>
      <w:tr>
        <w:tc>
          <w:tcPr/>
          <w:p>
            <w:pPr>
              <w:pStyle w:val="Compact"/>
              <w:jc w:val="left"/>
            </w:pPr>
          </w:p>
        </w:tc>
      </w:tr>
    </w:tbl>
    <w:bookmarkEnd w:id="333"/>
    <w:bookmarkStart w:id="334" w:name="X03d73b1e28d9932bcdd5fa49a29cdf6e18ce075"/>
    <w:p>
      <w:pPr>
        <w:pStyle w:val="Heading3"/>
      </w:pPr>
      <w:r>
        <w:rPr>
          <w:rStyle w:val="SectionNumber"/>
        </w:rPr>
        <w:t xml:space="preserve">5.4.3</w:t>
      </w:r>
      <w:r>
        <w:tab/>
      </w:r>
      <w:r>
        <w:t xml:space="preserve">Step 1C. Plot alpha diversity of the full MISO dataset by age.</w:t>
      </w:r>
    </w:p>
    <w:p>
      <w:pPr>
        <w:numPr>
          <w:ilvl w:val="0"/>
          <w:numId w:val="1150"/>
        </w:numPr>
        <w:pStyle w:val="Compact"/>
      </w:pPr>
      <w:r>
        <w:t xml:space="preserve">age is on the x-axis</w:t>
      </w:r>
    </w:p>
    <w:p>
      <w:pPr>
        <w:numPr>
          <w:ilvl w:val="0"/>
          <w:numId w:val="1150"/>
        </w:numPr>
        <w:pStyle w:val="Compact"/>
      </w:pPr>
      <w:r>
        <w:t xml:space="preserve">Color is by subject</w:t>
      </w:r>
    </w:p>
    <w:p>
      <w:pPr>
        <w:numPr>
          <w:ilvl w:val="0"/>
          <w:numId w:val="115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Do younger or older individuals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1C-3. Do younger or older individuals have a more consistent alpha diversity of the gut microbiome (ex. Are points clustered more closely in younger or older subjects)?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1C-4. What do you think the impact of age on the alpha diversity of the gut microbiome is?</w:t>
            </w:r>
          </w:p>
        </w:tc>
      </w:tr>
      <w:tr>
        <w:tc>
          <w:tcPr/>
          <w:p>
            <w:pPr>
              <w:pStyle w:val="Compact"/>
              <w:jc w:val="left"/>
            </w:pPr>
          </w:p>
        </w:tc>
      </w:tr>
    </w:tbl>
    <w:bookmarkEnd w:id="334"/>
    <w:bookmarkStart w:id="335" w:name="X74afc393557a17bea599b20543f2769d957adaa"/>
    <w:p>
      <w:pPr>
        <w:pStyle w:val="Heading3"/>
      </w:pPr>
      <w:r>
        <w:rPr>
          <w:rStyle w:val="SectionNumber"/>
        </w:rPr>
        <w:t xml:space="preserve">5.4.4</w:t>
      </w:r>
      <w:r>
        <w:tab/>
      </w:r>
      <w:r>
        <w:t xml:space="preserve">Step 1D. Plot alpha diversity of the full MISO dataset by gender.</w:t>
      </w:r>
    </w:p>
    <w:p>
      <w:pPr>
        <w:numPr>
          <w:ilvl w:val="0"/>
          <w:numId w:val="1151"/>
        </w:numPr>
        <w:pStyle w:val="Compact"/>
      </w:pPr>
      <w:r>
        <w:t xml:space="preserve">gender is on the x-axis</w:t>
      </w:r>
    </w:p>
    <w:p>
      <w:pPr>
        <w:numPr>
          <w:ilvl w:val="0"/>
          <w:numId w:val="1151"/>
        </w:numPr>
        <w:pStyle w:val="Compact"/>
      </w:pPr>
      <w:r>
        <w:t xml:space="preserve">Color is by subject</w:t>
      </w:r>
    </w:p>
    <w:p>
      <w:pPr>
        <w:numPr>
          <w:ilvl w:val="0"/>
          <w:numId w:val="1151"/>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Do males or females have a higher alpha diversity of the gut microbiome overall (ex. Which group has an overall higher alpha diversity measure)?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1D-3. Do males or females have a more consistent alpha diversity of the gut microbiome (ex. Are points clustered more closely in males or females)?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1D-4. What do you think the impact of gender on the alpha diversity of the gut microbiome is?</w:t>
            </w:r>
          </w:p>
        </w:tc>
      </w:tr>
      <w:tr>
        <w:tc>
          <w:tcPr/>
          <w:p>
            <w:pPr>
              <w:pStyle w:val="Compact"/>
              <w:jc w:val="left"/>
            </w:pPr>
          </w:p>
        </w:tc>
      </w:tr>
    </w:tbl>
    <w:bookmarkEnd w:id="335"/>
    <w:bookmarkStart w:id="336" w:name="Xa64c90cdd633dbf4f262448999ee162edae5e66"/>
    <w:p>
      <w:pPr>
        <w:pStyle w:val="Heading3"/>
      </w:pPr>
      <w:r>
        <w:rPr>
          <w:rStyle w:val="SectionNumber"/>
        </w:rPr>
        <w:t xml:space="preserve">5.4.5</w:t>
      </w:r>
      <w:r>
        <w:tab/>
      </w:r>
      <w:r>
        <w:t xml:space="preserve">Step 2. Plot alpha diversity of the full MISO dataset, grouping based on levels for 5 different metabolites: Creatinine, PCS, IS, HIPP, PAG.</w:t>
      </w:r>
    </w:p>
    <w:p>
      <w:pPr>
        <w:pStyle w:val="FirstParagraph"/>
      </w:pPr>
      <w:r>
        <w:t xml:space="preserve">Plot alpha diversity for the 5 metabolites independently then choose your favorite metabolite (e.g. one with most difference) and show plot below.</w:t>
      </w:r>
    </w:p>
    <w:p>
      <w:pPr>
        <w:numPr>
          <w:ilvl w:val="0"/>
          <w:numId w:val="1152"/>
        </w:numPr>
        <w:pStyle w:val="Compact"/>
      </w:pPr>
      <w:r>
        <w:t xml:space="preserve">metabolite on the x-axis (one at a time: Creatinine, PCS, IS, HIPP, PAG)</w:t>
      </w:r>
    </w:p>
    <w:p>
      <w:pPr>
        <w:numPr>
          <w:ilvl w:val="0"/>
          <w:numId w:val="1152"/>
        </w:numPr>
        <w:pStyle w:val="Compact"/>
      </w:pPr>
      <w:r>
        <w:t xml:space="preserve">Color is by subject</w:t>
      </w:r>
    </w:p>
    <w:p>
      <w:pPr>
        <w:numPr>
          <w:ilvl w:val="0"/>
          <w:numId w:val="1152"/>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 metabolite name"</w:t>
      </w:r>
      <w:r>
        <w:rPr>
          <w:rStyle w:val="NormalTok"/>
        </w:rPr>
        <w:t xml:space="preserve">, </w:t>
      </w:r>
      <w:r>
        <w:br/>
      </w:r>
      <w:r>
        <w:rPr>
          <w:rStyle w:val="NormalTok"/>
        </w:rPr>
        <w:t xml:space="preserve">              </w:t>
      </w:r>
      <w:r>
        <w:rPr>
          <w:rStyle w:val="AttributeTok"/>
        </w:rPr>
        <w:t xml:space="preserve">color=</w:t>
      </w:r>
      <w:r>
        <w:rPr>
          <w:rStyle w:val="StringTok"/>
        </w:rPr>
        <w:t xml:space="preserve">"fill in the blank"</w:t>
      </w:r>
      <w:r>
        <w:rPr>
          <w:rStyle w:val="NormalTok"/>
        </w:rPr>
        <w:t xml:space="preserve">, </w:t>
      </w:r>
      <w:r>
        <w:br/>
      </w:r>
      <w:r>
        <w:rPr>
          <w:rStyle w:val="NormalTok"/>
        </w:rPr>
        <w:t xml:space="preserve">              </w:t>
      </w:r>
      <w:r>
        <w:rPr>
          <w:rStyle w:val="AttributeTok"/>
        </w:rPr>
        <w:t xml:space="preserve">measures=</w:t>
      </w:r>
      <w:r>
        <w:rPr>
          <w:rStyle w:val="NormalTok"/>
        </w:rPr>
        <w:t xml:space="preserve"> </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metabolite plot(s)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2A-2. Which metabolite did you choose to show and why?</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Are there any trends in alpha diversity as this metabolite increases in level?</w:t>
            </w:r>
          </w:p>
        </w:tc>
      </w:tr>
      <w:tr>
        <w:tc>
          <w:tcPr/>
          <w:p>
            <w:pPr>
              <w:pStyle w:val="Compact"/>
              <w:jc w:val="left"/>
            </w:pPr>
          </w:p>
        </w:tc>
      </w:tr>
    </w:tbl>
    <w:bookmarkEnd w:id="336"/>
    <w:bookmarkStart w:id="339" w:name="footnotes-13"/>
    <w:p>
      <w:pPr>
        <w:pStyle w:val="Heading3"/>
      </w:pPr>
      <w:r>
        <w:rPr>
          <w:rStyle w:val="SectionNumber"/>
        </w:rPr>
        <w:t xml:space="preserve">5.4.6</w:t>
      </w:r>
      <w:r>
        <w:tab/>
      </w:r>
      <w:r>
        <w:t xml:space="preserve">Footnotes</w:t>
      </w:r>
    </w:p>
    <w:bookmarkStart w:id="337" w:name="resources-17"/>
    <w:p>
      <w:pPr>
        <w:pStyle w:val="Heading4"/>
      </w:pPr>
      <w:r>
        <w:rPr>
          <w:rStyle w:val="SectionNumber"/>
        </w:rPr>
        <w:t xml:space="preserve">5.4.6.1</w:t>
      </w:r>
      <w:r>
        <w:tab/>
      </w:r>
      <w:r>
        <w:t xml:space="preserve">Resources</w:t>
      </w:r>
    </w:p>
    <w:p>
      <w:pPr>
        <w:numPr>
          <w:ilvl w:val="0"/>
          <w:numId w:val="1153"/>
        </w:numPr>
        <w:pStyle w:val="Compact"/>
      </w:pPr>
      <w:hyperlink r:id="rId327">
        <w:r>
          <w:rPr>
            <w:rStyle w:val="Hyperlink"/>
          </w:rPr>
          <w:t xml:space="preserve">Google Doc</w:t>
        </w:r>
      </w:hyperlink>
    </w:p>
    <w:p>
      <w:pPr>
        <w:numPr>
          <w:ilvl w:val="0"/>
          <w:numId w:val="1153"/>
        </w:numPr>
        <w:pStyle w:val="Compact"/>
      </w:pPr>
      <w:hyperlink r:id="rId271">
        <w:r>
          <w:rPr>
            <w:rStyle w:val="Hyperlink"/>
          </w:rPr>
          <w:t xml:space="preserve">16S rRNA R Quick Reference</w:t>
        </w:r>
      </w:hyperlink>
    </w:p>
    <w:bookmarkEnd w:id="337"/>
    <w:bookmarkStart w:id="338" w:name="contributions-and-affiliations-13"/>
    <w:p>
      <w:pPr>
        <w:pStyle w:val="Heading4"/>
      </w:pPr>
      <w:r>
        <w:rPr>
          <w:rStyle w:val="SectionNumber"/>
        </w:rPr>
        <w:t xml:space="preserve">5.4.6.2</w:t>
      </w:r>
      <w:r>
        <w:tab/>
      </w:r>
      <w:r>
        <w:t xml:space="preserve">Contributions and affiliations</w:t>
      </w:r>
    </w:p>
    <w:p>
      <w:pPr>
        <w:numPr>
          <w:ilvl w:val="0"/>
          <w:numId w:val="1154"/>
        </w:numPr>
        <w:pStyle w:val="Compact"/>
      </w:pPr>
      <w:r>
        <w:t xml:space="preserve">Valeriya Gaysinskaya, Johns Hopkins University</w:t>
      </w:r>
    </w:p>
    <w:p>
      <w:pPr>
        <w:numPr>
          <w:ilvl w:val="0"/>
          <w:numId w:val="1154"/>
        </w:numPr>
        <w:pStyle w:val="Compact"/>
      </w:pPr>
      <w:r>
        <w:t xml:space="preserve">Gauri Paul, Clovis Community College</w:t>
      </w:r>
    </w:p>
    <w:p>
      <w:pPr>
        <w:numPr>
          <w:ilvl w:val="0"/>
          <w:numId w:val="1154"/>
        </w:numPr>
        <w:pStyle w:val="Compact"/>
      </w:pPr>
      <w:r>
        <w:t xml:space="preserve">Frederick Tan, Johns Hopkins University</w:t>
      </w:r>
    </w:p>
    <w:p>
      <w:pPr>
        <w:numPr>
          <w:ilvl w:val="0"/>
          <w:numId w:val="1154"/>
        </w:numPr>
        <w:pStyle w:val="Compact"/>
      </w:pPr>
      <w:r>
        <w:t xml:space="preserve">Sayumi York, Notre Dame of Maryland University</w:t>
      </w:r>
    </w:p>
    <w:bookmarkEnd w:id="338"/>
    <w:bookmarkEnd w:id="339"/>
    <w:bookmarkEnd w:id="340"/>
    <w:bookmarkStart w:id="348" w:name="X0c0171d6de6614d5b4dee402dd920b23c012e84"/>
    <w:p>
      <w:pPr>
        <w:pStyle w:val="Heading2"/>
      </w:pPr>
      <w:r>
        <w:rPr>
          <w:rStyle w:val="SectionNumber"/>
        </w:rPr>
        <w:t xml:space="preserve">5.5</w:t>
      </w:r>
      <w:r>
        <w:tab/>
      </w:r>
      <w:r>
        <w:t xml:space="preserve">Try it Question 2 - Do diet, age, gender and levels of metabolites correlate with microbe variation between individuals</w:t>
      </w:r>
    </w:p>
    <w:p>
      <w:pPr>
        <w:pStyle w:val="FirstParagraph"/>
      </w:pPr>
      <w:r>
        <w:t xml:space="preserve">A PCoA plot is a principal coordinate analysis used to represent similarity between samples (sample microbiomes in our case). Using the</w:t>
      </w:r>
      <w:r>
        <w:t xml:space="preserve"> </w:t>
      </w:r>
      <w:r>
        <w:t xml:space="preserve">“</w:t>
      </w:r>
      <w:r>
        <w:t xml:space="preserve">MISO</w:t>
      </w:r>
      <w:r>
        <w:t xml:space="preserve">”</w:t>
      </w:r>
      <w:r>
        <w:t xml:space="preserve"> </w:t>
      </w:r>
      <w:r>
        <w:t xml:space="preserve">study dataset, we will use the PCoA plot to summarize individuals based on ASVs and plot the resulting relationships between individuals. Based on how well color-coding the different variables matches the sample distribution on the PcOA plot, we will aim to help explain potential sources of sample similarity.</w:t>
      </w:r>
    </w:p>
    <w:p>
      <w:pPr>
        <w:pStyle w:val="BodyText"/>
      </w:pPr>
      <w:r>
        <w:t xml:space="preserve">Approach: Perform multidimensional scaling (also known as principal component analysis) to establish a relationship between the samples given multivariate data (metadata variables). Using a PcOA plot (via commands ordinate() and plot_ordination() in phyloseq), you will condense the original high-dimensional data into a low-dimensional one by converting data to distance map (matrix) with 2 dimensions, x and y, that best explain variability in your data. From your PCoA plot you will assess the contribution of different study variables to sample diversity and identify variables that help explain sample diversity. In a PcOA plot, samples with similar microbial profiles will be plotted close and may appear as</w:t>
      </w:r>
      <w:r>
        <w:t xml:space="preserve"> </w:t>
      </w:r>
      <w:r>
        <w:t xml:space="preserve">“</w:t>
      </w:r>
      <w:r>
        <w:t xml:space="preserve">clusters</w:t>
      </w:r>
      <w:r>
        <w:t xml:space="preserve">”</w:t>
      </w:r>
      <w:r>
        <w:t xml:space="preserve">.</w:t>
      </w:r>
    </w:p>
    <w:bookmarkStart w:id="341" w:name="Xdbe292352db7afac5a51548fc4f770f554d872d"/>
    <w:p>
      <w:pPr>
        <w:pStyle w:val="Heading3"/>
      </w:pPr>
      <w:r>
        <w:rPr>
          <w:rStyle w:val="SectionNumber"/>
        </w:rPr>
        <w:t xml:space="preserve">5.5.1</w:t>
      </w:r>
      <w:r>
        <w:tab/>
      </w:r>
      <w:r>
        <w:t xml:space="preserve">Step 1. Make a PcOA plot, ordinating on the entire miso dataset, and coloring by individual. Investigate resulting plot shape.</w:t>
      </w:r>
    </w:p>
    <w:p>
      <w:pPr>
        <w:numPr>
          <w:ilvl w:val="0"/>
          <w:numId w:val="1155"/>
        </w:numPr>
      </w:pPr>
      <w:r>
        <w:t xml:space="preserve">Ordination is a term used to summarize a multidimensional dataset when projected onto a low-dimensional space (like X &amp; Y axes) and then observing any pattern the data may possess with a visual inspection.</w:t>
      </w:r>
    </w:p>
    <w:p>
      <w:pPr>
        <w:numPr>
          <w:ilvl w:val="0"/>
          <w:numId w:val="1155"/>
        </w:numPr>
      </w:pPr>
      <w:r>
        <w:t xml:space="preserve">Subsequent coloring of the pattern with metadata variables can reveal underlying relationships between data and experiment variables.</w:t>
      </w:r>
    </w:p>
    <w:p>
      <w:pPr>
        <w:numPr>
          <w:ilvl w:val="0"/>
          <w:numId w:val="1155"/>
        </w:numPr>
      </w:pPr>
      <w:r>
        <w:t xml:space="preserve">color - by subject</w:t>
      </w:r>
    </w:p>
    <w:p>
      <w:pPr>
        <w:numPr>
          <w:ilvl w:val="0"/>
          <w:numId w:val="1155"/>
        </w:numPr>
      </w:pPr>
      <w:r>
        <w:t xml:space="preserve">Include a title for your PCoA plot</w:t>
      </w:r>
    </w:p>
    <w:p>
      <w:pPr>
        <w:numPr>
          <w:ilvl w:val="0"/>
          <w:numId w:val="1155"/>
        </w:numPr>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#Plot PCoA</w:t>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the PCoA organize samples into groups? Is there any pattern?</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 you observe any sample clustering by individual? This is represented by points of the same color clustering together. If so, give an example of an individual who shows this pattern.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1A-4. Offer one question you want to ask about this PCoA plot?</w:t>
            </w:r>
          </w:p>
        </w:tc>
      </w:tr>
      <w:tr>
        <w:tc>
          <w:tcPr/>
          <w:p>
            <w:pPr>
              <w:pStyle w:val="Compact"/>
              <w:jc w:val="left"/>
            </w:pPr>
          </w:p>
        </w:tc>
      </w:tr>
    </w:tbl>
    <w:bookmarkEnd w:id="341"/>
    <w:bookmarkStart w:id="342" w:name="Xbdf29036cc93ad68605530d54a1b03bb1f90193"/>
    <w:p>
      <w:pPr>
        <w:pStyle w:val="Heading3"/>
      </w:pPr>
      <w:r>
        <w:rPr>
          <w:rStyle w:val="SectionNumber"/>
        </w:rPr>
        <w:t xml:space="preserve">5.5.2</w:t>
      </w:r>
      <w:r>
        <w:tab/>
      </w:r>
      <w:r>
        <w:t xml:space="preserve">Step 2. Using the PCoA plot from Step 1 above, look for any correlations between the shape of your PCoA plot and diet, gender and age</w:t>
      </w:r>
    </w:p>
    <w:p>
      <w:pPr>
        <w:pStyle w:val="FirstParagraph"/>
      </w:pPr>
      <w:r>
        <w:rPr>
          <w:bCs/>
          <w:b/>
        </w:rPr>
        <w:t xml:space="preserve">Step 2A. Using the PCoA plot from Step 1, look for any correlations between the shape of your PCoA plot and diet?</w:t>
      </w:r>
    </w:p>
    <w:p>
      <w:pPr>
        <w:pStyle w:val="BodyText"/>
      </w:pPr>
      <w:r>
        <w:t xml:space="preserve">How well is your data explained by the variation in the diet - look for signs of correlation between PCoA shape and variable</w:t>
      </w:r>
      <w:r>
        <w:t xml:space="preserve"> </w:t>
      </w:r>
      <w:r>
        <w:t xml:space="preserve">“</w:t>
      </w:r>
      <w:r>
        <w:t xml:space="preserve">diet</w:t>
      </w:r>
      <w:r>
        <w:t xml:space="preserve">”</w:t>
      </w:r>
      <w:r>
        <w:t xml:space="preserve"> </w:t>
      </w:r>
      <w:r>
        <w:t xml:space="preserve">representing BD, HD and WO diets. Note that since we are using the same plot, we do not need to re-ordinate (no ordinate() function).</w:t>
      </w:r>
    </w:p>
    <w:p>
      <w:pPr>
        <w:numPr>
          <w:ilvl w:val="0"/>
          <w:numId w:val="1156"/>
        </w:numPr>
        <w:pStyle w:val="Compact"/>
      </w:pPr>
      <w:r>
        <w:t xml:space="preserve">Color - by diet</w:t>
      </w:r>
    </w:p>
    <w:p>
      <w:pPr>
        <w:numPr>
          <w:ilvl w:val="0"/>
          <w:numId w:val="1156"/>
        </w:numPr>
        <w:pStyle w:val="Compact"/>
      </w:pPr>
      <w:r>
        <w:t xml:space="preserve">Include a title for your PcOA plot</w:t>
      </w:r>
    </w:p>
    <w:p>
      <w:pPr>
        <w:numPr>
          <w:ilvl w:val="0"/>
          <w:numId w:val="1156"/>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Do samples of the same diet treatment (color) cluster together?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Based on what you wrote above, are samples from the same diet treatment similar to each other?</w:t>
            </w:r>
          </w:p>
        </w:tc>
      </w:tr>
      <w:tr>
        <w:tc>
          <w:tcPr/>
          <w:p>
            <w:pPr>
              <w:pStyle w:val="Compact"/>
              <w:jc w:val="left"/>
            </w:pPr>
          </w:p>
        </w:tc>
      </w:tr>
    </w:tbl>
    <w:p>
      <w:pPr>
        <w:pStyle w:val="BodyText"/>
      </w:pPr>
      <w:r>
        <w:rPr>
          <w:bCs/>
          <w:b/>
        </w:rPr>
        <w:t xml:space="preserve">Step 2B. Using the PCoA plot from Step 1, look for any correlations between the shape of your PCoA plot and gender?</w:t>
      </w:r>
      <w:r>
        <w:rPr>
          <w:bCs/>
          <w:b/>
        </w:rPr>
        <w:t xml:space="preserve"> </w:t>
      </w:r>
    </w:p>
    <w:p>
      <w:pPr>
        <w:pStyle w:val="BodyText"/>
      </w:pPr>
      <w:r>
        <w:t xml:space="preserve">How well is your data explained by the variation in the gender - look for signs of correlation between PcOA shape and variable</w:t>
      </w:r>
      <w:r>
        <w:t xml:space="preserve"> </w:t>
      </w:r>
      <w:r>
        <w:t xml:space="preserve">“</w:t>
      </w:r>
      <w:r>
        <w:t xml:space="preserve">gender</w:t>
      </w:r>
      <w:r>
        <w:t xml:space="preserve">”</w:t>
      </w:r>
      <w:r>
        <w:t xml:space="preserve">.</w:t>
      </w:r>
    </w:p>
    <w:p>
      <w:pPr>
        <w:numPr>
          <w:ilvl w:val="0"/>
          <w:numId w:val="1157"/>
        </w:numPr>
        <w:pStyle w:val="Compact"/>
      </w:pPr>
      <w:r>
        <w:t xml:space="preserve">Color - by gender</w:t>
      </w:r>
    </w:p>
    <w:p>
      <w:pPr>
        <w:numPr>
          <w:ilvl w:val="0"/>
          <w:numId w:val="1157"/>
        </w:numPr>
        <w:pStyle w:val="Compact"/>
      </w:pPr>
      <w:r>
        <w:t xml:space="preserve">Include a title for your PcOA plot</w:t>
      </w:r>
    </w:p>
    <w:p>
      <w:pPr>
        <w:numPr>
          <w:ilvl w:val="0"/>
          <w:numId w:val="1157"/>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2B-2 Are samples from the same gender similar to each other?</w:t>
            </w:r>
          </w:p>
        </w:tc>
      </w:tr>
      <w:tr>
        <w:tc>
          <w:tcPr/>
          <w:p>
            <w:pPr>
              <w:pStyle w:val="Compact"/>
              <w:jc w:val="left"/>
            </w:pPr>
          </w:p>
        </w:tc>
      </w:tr>
    </w:tbl>
    <w:p>
      <w:pPr>
        <w:pStyle w:val="BodyText"/>
      </w:pPr>
      <w:r>
        <w:rPr>
          <w:bCs/>
          <w:b/>
        </w:rPr>
        <w:t xml:space="preserve">Step 2C. Using the PCoA plot from Step 1, look for any correlations between the shape of your PCoA plot and age? How well is your data explained by the variation in the age - look for signs of correlation between PcOA shape and variable</w:t>
      </w:r>
      <w:r>
        <w:rPr>
          <w:bCs/>
          <w:b/>
        </w:rPr>
        <w:t xml:space="preserve"> </w:t>
      </w:r>
      <w:r>
        <w:rPr>
          <w:bCs/>
          <w:b/>
        </w:rPr>
        <w:t xml:space="preserve">“</w:t>
      </w:r>
      <w:r>
        <w:rPr>
          <w:bCs/>
          <w:b/>
        </w:rPr>
        <w:t xml:space="preserve">age</w:t>
      </w:r>
      <w:r>
        <w:rPr>
          <w:bCs/>
          <w:b/>
        </w:rPr>
        <w:t xml:space="preserve">”</w:t>
      </w:r>
      <w:r>
        <w:rPr>
          <w:bCs/>
          <w:b/>
        </w:rPr>
        <w:t xml:space="preserve">.</w:t>
      </w:r>
      <w:r>
        <w:rPr>
          <w:bCs/>
          <w:b/>
        </w:rPr>
        <w:t xml:space="preserve"> </w:t>
      </w:r>
    </w:p>
    <w:p>
      <w:pPr>
        <w:numPr>
          <w:ilvl w:val="0"/>
          <w:numId w:val="1158"/>
        </w:numPr>
        <w:pStyle w:val="Compact"/>
      </w:pPr>
      <w:r>
        <w:t xml:space="preserve">Color - age</w:t>
      </w:r>
    </w:p>
    <w:p>
      <w:pPr>
        <w:numPr>
          <w:ilvl w:val="0"/>
          <w:numId w:val="1158"/>
        </w:numPr>
        <w:pStyle w:val="Compact"/>
      </w:pPr>
      <w:r>
        <w:t xml:space="preserve">Include title name for your PcOA plot</w:t>
      </w:r>
    </w:p>
    <w:p>
      <w:pPr>
        <w:numPr>
          <w:ilvl w:val="0"/>
          <w:numId w:val="1158"/>
        </w:numPr>
        <w:pStyle w:val="Compact"/>
      </w:pPr>
      <w:r>
        <w:t xml:space="preserve">Use the following code as a template. To enhance the color range of the age variable, additionally included below (in blue) is the command to specify the color gradient with yellow–to-blue gradient.</w:t>
      </w:r>
    </w:p>
    <w:p>
      <w:pPr>
        <w:numPr>
          <w:ilvl w:val="0"/>
          <w:numId w:val="1158"/>
        </w:numPr>
        <w:pStyle w:val="Compact"/>
      </w:pPr>
      <w:r>
        <w:t xml:space="preserve">Try running the code with and without the scale_colour_gradient() command to appreciate the difference.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2C-1. Paste your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2C-2 Are samples of a similar age similar to each other?</w:t>
            </w:r>
          </w:p>
        </w:tc>
      </w:tr>
      <w:tr>
        <w:tc>
          <w:tcPr/>
          <w:p>
            <w:pPr>
              <w:pStyle w:val="Compact"/>
              <w:jc w:val="left"/>
            </w:pPr>
          </w:p>
        </w:tc>
      </w:tr>
    </w:tbl>
    <w:p>
      <w:pPr>
        <w:pStyle w:val="BodyText"/>
      </w:pPr>
    </w:p>
    <w:bookmarkEnd w:id="342"/>
    <w:bookmarkStart w:id="343" w:name="Xb26c900387b81686f79fad443810f58b1a7fc4e"/>
    <w:p>
      <w:pPr>
        <w:pStyle w:val="Heading3"/>
      </w:pPr>
      <w:r>
        <w:rPr>
          <w:rStyle w:val="SectionNumber"/>
        </w:rPr>
        <w:t xml:space="preserve">5.5.3</w:t>
      </w:r>
      <w:r>
        <w:tab/>
      </w:r>
      <w:r>
        <w:t xml:space="preserve">Step 3. Using the PCoA plot from Step 1, look for any correlations between the shape of your PCoA plot and the level of metabolites.</w:t>
      </w:r>
    </w:p>
    <w:p>
      <w:pPr>
        <w:pStyle w:val="FirstParagraph"/>
      </w:pPr>
      <w:r>
        <w:t xml:space="preserve">How well is your data correlated with the variation in the 5 metabolites: Creatinine, PCS, IS, HIPP, or PAG? Test each metabolite by coloring each metabolite at a time, then, choose your favorite metabolite (e.g. one with most difference) and show the plot below.</w:t>
      </w:r>
    </w:p>
    <w:p>
      <w:pPr>
        <w:numPr>
          <w:ilvl w:val="0"/>
          <w:numId w:val="1159"/>
        </w:numPr>
        <w:pStyle w:val="Compact"/>
      </w:pPr>
      <w:r>
        <w:t xml:space="preserve">Color - metabolite one at a time: Creatinine, PCS, IS, HIPP, PAG</w:t>
      </w:r>
    </w:p>
    <w:p>
      <w:pPr>
        <w:numPr>
          <w:ilvl w:val="0"/>
          <w:numId w:val="1159"/>
        </w:numPr>
        <w:pStyle w:val="Compact"/>
      </w:pPr>
      <w:r>
        <w:t xml:space="preserve">Include a title for your PcOA plot</w:t>
      </w:r>
    </w:p>
    <w:p>
      <w:pPr>
        <w:numPr>
          <w:ilvl w:val="0"/>
          <w:numId w:val="1159"/>
        </w:numPr>
        <w:pStyle w:val="Compact"/>
      </w:pPr>
      <w:r>
        <w:t xml:space="preserve">Use the following code as a template:</w:t>
      </w:r>
    </w:p>
    <w:p>
      <w:pPr>
        <w:pStyle w:val="SourceCode"/>
      </w:pPr>
      <w:r>
        <w:rPr>
          <w:rStyle w:val="CommentTok"/>
        </w:rPr>
        <w:t xml:space="preserve">#Ordinate </w:t>
      </w:r>
      <w:r>
        <w:br/>
      </w:r>
      <w:r>
        <w:rPr>
          <w:rStyle w:val="NormalTok"/>
        </w:rPr>
        <w:t xml:space="preserve">miso.pcoa </w:t>
      </w:r>
      <w:r>
        <w:rPr>
          <w:rStyle w:val="OtherTok"/>
        </w:rPr>
        <w:t xml:space="preserve">&lt;-</w:t>
      </w:r>
      <w:r>
        <w:rPr>
          <w:rStyle w:val="NormalTok"/>
        </w:rPr>
        <w:t xml:space="preserve"> </w:t>
      </w:r>
      <w:r>
        <w:rPr>
          <w:rStyle w:val="FunctionTok"/>
        </w:rPr>
        <w:t xml:space="preserve">ordinate</w:t>
      </w:r>
      <w:r>
        <w:rPr>
          <w:rStyle w:val="NormalTok"/>
        </w:rPr>
        <w:t xml:space="preserve">(miso,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 miso.pcoa,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 </w:t>
      </w:r>
      <w:r>
        <w:rPr>
          <w:rStyle w:val="SpecialCharTok"/>
        </w:rPr>
        <w:t xml:space="preserve">+</w:t>
      </w:r>
      <w:r>
        <w:rPr>
          <w:rStyle w:val="NormalTok"/>
        </w:rPr>
        <w:t xml:space="preserve"> </w:t>
      </w:r>
      <w:r>
        <w:br/>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"blue"</w:t>
      </w:r>
      <w:r>
        <w:rPr>
          <w:rStyle w:val="NormalTok"/>
        </w:rPr>
        <w:t xml:space="preserve">, </w:t>
      </w:r>
      <w:r>
        <w:rPr>
          <w:rStyle w:val="AttributeTok"/>
        </w:rPr>
        <w:t xml:space="preserve">high =</w:t>
      </w:r>
      <w:r>
        <w:rPr>
          <w:rStyle w:val="NormalTok"/>
        </w:rPr>
        <w:t xml:space="preserve"> </w:t>
      </w:r>
      <w:r>
        <w:rPr>
          <w:rStyle w:val="StringTok"/>
        </w:rPr>
        <w:t xml:space="preserve">"yellow"</w:t>
      </w:r>
      <w:r>
        <w:rPr>
          <w:rStyle w:val="NormalTok"/>
        </w:rPr>
        <w:t xml:space="preserv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Paste your metabolite plot(s) below:</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3A-2. Which metabolite did you choose to show and why?</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Are samples of the same metabolite level similar to each other?</w:t>
            </w:r>
          </w:p>
        </w:tc>
      </w:tr>
      <w:tr>
        <w:tc>
          <w:tcPr/>
          <w:p>
            <w:pPr>
              <w:pStyle w:val="Compact"/>
              <w:jc w:val="left"/>
            </w:pPr>
          </w:p>
        </w:tc>
      </w:tr>
    </w:tbl>
    <w:p>
      <w:pPr>
        <w:pStyle w:val="BodyText"/>
      </w:pPr>
    </w:p>
    <w:bookmarkEnd w:id="343"/>
    <w:bookmarkStart w:id="344" w:name="Xa81b0a621064153c4331032af5404a6eb7d19b8"/>
    <w:p>
      <w:pPr>
        <w:pStyle w:val="Heading3"/>
      </w:pPr>
      <w:r>
        <w:rPr>
          <w:rStyle w:val="SectionNumber"/>
        </w:rPr>
        <w:t xml:space="preserve">5.5.4</w:t>
      </w:r>
      <w:r>
        <w:tab/>
      </w:r>
      <w:r>
        <w:t xml:space="preserve">Step 4. One way of checking if the metabolite levels indeed correlate with your data, is to see if subsetting smaller chunks or specific chunks of the data will still maintain the metabolite-data relationship or break it.</w:t>
      </w:r>
    </w:p>
    <w:p>
      <w:pPr>
        <w:pStyle w:val="FirstParagraph"/>
      </w:pPr>
      <w:r>
        <w:t xml:space="preserve">Using the subset() command, subset out e.g. HD diet specifically, and then BD diet. Then, generate new PCoA plots and see if the correlation with your metabolite of interest still holds.</w:t>
      </w:r>
    </w:p>
    <w:p>
      <w:pPr>
        <w:pStyle w:val="BodyText"/>
      </w:pPr>
      <w:r>
        <w:rPr>
          <w:bCs/>
          <w:b/>
        </w:rPr>
        <w:t xml:space="preserve">Step 4A. Subset</w:t>
      </w:r>
      <w:r>
        <w:rPr>
          <w:bCs/>
          <w:b/>
        </w:rPr>
        <w:t xml:space="preserve"> </w:t>
      </w:r>
      <w:r>
        <w:rPr>
          <w:bCs/>
          <w:b/>
        </w:rPr>
        <w:t xml:space="preserve">“</w:t>
      </w:r>
      <w:r>
        <w:rPr>
          <w:bCs/>
          <w:b/>
        </w:rPr>
        <w:t xml:space="preserve">HD</w:t>
      </w:r>
      <w:r>
        <w:rPr>
          <w:bCs/>
          <w:b/>
        </w:rPr>
        <w:t xml:space="preserve">”</w:t>
      </w:r>
      <w:r>
        <w:rPr>
          <w:bCs/>
          <w:b/>
        </w:rPr>
        <w:t xml:space="preserve">, ordinate on</w:t>
      </w:r>
      <w:r>
        <w:rPr>
          <w:bCs/>
          <w:b/>
        </w:rPr>
        <w:t xml:space="preserve"> </w:t>
      </w:r>
      <w:r>
        <w:rPr>
          <w:bCs/>
          <w:b/>
        </w:rPr>
        <w:t xml:space="preserve">“</w:t>
      </w:r>
      <w:r>
        <w:rPr>
          <w:bCs/>
          <w:b/>
        </w:rPr>
        <w:t xml:space="preserve">HD</w:t>
      </w:r>
      <w:r>
        <w:rPr>
          <w:bCs/>
          <w:b/>
        </w:rPr>
        <w:t xml:space="preserve">”</w:t>
      </w:r>
      <w:r>
        <w:rPr>
          <w:bCs/>
          <w:b/>
        </w:rPr>
        <w:t xml:space="preserve">, and make a new PCoA plot.</w:t>
      </w:r>
    </w:p>
    <w:p>
      <w:pPr>
        <w:numPr>
          <w:ilvl w:val="0"/>
          <w:numId w:val="1160"/>
        </w:numPr>
        <w:pStyle w:val="Compact"/>
      </w:pPr>
      <w:r>
        <w:t xml:space="preserve">Subset data - by the diet</w:t>
      </w:r>
      <w:r>
        <w:t xml:space="preserve"> </w:t>
      </w:r>
      <w:r>
        <w:t xml:space="preserve">“</w:t>
      </w:r>
      <w:r>
        <w:t xml:space="preserve">HD</w:t>
      </w:r>
      <w:r>
        <w:t xml:space="preserve">”</w:t>
      </w:r>
    </w:p>
    <w:p>
      <w:pPr>
        <w:numPr>
          <w:ilvl w:val="0"/>
          <w:numId w:val="1160"/>
        </w:numPr>
        <w:pStyle w:val="Compact"/>
      </w:pPr>
      <w:r>
        <w:t xml:space="preserve">Ordinate - misoHD</w:t>
      </w:r>
    </w:p>
    <w:p>
      <w:pPr>
        <w:numPr>
          <w:ilvl w:val="0"/>
          <w:numId w:val="1160"/>
        </w:numPr>
        <w:pStyle w:val="Compact"/>
      </w:pPr>
      <w:r>
        <w:t xml:space="preserve">Color - by your selected metabolite from part 3</w:t>
      </w:r>
    </w:p>
    <w:p>
      <w:pPr>
        <w:numPr>
          <w:ilvl w:val="0"/>
          <w:numId w:val="1160"/>
        </w:numPr>
        <w:pStyle w:val="Compact"/>
      </w:pPr>
      <w:r>
        <w:t xml:space="preserve">Include a title for your PcOA plot</w:t>
      </w:r>
    </w:p>
    <w:p>
      <w:pPr>
        <w:numPr>
          <w:ilvl w:val="0"/>
          <w:numId w:val="1160"/>
        </w:numPr>
        <w:pStyle w:val="Compact"/>
      </w:pPr>
      <w:r>
        <w:t xml:space="preserve">Use the following code as a template:</w:t>
      </w:r>
    </w:p>
    <w:p>
      <w:pPr>
        <w:pStyle w:val="SourceCode"/>
      </w:pPr>
      <w:r>
        <w:rPr>
          <w:rStyle w:val="CommentTok"/>
        </w:rPr>
        <w:t xml:space="preserve">#Subset only “HD” timepoint from your miso data, creating a new phyloseq object called “misoHD”</w:t>
      </w:r>
      <w:r>
        <w:br/>
      </w:r>
      <w:r>
        <w:rPr>
          <w:rStyle w:val="NormalTok"/>
        </w:rPr>
        <w:t xml:space="preserve">misoHD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 </w:t>
      </w:r>
      <w:r>
        <w:br/>
      </w:r>
      <w:r>
        <w:br/>
      </w:r>
      <w:r>
        <w:rPr>
          <w:rStyle w:val="CommentTok"/>
        </w:rPr>
        <w:t xml:space="preserve">#Ordinate using only “HD” subset, creating a new ordination matrix called “pcoa.misoHD”</w:t>
      </w:r>
      <w:r>
        <w:br/>
      </w:r>
      <w:r>
        <w:rPr>
          <w:rStyle w:val="NormalTok"/>
        </w:rPr>
        <w:t xml:space="preserve">pcoa.misoHD </w:t>
      </w:r>
      <w:r>
        <w:rPr>
          <w:rStyle w:val="OtherTok"/>
        </w:rPr>
        <w:t xml:space="preserve">&lt;-</w:t>
      </w:r>
      <w:r>
        <w:rPr>
          <w:rStyle w:val="NormalTok"/>
        </w:rPr>
        <w:t xml:space="preserve"> </w:t>
      </w:r>
      <w:r>
        <w:rPr>
          <w:rStyle w:val="FunctionTok"/>
        </w:rPr>
        <w:t xml:space="preserve">ordinate</w:t>
      </w:r>
      <w:r>
        <w:rPr>
          <w:rStyle w:val="NormalTok"/>
        </w:rPr>
        <w:t xml:space="preserve">(misoHD,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CommentTok"/>
        </w:rPr>
        <w:t xml:space="preserve">#Make a PCoA plot using your  “HD” subset.</w:t>
      </w:r>
      <w:r>
        <w:br/>
      </w:r>
      <w:r>
        <w:rPr>
          <w:rStyle w:val="FunctionTok"/>
        </w:rPr>
        <w:t xml:space="preserve">plot_ordination</w:t>
      </w:r>
      <w:r>
        <w:rPr>
          <w:rStyle w:val="NormalTok"/>
        </w:rPr>
        <w:t xml:space="preserve">(misoHD, pcoa.misoHD,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4A-1. Paste your plot below for HD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4A-2 Are samples of the same metabolite level similar to each other considering only samples from the HD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4A-3 Has the relationship between the metabolite and samples changed within the HD diet compared to the entire dataset? (ex. Have any new patterns emerged or disappeared?)</w:t>
            </w:r>
          </w:p>
        </w:tc>
      </w:tr>
      <w:tr>
        <w:tc>
          <w:tcPr/>
          <w:p>
            <w:pPr>
              <w:pStyle w:val="Compact"/>
              <w:jc w:val="left"/>
            </w:pPr>
          </w:p>
        </w:tc>
      </w:tr>
    </w:tbl>
    <w:p>
      <w:pPr>
        <w:pStyle w:val="BodyText"/>
      </w:pPr>
      <w:r>
        <w:rPr>
          <w:bCs/>
          <w:b/>
        </w:rPr>
        <w:t xml:space="preserve">Step 4B. Repeat the analysis on only the BD diet samples. Subset</w:t>
      </w:r>
      <w:r>
        <w:rPr>
          <w:bCs/>
          <w:b/>
        </w:rPr>
        <w:t xml:space="preserve"> </w:t>
      </w:r>
      <w:r>
        <w:rPr>
          <w:bCs/>
          <w:b/>
        </w:rPr>
        <w:t xml:space="preserve">“</w:t>
      </w:r>
      <w:r>
        <w:rPr>
          <w:bCs/>
          <w:b/>
        </w:rPr>
        <w:t xml:space="preserve">BD</w:t>
      </w:r>
      <w:r>
        <w:rPr>
          <w:bCs/>
          <w:b/>
        </w:rPr>
        <w:t xml:space="preserve">”</w:t>
      </w:r>
      <w:r>
        <w:rPr>
          <w:bCs/>
          <w:b/>
        </w:rPr>
        <w:t xml:space="preserve">, ordinate on</w:t>
      </w:r>
      <w:r>
        <w:rPr>
          <w:bCs/>
          <w:b/>
        </w:rPr>
        <w:t xml:space="preserve"> </w:t>
      </w:r>
      <w:r>
        <w:rPr>
          <w:bCs/>
          <w:b/>
        </w:rPr>
        <w:t xml:space="preserve">“</w:t>
      </w:r>
      <w:r>
        <w:rPr>
          <w:bCs/>
          <w:b/>
        </w:rPr>
        <w:t xml:space="preserve">BD</w:t>
      </w:r>
      <w:r>
        <w:rPr>
          <w:bCs/>
          <w:b/>
        </w:rPr>
        <w:t xml:space="preserve">”</w:t>
      </w:r>
      <w:r>
        <w:rPr>
          <w:bCs/>
          <w:b/>
        </w:rPr>
        <w:t xml:space="preserve">, and make a new PCoA plot.</w:t>
      </w:r>
    </w:p>
    <w:p>
      <w:pPr>
        <w:numPr>
          <w:ilvl w:val="0"/>
          <w:numId w:val="1161"/>
        </w:numPr>
        <w:pStyle w:val="Compact"/>
      </w:pPr>
      <w:r>
        <w:t xml:space="preserve">Subset data - by the diet</w:t>
      </w:r>
      <w:r>
        <w:t xml:space="preserve"> </w:t>
      </w:r>
      <w:r>
        <w:t xml:space="preserve">“</w:t>
      </w:r>
      <w:r>
        <w:t xml:space="preserve">BD</w:t>
      </w:r>
      <w:r>
        <w:t xml:space="preserve">”</w:t>
      </w:r>
    </w:p>
    <w:p>
      <w:pPr>
        <w:numPr>
          <w:ilvl w:val="0"/>
          <w:numId w:val="1161"/>
        </w:numPr>
        <w:pStyle w:val="Compact"/>
      </w:pPr>
      <w:r>
        <w:t xml:space="preserve">Ordinate - misoBD</w:t>
      </w:r>
    </w:p>
    <w:p>
      <w:pPr>
        <w:numPr>
          <w:ilvl w:val="0"/>
          <w:numId w:val="1161"/>
        </w:numPr>
        <w:pStyle w:val="Compact"/>
      </w:pPr>
      <w:r>
        <w:t xml:space="preserve">Color - by your selected metabolite from part 3</w:t>
      </w:r>
    </w:p>
    <w:p>
      <w:pPr>
        <w:numPr>
          <w:ilvl w:val="0"/>
          <w:numId w:val="1161"/>
        </w:numPr>
        <w:pStyle w:val="Compact"/>
      </w:pPr>
      <w:r>
        <w:t xml:space="preserve">Include a title for your PcOA plot</w:t>
      </w:r>
    </w:p>
    <w:p>
      <w:pPr>
        <w:numPr>
          <w:ilvl w:val="0"/>
          <w:numId w:val="1161"/>
        </w:numPr>
        <w:pStyle w:val="Compact"/>
      </w:pPr>
      <w:r>
        <w:t xml:space="preserve">Use the code below as a template.</w:t>
      </w:r>
    </w:p>
    <w:p>
      <w:pPr>
        <w:pStyle w:val="SourceCode"/>
      </w:pPr>
      <w:r>
        <w:rPr>
          <w:rStyle w:val="NormalTok"/>
        </w:rPr>
        <w:t xml:space="preserve">misoBD </w:t>
      </w:r>
      <w:r>
        <w:rPr>
          <w:rStyle w:val="OtherTok"/>
        </w:rPr>
        <w:t xml:space="preserve">=</w:t>
      </w:r>
      <w:r>
        <w:rPr>
          <w:rStyle w:val="NormalTok"/>
        </w:rPr>
        <w:t xml:space="preserve"> </w:t>
      </w:r>
      <w:r>
        <w:rPr>
          <w:rStyle w:val="FunctionTok"/>
        </w:rPr>
        <w:t xml:space="preserve">subset_samples</w:t>
      </w:r>
      <w:r>
        <w:rPr>
          <w:rStyle w:val="NormalTok"/>
        </w:rPr>
        <w:t xml:space="preserve">(miso,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NormalTok"/>
        </w:rPr>
        <w:t xml:space="preserve">pcoa.misoBD </w:t>
      </w:r>
      <w:r>
        <w:rPr>
          <w:rStyle w:val="OtherTok"/>
        </w:rPr>
        <w:t xml:space="preserve">&lt;-</w:t>
      </w:r>
      <w:r>
        <w:rPr>
          <w:rStyle w:val="NormalTok"/>
        </w:rPr>
        <w:t xml:space="preserve"> </w:t>
      </w:r>
      <w:r>
        <w:rPr>
          <w:rStyle w:val="FunctionTok"/>
        </w:rPr>
        <w:t xml:space="preserve">ordinate</w:t>
      </w:r>
      <w:r>
        <w:rPr>
          <w:rStyle w:val="NormalTok"/>
        </w:rPr>
        <w:t xml:space="preserve">(misoBD, </w:t>
      </w:r>
      <w:r>
        <w:rPr>
          <w:rStyle w:val="AttributeTok"/>
        </w:rPr>
        <w:t xml:space="preserve">method=</w:t>
      </w:r>
      <w:r>
        <w:rPr>
          <w:rStyle w:val="StringTok"/>
        </w:rPr>
        <w:t xml:space="preserve">"PCoA"</w:t>
      </w:r>
      <w:r>
        <w:rPr>
          <w:rStyle w:val="NormalTok"/>
        </w:rPr>
        <w:t xml:space="preserve">, </w:t>
      </w:r>
      <w:r>
        <w:rPr>
          <w:rStyle w:val="AttributeTok"/>
        </w:rPr>
        <w:t xml:space="preserve">distance=</w:t>
      </w:r>
      <w:r>
        <w:rPr>
          <w:rStyle w:val="StringTok"/>
        </w:rPr>
        <w:t xml:space="preserve">"bray"</w:t>
      </w:r>
      <w:r>
        <w:rPr>
          <w:rStyle w:val="NormalTok"/>
        </w:rPr>
        <w:t xml:space="preserve">) </w:t>
      </w:r>
      <w:r>
        <w:br/>
      </w:r>
      <w:r>
        <w:br/>
      </w:r>
      <w:r>
        <w:rPr>
          <w:rStyle w:val="FunctionTok"/>
        </w:rPr>
        <w:t xml:space="preserve">plot_ordination</w:t>
      </w:r>
      <w:r>
        <w:rPr>
          <w:rStyle w:val="NormalTok"/>
        </w:rPr>
        <w:t xml:space="preserve">(misoBD, pcoa.misoBD, </w:t>
      </w:r>
      <w:r>
        <w:br/>
      </w:r>
      <w:r>
        <w:rPr>
          <w:rStyle w:val="NormalTok"/>
        </w:rPr>
        <w:t xml:space="preserve">        </w:t>
      </w:r>
      <w:r>
        <w:rPr>
          <w:rStyle w:val="AttributeTok"/>
        </w:rPr>
        <w:t xml:space="preserve">color =</w:t>
      </w:r>
      <w:r>
        <w:rPr>
          <w:rStyle w:val="NormalTok"/>
        </w:rPr>
        <w:t xml:space="preserve"> </w:t>
      </w:r>
      <w:r>
        <w:rPr>
          <w:rStyle w:val="StringTok"/>
        </w:rPr>
        <w:t xml:space="preserve">"fill in the blank"</w:t>
      </w:r>
      <w:r>
        <w:rPr>
          <w:rStyle w:val="NormalTok"/>
        </w:rPr>
        <w:t xml:space="preserve">, </w:t>
      </w:r>
      <w:r>
        <w:br/>
      </w:r>
      <w:r>
        <w:rPr>
          <w:rStyle w:val="NormalTok"/>
        </w:rPr>
        <w:t xml:space="preserve">        </w:t>
      </w:r>
      <w:r>
        <w:rPr>
          <w:rStyle w:val="AttributeTok"/>
        </w:rPr>
        <w:t xml:space="preserve">title=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4B-1. Paste your plot below for BD subset: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4B-2 Are samples of the same metabolite level similar to each other considering only samples from the BD diet?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4B-3 Has the relationship between the metabolite and samples changed within the BD diet compared to the entire dataset? (ex. Have any new patterns emerged or disappeared?)</w:t>
            </w:r>
          </w:p>
        </w:tc>
      </w:tr>
      <w:tr>
        <w:tc>
          <w:tcPr/>
          <w:p>
            <w:pPr>
              <w:pStyle w:val="Compact"/>
              <w:jc w:val="left"/>
            </w:pPr>
          </w:p>
        </w:tc>
      </w:tr>
    </w:tbl>
    <w:bookmarkEnd w:id="344"/>
    <w:bookmarkStart w:id="347" w:name="footnotes-14"/>
    <w:p>
      <w:pPr>
        <w:pStyle w:val="Heading3"/>
      </w:pPr>
      <w:r>
        <w:rPr>
          <w:rStyle w:val="SectionNumber"/>
        </w:rPr>
        <w:t xml:space="preserve">5.5.5</w:t>
      </w:r>
      <w:r>
        <w:tab/>
      </w:r>
      <w:r>
        <w:t xml:space="preserve">Footnotes</w:t>
      </w:r>
    </w:p>
    <w:bookmarkStart w:id="345" w:name="resources-18"/>
    <w:p>
      <w:pPr>
        <w:pStyle w:val="Heading4"/>
      </w:pPr>
      <w:r>
        <w:rPr>
          <w:rStyle w:val="SectionNumber"/>
        </w:rPr>
        <w:t xml:space="preserve">5.5.5.1</w:t>
      </w:r>
      <w:r>
        <w:tab/>
      </w:r>
      <w:r>
        <w:t xml:space="preserve">Resources</w:t>
      </w:r>
    </w:p>
    <w:p>
      <w:pPr>
        <w:numPr>
          <w:ilvl w:val="0"/>
          <w:numId w:val="1162"/>
        </w:numPr>
        <w:pStyle w:val="Compact"/>
      </w:pPr>
      <w:hyperlink r:id="rId327">
        <w:r>
          <w:rPr>
            <w:rStyle w:val="Hyperlink"/>
          </w:rPr>
          <w:t xml:space="preserve">Google Doc</w:t>
        </w:r>
      </w:hyperlink>
    </w:p>
    <w:p>
      <w:pPr>
        <w:numPr>
          <w:ilvl w:val="0"/>
          <w:numId w:val="1162"/>
        </w:numPr>
        <w:pStyle w:val="Compact"/>
      </w:pPr>
      <w:hyperlink r:id="rId271">
        <w:r>
          <w:rPr>
            <w:rStyle w:val="Hyperlink"/>
          </w:rPr>
          <w:t xml:space="preserve">16S rRNA R Quick Reference</w:t>
        </w:r>
      </w:hyperlink>
    </w:p>
    <w:bookmarkEnd w:id="345"/>
    <w:bookmarkStart w:id="346" w:name="contributions-and-affiliations-14"/>
    <w:p>
      <w:pPr>
        <w:pStyle w:val="Heading4"/>
      </w:pPr>
      <w:r>
        <w:rPr>
          <w:rStyle w:val="SectionNumber"/>
        </w:rPr>
        <w:t xml:space="preserve">5.5.5.2</w:t>
      </w:r>
      <w:r>
        <w:tab/>
      </w:r>
      <w:r>
        <w:t xml:space="preserve">Contributions and affiliations</w:t>
      </w:r>
    </w:p>
    <w:p>
      <w:pPr>
        <w:numPr>
          <w:ilvl w:val="0"/>
          <w:numId w:val="1163"/>
        </w:numPr>
        <w:pStyle w:val="Compact"/>
      </w:pPr>
      <w:r>
        <w:t xml:space="preserve">Valeriya Gaysinskaya, Johns Hopkins University</w:t>
      </w:r>
    </w:p>
    <w:p>
      <w:pPr>
        <w:numPr>
          <w:ilvl w:val="0"/>
          <w:numId w:val="1163"/>
        </w:numPr>
        <w:pStyle w:val="Compact"/>
      </w:pPr>
      <w:r>
        <w:t xml:space="preserve">Gauri Paul, Clovis Community College</w:t>
      </w:r>
    </w:p>
    <w:p>
      <w:pPr>
        <w:numPr>
          <w:ilvl w:val="0"/>
          <w:numId w:val="1163"/>
        </w:numPr>
        <w:pStyle w:val="Compact"/>
      </w:pPr>
      <w:r>
        <w:t xml:space="preserve">Frederick Tan, Johns Hopkins University</w:t>
      </w:r>
    </w:p>
    <w:p>
      <w:pPr>
        <w:numPr>
          <w:ilvl w:val="0"/>
          <w:numId w:val="1163"/>
        </w:numPr>
        <w:pStyle w:val="Compact"/>
      </w:pPr>
      <w:r>
        <w:t xml:space="preserve">Sayumi York, Notre Dame of Maryland University</w:t>
      </w:r>
    </w:p>
    <w:bookmarkEnd w:id="346"/>
    <w:bookmarkEnd w:id="347"/>
    <w:bookmarkEnd w:id="348"/>
    <w:bookmarkStart w:id="355" w:name="X595ac7e568229e6fc777f68597beefe0ba51994"/>
    <w:p>
      <w:pPr>
        <w:pStyle w:val="Heading2"/>
      </w:pPr>
      <w:r>
        <w:rPr>
          <w:rStyle w:val="SectionNumber"/>
        </w:rPr>
        <w:t xml:space="preserve">5.6</w:t>
      </w:r>
      <w:r>
        <w:tab/>
      </w:r>
      <w:r>
        <w:t xml:space="preserve">Try it Question 3 - What microbes (ASVs) differ between males and females, and does age have an impact</w:t>
      </w:r>
    </w:p>
    <w:p>
      <w:pPr>
        <w:pStyle w:val="FirstParagraph"/>
      </w:pPr>
      <w:r>
        <w:t xml:space="preserve">Approach: Perform DESeq analysis between females and males and determine how many differentially abundant microbes are there between the sexes. Then examine if age has a further impact on the abundance of the microbes between the sexes.</w:t>
      </w:r>
    </w:p>
    <w:bookmarkStart w:id="349" w:name="Xd507241b7910661e2cc6426c8de0d60c4521a74"/>
    <w:p>
      <w:pPr>
        <w:pStyle w:val="Heading3"/>
      </w:pPr>
      <w:r>
        <w:rPr>
          <w:rStyle w:val="SectionNumber"/>
        </w:rPr>
        <w:t xml:space="preserve">5.6.1</w:t>
      </w:r>
      <w:r>
        <w:tab/>
      </w:r>
      <w:r>
        <w:t xml:space="preserve">Step 3A. Perform differential abundance analysis between genders.</w:t>
      </w:r>
    </w:p>
    <w:p>
      <w:pPr>
        <w:numPr>
          <w:ilvl w:val="0"/>
          <w:numId w:val="1164"/>
        </w:numPr>
      </w:pPr>
      <w:r>
        <w:t xml:space="preserve">Design - is based on gender (no double quotes)</w:t>
      </w:r>
    </w:p>
    <w:p>
      <w:pPr>
        <w:numPr>
          <w:ilvl w:val="0"/>
          <w:numId w:val="1164"/>
        </w:numPr>
      </w:pPr>
      <w:r>
        <w:t xml:space="preserve">Groups to compare - females, F and males, M (baseline)</w:t>
      </w:r>
    </w:p>
    <w:p>
      <w:pPr>
        <w:numPr>
          <w:ilvl w:val="0"/>
          <w:numId w:val="1164"/>
        </w:numPr>
      </w:pPr>
      <w:r>
        <w:t xml:space="preserve">Plot Phylum on the X-axis and color by Class</w:t>
      </w:r>
    </w:p>
    <w:p>
      <w:pPr>
        <w:numPr>
          <w:ilvl w:val="0"/>
          <w:numId w:val="1164"/>
        </w:numPr>
      </w:pPr>
      <w:r>
        <w:t xml:space="preserve">Make sure your graph has a title that includes the comparison you are making (ex. WO vs HD)</w:t>
      </w:r>
    </w:p>
    <w:p>
      <w:pPr>
        <w:numPr>
          <w:ilvl w:val="0"/>
          <w:numId w:val="116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64"/>
        </w:numPr>
      </w:pPr>
      <w:r>
        <w:t xml:space="preserve">Use the code below as a template:</w:t>
      </w:r>
    </w:p>
    <w:p>
      <w:pPr>
        <w:pStyle w:val="SourceCode"/>
      </w:pP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3A-3. Give an example of a differentially abundant ASVs that was significantly higher in females than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3A-4. Look up this microbe. What function does it serve in the human gut, and how might its abundance be connected to gender?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3A-5. Give an example of a differentially abundant ASVs that was significantly higher in males than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3A-6. Look up this microbe. What function does it serve in the human gut, and how might its abundance be connected to gender?</w:t>
            </w:r>
          </w:p>
        </w:tc>
      </w:tr>
      <w:tr>
        <w:tc>
          <w:tcPr/>
          <w:p>
            <w:pPr>
              <w:pStyle w:val="Compact"/>
              <w:jc w:val="left"/>
            </w:pPr>
          </w:p>
        </w:tc>
      </w:tr>
    </w:tbl>
    <w:bookmarkEnd w:id="349"/>
    <w:bookmarkStart w:id="350" w:name="X79916a6b28072c69ac15d7943d38357558bb002"/>
    <w:p>
      <w:pPr>
        <w:pStyle w:val="Heading3"/>
      </w:pPr>
      <w:r>
        <w:rPr>
          <w:rStyle w:val="SectionNumber"/>
        </w:rPr>
        <w:t xml:space="preserve">5.6.2</w:t>
      </w:r>
      <w:r>
        <w:tab/>
      </w:r>
      <w:r>
        <w:t xml:space="preserve">Step 3B. Determine the impact of younger age on differential abundance in males and females, by subsetting age &lt; 50 data from the phyloseq object, and performing DESeq2 analysis on this subset.</w:t>
      </w:r>
    </w:p>
    <w:p>
      <w:pPr>
        <w:numPr>
          <w:ilvl w:val="0"/>
          <w:numId w:val="1165"/>
        </w:numPr>
        <w:pStyle w:val="Compact"/>
      </w:pPr>
      <w:r>
        <w:t xml:space="preserve">Subset phyloseq object to only include younger individuals (age &lt; 50)</w:t>
      </w:r>
    </w:p>
    <w:p>
      <w:pPr>
        <w:numPr>
          <w:ilvl w:val="0"/>
          <w:numId w:val="1165"/>
        </w:numPr>
        <w:pStyle w:val="Compact"/>
      </w:pPr>
      <w:r>
        <w:t xml:space="preserve">For DESeq2 analysis, keep the design the same as in part A - based on gender</w:t>
      </w:r>
    </w:p>
    <w:p>
      <w:pPr>
        <w:numPr>
          <w:ilvl w:val="0"/>
          <w:numId w:val="1165"/>
        </w:numPr>
        <w:pStyle w:val="Compact"/>
      </w:pPr>
      <w:r>
        <w:t xml:space="preserve">Groups to compare: females (F) and males (M, baseline)</w:t>
      </w:r>
    </w:p>
    <w:p>
      <w:pPr>
        <w:numPr>
          <w:ilvl w:val="0"/>
          <w:numId w:val="1165"/>
        </w:numPr>
        <w:pStyle w:val="Compact"/>
      </w:pPr>
      <w:r>
        <w:t xml:space="preserve">Plot Phylum on the X-axis and color by Class</w:t>
      </w:r>
    </w:p>
    <w:p>
      <w:pPr>
        <w:numPr>
          <w:ilvl w:val="0"/>
          <w:numId w:val="1165"/>
        </w:numPr>
        <w:pStyle w:val="Compact"/>
      </w:pPr>
      <w:r>
        <w:t xml:space="preserve">Use template code below:</w:t>
      </w:r>
    </w:p>
    <w:p>
      <w:pPr>
        <w:pStyle w:val="SourceCode"/>
      </w:pPr>
      <w:r>
        <w:rPr>
          <w:rStyle w:val="CommentTok"/>
        </w:rPr>
        <w:t xml:space="preserve"># STEP 1: subset by age &lt; 50</w:t>
      </w:r>
      <w:r>
        <w:br/>
      </w:r>
      <w:r>
        <w:rPr>
          <w:rStyle w:val="NormalTok"/>
        </w:rPr>
        <w:t xml:space="preserve">ageA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&lt;</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(ageA,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3B-1. Insert the resulting plot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3B-2. How many differentially abundant ASVs were identified?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3B-3. Give an example of a differentially abundant ASVs that was significantly higher in younger females than younger males. Include ASV ID and taxa. HINT: If male was your baseline, then an example of an ASV that is higher in females will have a positive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3B-4. Give an example of a differentially abundant ASVs that was significantly higher in younger males than younger females. Include ASV ID and taxa. HINT: If male was your baseline, then an example of an ASV that is higher in males will have a negative log2FC, and vice versa if female was your baseline group. Use the arrows in the header row of the table to scroll through the taxonomy of an ASV.</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3B-5. Compared to the overall dataset, do younger individuals have more or less differentially abundant microbes between genders?</w:t>
            </w:r>
          </w:p>
        </w:tc>
      </w:tr>
      <w:tr>
        <w:tc>
          <w:tcPr/>
          <w:p>
            <w:pPr>
              <w:pStyle w:val="Compact"/>
              <w:jc w:val="left"/>
            </w:pPr>
          </w:p>
        </w:tc>
      </w:tr>
    </w:tbl>
    <w:bookmarkEnd w:id="350"/>
    <w:bookmarkStart w:id="351" w:name="X2d2d6babfb94edafc1b96bec6735622172a6a35"/>
    <w:p>
      <w:pPr>
        <w:pStyle w:val="Heading3"/>
      </w:pPr>
      <w:r>
        <w:rPr>
          <w:rStyle w:val="SectionNumber"/>
        </w:rPr>
        <w:t xml:space="preserve">5.6.3</w:t>
      </w:r>
      <w:r>
        <w:tab/>
      </w:r>
      <w:r>
        <w:t xml:space="preserve">Step 3C. Determine the impact of older age on differential abundance in males and females, by subsetting age &gt;= 50 data from the phyloseq object, and performing DESeq2 analysis on this subset.</w:t>
      </w:r>
    </w:p>
    <w:p>
      <w:pPr>
        <w:numPr>
          <w:ilvl w:val="0"/>
          <w:numId w:val="1166"/>
        </w:numPr>
        <w:pStyle w:val="Compact"/>
      </w:pPr>
      <w:r>
        <w:t xml:space="preserve">You can use template code below:</w:t>
      </w:r>
    </w:p>
    <w:p>
      <w:pPr>
        <w:pStyle w:val="SourceCode"/>
      </w:pPr>
      <w:r>
        <w:rPr>
          <w:rStyle w:val="CommentTok"/>
        </w:rPr>
        <w:t xml:space="preserve"># STEP 1: subset by age &gt;=  50</w:t>
      </w:r>
      <w:r>
        <w:br/>
      </w:r>
      <w:r>
        <w:rPr>
          <w:rStyle w:val="NormalTok"/>
        </w:rPr>
        <w:t xml:space="preserve">ageB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NormalTok"/>
        </w:rPr>
        <w:t xml:space="preserve"> </w:t>
      </w:r>
      <w:r>
        <w:rPr>
          <w:rStyle w:val="DecValTok"/>
        </w:rPr>
        <w:t xml:space="preserve">50</w:t>
      </w:r>
      <w:r>
        <w:rPr>
          <w:rStyle w:val="NormalTok"/>
        </w:rPr>
        <w:t xml:space="preserve">) </w:t>
      </w:r>
      <w:r>
        <w:br/>
      </w:r>
      <w:r>
        <w:br/>
      </w:r>
      <w:r>
        <w:rPr>
          <w:rStyle w:val="CommentTok"/>
        </w:rPr>
        <w:t xml:space="preserve"># STEP 2: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(ageB, </w:t>
      </w:r>
      <w:r>
        <w:rPr>
          <w:rStyle w:val="AttributeTok"/>
        </w:rPr>
        <w:t xml:space="preserve">design =</w:t>
      </w:r>
      <w:r>
        <w:rPr>
          <w:rStyle w:val="NormalTok"/>
        </w:rPr>
        <w:t xml:space="preserve"> </w:t>
      </w:r>
      <w:r>
        <w:rPr>
          <w:rStyle w:val="SpecialCharTok"/>
        </w:rPr>
        <w:t xml:space="preserve">~</w:t>
      </w:r>
      <w:r>
        <w:rPr>
          <w:rStyle w:val="NormalTok"/>
        </w:rPr>
        <w:t xml:space="preserve"> fill </w:t>
      </w:r>
      <w:r>
        <w:rPr>
          <w:rStyle w:val="ControlFlowTok"/>
        </w:rPr>
        <w:t xml:space="preserve">in</w:t>
      </w:r>
      <w:r>
        <w:rPr>
          <w:rStyle w:val="NormalTok"/>
        </w:rPr>
        <w:t xml:space="preserve"> the blank)</w:t>
      </w:r>
      <w:r>
        <w:br/>
      </w:r>
      <w:r>
        <w:br/>
      </w:r>
      <w:r>
        <w:rPr>
          <w:rStyle w:val="CommentTok"/>
        </w:rPr>
        <w:t xml:space="preserve"># STEP 3: Select the groups to compare, where log2FoldChange reported will correspond to  y/x.</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"fill in the blank"</w:t>
      </w:r>
      <w:r>
        <w:rPr>
          <w:rStyle w:val="NormalTok"/>
        </w:rPr>
        <w:t xml:space="preserve">, </w:t>
      </w:r>
      <w:r>
        <w:rPr>
          <w:rStyle w:val="StringTok"/>
        </w:rPr>
        <w:t xml:space="preserve">"fill in the blank"</w:t>
      </w:r>
      <w:r>
        <w:rPr>
          <w:rStyle w:val="NormalTok"/>
        </w:rPr>
        <w:t xml:space="preserve">)</w:t>
      </w:r>
      <w:r>
        <w:br/>
      </w:r>
      <w:r>
        <w:br/>
      </w:r>
      <w:r>
        <w:rPr>
          <w:rStyle w:val="CommentTok"/>
        </w:rPr>
        <w:t xml:space="preserve"># STEP 4: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5: Retrieve the list of ASVs with a significant difference in abundance between the chosen groups</w:t>
      </w:r>
      <w:r>
        <w:br/>
      </w:r>
      <w:r>
        <w:rPr>
          <w:rStyle w:val="NormalTok"/>
        </w:rPr>
        <w:t xml:space="preserve">Significant_DEseq2_ASVs</w:t>
      </w:r>
      <w:r>
        <w:br/>
      </w:r>
      <w:r>
        <w:br/>
      </w:r>
      <w:r>
        <w:rPr>
          <w:rStyle w:val="CommentTok"/>
        </w:rPr>
        <w:t xml:space="preserve"># STEP 6: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fill </w:t>
      </w:r>
      <w:r>
        <w:rPr>
          <w:rStyle w:val="ControlFlowTok"/>
        </w:rPr>
        <w:t xml:space="preserve">in</w:t>
      </w:r>
      <w:r>
        <w:rPr>
          <w:rStyle w:val="NormalTok"/>
        </w:rPr>
        <w:t xml:space="preserve"> the blank,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AttributeTok"/>
        </w:rPr>
        <w:t xml:space="preserve">position =</w:t>
      </w:r>
      <w:r>
        <w:rPr>
          <w:rStyle w:val="NormalTok"/>
        </w:rPr>
        <w:t xml:space="preserve"> </w:t>
      </w:r>
      <w:r>
        <w:rPr>
          <w:rStyle w:val="StringTok"/>
        </w:rPr>
        <w:t xml:space="preserve">"jitter"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3C-1.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3C-3. Compared to the overall dataset, do older individuals have more or less differentially abundant microbes between genders?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3C-4. Compare all the plots you have made. Give a specific example of one difference you see.</w:t>
            </w:r>
          </w:p>
        </w:tc>
      </w:tr>
      <w:tr>
        <w:tc>
          <w:tcPr/>
          <w:p>
            <w:pPr>
              <w:pStyle w:val="Compact"/>
              <w:jc w:val="left"/>
            </w:pPr>
          </w:p>
        </w:tc>
      </w:tr>
    </w:tbl>
    <w:bookmarkEnd w:id="351"/>
    <w:bookmarkStart w:id="354" w:name="footnotes-15"/>
    <w:p>
      <w:pPr>
        <w:pStyle w:val="Heading3"/>
      </w:pPr>
      <w:r>
        <w:rPr>
          <w:rStyle w:val="SectionNumber"/>
        </w:rPr>
        <w:t xml:space="preserve">5.6.4</w:t>
      </w:r>
      <w:r>
        <w:tab/>
      </w:r>
      <w:r>
        <w:t xml:space="preserve">Footnotes</w:t>
      </w:r>
    </w:p>
    <w:bookmarkStart w:id="352" w:name="resources-19"/>
    <w:p>
      <w:pPr>
        <w:pStyle w:val="Heading4"/>
      </w:pPr>
      <w:r>
        <w:rPr>
          <w:rStyle w:val="SectionNumber"/>
        </w:rPr>
        <w:t xml:space="preserve">5.6.4.1</w:t>
      </w:r>
      <w:r>
        <w:tab/>
      </w:r>
      <w:r>
        <w:t xml:space="preserve">Resources</w:t>
      </w:r>
    </w:p>
    <w:p>
      <w:pPr>
        <w:numPr>
          <w:ilvl w:val="0"/>
          <w:numId w:val="1167"/>
        </w:numPr>
        <w:pStyle w:val="Compact"/>
      </w:pPr>
      <w:hyperlink r:id="rId327">
        <w:r>
          <w:rPr>
            <w:rStyle w:val="Hyperlink"/>
          </w:rPr>
          <w:t xml:space="preserve">Google Doc</w:t>
        </w:r>
      </w:hyperlink>
    </w:p>
    <w:p>
      <w:pPr>
        <w:numPr>
          <w:ilvl w:val="0"/>
          <w:numId w:val="1167"/>
        </w:numPr>
        <w:pStyle w:val="Compact"/>
      </w:pPr>
      <w:hyperlink r:id="rId271">
        <w:r>
          <w:rPr>
            <w:rStyle w:val="Hyperlink"/>
          </w:rPr>
          <w:t xml:space="preserve">16S rRNA R Quick Reference</w:t>
        </w:r>
      </w:hyperlink>
    </w:p>
    <w:bookmarkEnd w:id="352"/>
    <w:bookmarkStart w:id="353" w:name="contributions-and-affiliations-15"/>
    <w:p>
      <w:pPr>
        <w:pStyle w:val="Heading4"/>
      </w:pPr>
      <w:r>
        <w:rPr>
          <w:rStyle w:val="SectionNumber"/>
        </w:rPr>
        <w:t xml:space="preserve">5.6.4.2</w:t>
      </w:r>
      <w:r>
        <w:tab/>
      </w:r>
      <w:r>
        <w:t xml:space="preserve">Contributions and affiliations</w:t>
      </w:r>
    </w:p>
    <w:p>
      <w:pPr>
        <w:numPr>
          <w:ilvl w:val="0"/>
          <w:numId w:val="1168"/>
        </w:numPr>
        <w:pStyle w:val="Compact"/>
      </w:pPr>
      <w:r>
        <w:t xml:space="preserve">Valeriya Gaysinskaya, Johns Hopkins University</w:t>
      </w:r>
    </w:p>
    <w:p>
      <w:pPr>
        <w:numPr>
          <w:ilvl w:val="0"/>
          <w:numId w:val="1168"/>
        </w:numPr>
        <w:pStyle w:val="Compact"/>
      </w:pPr>
      <w:r>
        <w:t xml:space="preserve">Gauri Paul, Clovis Community College</w:t>
      </w:r>
    </w:p>
    <w:p>
      <w:pPr>
        <w:numPr>
          <w:ilvl w:val="0"/>
          <w:numId w:val="1168"/>
        </w:numPr>
        <w:pStyle w:val="Compact"/>
      </w:pPr>
      <w:r>
        <w:t xml:space="preserve">Frederick Tan, Johns Hopkins University</w:t>
      </w:r>
    </w:p>
    <w:p>
      <w:pPr>
        <w:numPr>
          <w:ilvl w:val="0"/>
          <w:numId w:val="1168"/>
        </w:numPr>
        <w:pStyle w:val="Compact"/>
      </w:pPr>
      <w:r>
        <w:t xml:space="preserve">Sayumi York, Notre Dame of Maryland University</w:t>
      </w:r>
    </w:p>
    <w:bookmarkEnd w:id="353"/>
    <w:bookmarkEnd w:id="354"/>
    <w:bookmarkEnd w:id="355"/>
    <w:bookmarkStart w:id="362" w:name="Xbd8ed9e9a2215cd9ac6e2de069ef19be9b89492"/>
    <w:p>
      <w:pPr>
        <w:pStyle w:val="Heading2"/>
      </w:pPr>
      <w:r>
        <w:rPr>
          <w:rStyle w:val="SectionNumber"/>
        </w:rPr>
        <w:t xml:space="preserve">5.7</w:t>
      </w:r>
      <w:r>
        <w:tab/>
      </w:r>
      <w:r>
        <w:t xml:space="preserve">Try it Question 4 - Is there an interaction between diet and age and the microbiome</w:t>
      </w:r>
    </w:p>
    <w:p>
      <w:pPr>
        <w:pStyle w:val="FirstParagraph"/>
      </w:pPr>
      <w:r>
        <w:t xml:space="preserve">Variables and conditions can interact with each other in complex ways. Here we will try to tease apart the relationship between the gut microbiome, diet, and age. What does an interaction look like? In this example, we’re looking at whether or not a change in diet affects people of different ages in different ways. We might imagine for example that a young person’s gut is more resilient to change than an older person’s or vice versa. Changes at one age group may be different in the other.</w:t>
      </w:r>
    </w:p>
    <w:p>
      <w:pPr>
        <w:pStyle w:val="BodyText"/>
      </w:pPr>
      <w:r>
        <w:t xml:space="preserve">Approach: Use alpha diversity measure and DESeq2 tools to answer this question. Using alpha diversity, determine if there is an interaction between diet and age. Then use DESeq2 to see if any ASVs are associated with changes in die-age interaction. Using Simpson alpha diversity measure (or specifically, Gini-Simpson) evaluate how microbial diversity changes with age and diet in general, or age and BD, HD and WO diet specifically. Remember, shifts in alpha diversity measure suggest a shift in microbial diversity, with high alpha diversity suggesting high microbial diversity. Then, use DESeq2 to evaluate if ageing changes ASVs associated with diet.</w:t>
      </w:r>
    </w:p>
    <w:p>
      <w:pPr>
        <w:pStyle w:val="BodyText"/>
      </w:pPr>
      <w:r>
        <w:t xml:space="preserve">Note, when plotting this data you may get a warning below. That is ok!</w:t>
      </w:r>
    </w:p>
    <w:p>
      <w:pPr>
        <w:pStyle w:val="SourceCode"/>
      </w:pPr>
      <w:r>
        <w:rPr>
          <w:rStyle w:val="NormalTok"/>
        </w:rPr>
        <w:t xml:space="preserve">Warning</w:t>
      </w:r>
      <w:r>
        <w:rPr>
          <w:rStyle w:val="SpecialCharTok"/>
        </w:rPr>
        <w:t xml:space="preserve">:</w:t>
      </w:r>
      <w:r>
        <w:rPr>
          <w:rStyle w:val="NormalTok"/>
        </w:rPr>
        <w:t xml:space="preserve"> The data you have provided does not have any singletons. This is highly suspicious. Results of richness </w:t>
      </w:r>
      <w:r>
        <w:rPr>
          <w:rStyle w:val="FunctionTok"/>
        </w:rPr>
        <w:t xml:space="preserve">estimates</w:t>
      </w:r>
      <w:r>
        <w:rPr>
          <w:rStyle w:val="NormalTok"/>
        </w:rPr>
        <w:t xml:space="preserve"> (</w:t>
      </w:r>
      <w:r>
        <w:rPr>
          <w:rStyle w:val="ControlFlowTok"/>
        </w:rPr>
        <w:t xml:space="preserve">for</w:t>
      </w:r>
      <w:r>
        <w:rPr>
          <w:rStyle w:val="NormalTok"/>
        </w:rPr>
        <w:t xml:space="preserve"> example) are probably unreliable, or wrong, </w:t>
      </w:r>
      <w:r>
        <w:rPr>
          <w:rStyle w:val="ControlFlowTok"/>
        </w:rPr>
        <w:t xml:space="preserve">if</w:t>
      </w:r>
      <w:r>
        <w:rPr>
          <w:rStyle w:val="NormalTok"/>
        </w:rPr>
        <w:t xml:space="preserve"> you have already trimmed low</w:t>
      </w:r>
      <w:r>
        <w:rPr>
          <w:rStyle w:val="SpecialCharTok"/>
        </w:rPr>
        <w:t xml:space="preserve">-</w:t>
      </w:r>
      <w:r>
        <w:rPr>
          <w:rStyle w:val="NormalTok"/>
        </w:rPr>
        <w:t xml:space="preserve">abundance taxa from the data.We recommended that you find the un</w:t>
      </w:r>
      <w:r>
        <w:rPr>
          <w:rStyle w:val="SpecialCharTok"/>
        </w:rPr>
        <w:t xml:space="preserve">-</w:t>
      </w:r>
      <w:r>
        <w:rPr>
          <w:rStyle w:val="NormalTok"/>
        </w:rPr>
        <w:t xml:space="preserve">trimmed data and retry.</w:t>
      </w:r>
    </w:p>
    <w:p>
      <w:pPr>
        <w:numPr>
          <w:ilvl w:val="0"/>
          <w:numId w:val="1169"/>
        </w:numPr>
        <w:pStyle w:val="Compact"/>
      </w:pPr>
      <w:r>
        <w:t xml:space="preserve">Refer to the</w:t>
      </w:r>
      <w:r>
        <w:t xml:space="preserve"> </w:t>
      </w:r>
      <w:r>
        <w:t xml:space="preserve">“</w:t>
      </w:r>
      <w:r>
        <w:t xml:space="preserve">alpha diversity</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plot_richness() function.</w:t>
      </w:r>
    </w:p>
    <w:bookmarkStart w:id="356" w:name="Xecef1bd61b4608eb484bedd06a6aa9d1243b13f"/>
    <w:p>
      <w:pPr>
        <w:pStyle w:val="Heading3"/>
      </w:pPr>
      <w:r>
        <w:rPr>
          <w:rStyle w:val="SectionNumber"/>
        </w:rPr>
        <w:t xml:space="preserve">5.7.1</w:t>
      </w:r>
      <w:r>
        <w:tab/>
      </w:r>
      <w:r>
        <w:t xml:space="preserve">Step 1. Plot alpha diversity based on age for all dietary groups, and then for BD, HD and WO.</w:t>
      </w:r>
    </w:p>
    <w:p>
      <w:pPr>
        <w:pStyle w:val="FirstParagraph"/>
      </w:pPr>
      <w:r>
        <w:rPr>
          <w:bCs/>
          <w:b/>
        </w:rPr>
        <w:t xml:space="preserve">Step 1A. Plot alpha diversity based on age for all dietary groups, and then for BD, HD and WO.</w:t>
      </w:r>
    </w:p>
    <w:p>
      <w:pPr>
        <w:pStyle w:val="BodyText"/>
      </w:pPr>
      <w:r>
        <w:t xml:space="preserve">Plot alpha diversity based on age for all dietary groups.**</w:t>
      </w:r>
    </w:p>
    <w:p>
      <w:pPr>
        <w:numPr>
          <w:ilvl w:val="0"/>
          <w:numId w:val="1170"/>
        </w:numPr>
        <w:pStyle w:val="Compact"/>
      </w:pPr>
      <w:r>
        <w:t xml:space="preserve">Subset data - None</w:t>
      </w:r>
    </w:p>
    <w:p>
      <w:pPr>
        <w:numPr>
          <w:ilvl w:val="0"/>
          <w:numId w:val="1170"/>
        </w:numPr>
        <w:pStyle w:val="Compact"/>
      </w:pPr>
      <w:r>
        <w:t xml:space="preserve">age is on the x-axis</w:t>
      </w:r>
    </w:p>
    <w:p>
      <w:pPr>
        <w:numPr>
          <w:ilvl w:val="0"/>
          <w:numId w:val="1170"/>
        </w:numPr>
        <w:pStyle w:val="Compact"/>
      </w:pPr>
      <w:r>
        <w:t xml:space="preserve">Color is by subject</w:t>
      </w:r>
    </w:p>
    <w:p>
      <w:pPr>
        <w:numPr>
          <w:ilvl w:val="0"/>
          <w:numId w:val="1170"/>
        </w:numPr>
        <w:pStyle w:val="Compact"/>
      </w:pPr>
      <w:r>
        <w:t xml:space="preserve">Use the following code as a template:</w:t>
      </w:r>
    </w:p>
    <w:p>
      <w:pPr>
        <w:pStyle w:val="SourceCode"/>
      </w:pPr>
      <w:r>
        <w:rPr>
          <w:rStyle w:val="FunctionTok"/>
        </w:rPr>
        <w:t xml:space="preserve">plot_richness</w:t>
      </w:r>
      <w:r>
        <w:rPr>
          <w:rStyle w:val="NormalTok"/>
        </w:rPr>
        <w:t xml:space="preserve">(miso_counts,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"miso"</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1A-1.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1A-2. Does alpha diversity change in value with increasing age (overall alpha diversity measure) ?</w:t>
            </w:r>
            <w:r>
              <w:rPr>
                <w:bCs/>
                <w:b/>
              </w:rPr>
              <w:t xml:space="preserve"> </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1A-3. Does alpha diversity grow more varied between individuals with increasing age (are points less clustered with increasing age) ?</w:t>
            </w:r>
          </w:p>
        </w:tc>
      </w:tr>
      <w:tr>
        <w:tc>
          <w:tcPr/>
          <w:p>
            <w:pPr>
              <w:pStyle w:val="Compact"/>
              <w:jc w:val="left"/>
            </w:pPr>
          </w:p>
        </w:tc>
      </w:tr>
    </w:tbl>
    <w:p>
      <w:pPr>
        <w:pStyle w:val="BodyText"/>
      </w:pPr>
      <w:r>
        <w:rPr>
          <w:bCs/>
          <w:b/>
        </w:rPr>
        <w:t xml:space="preserve">Step 1B. Plot alpha diversity based on age for BD diet only.</w:t>
      </w:r>
    </w:p>
    <w:p>
      <w:pPr>
        <w:pStyle w:val="BodyText"/>
      </w:pPr>
      <w:r>
        <w:t xml:space="preserve">Plot alpha diversity based on age for BD diet only.</w:t>
      </w:r>
    </w:p>
    <w:p>
      <w:pPr>
        <w:numPr>
          <w:ilvl w:val="0"/>
          <w:numId w:val="1171"/>
        </w:numPr>
        <w:pStyle w:val="Compact"/>
      </w:pPr>
      <w:r>
        <w:t xml:space="preserve">Subset data - diet BD</w:t>
      </w:r>
    </w:p>
    <w:p>
      <w:pPr>
        <w:numPr>
          <w:ilvl w:val="0"/>
          <w:numId w:val="1171"/>
        </w:numPr>
        <w:pStyle w:val="Compact"/>
      </w:pPr>
      <w:r>
        <w:t xml:space="preserve">age is on the x-axis</w:t>
      </w:r>
    </w:p>
    <w:p>
      <w:pPr>
        <w:numPr>
          <w:ilvl w:val="0"/>
          <w:numId w:val="1171"/>
        </w:numPr>
        <w:pStyle w:val="Compact"/>
      </w:pPr>
      <w:r>
        <w:t xml:space="preserve">Color is by subject</w:t>
      </w:r>
    </w:p>
    <w:p>
      <w:pPr>
        <w:numPr>
          <w:ilvl w:val="0"/>
          <w:numId w:val="1171"/>
        </w:numPr>
        <w:pStyle w:val="Compact"/>
      </w:pPr>
      <w:r>
        <w:t xml:space="preserve">Use the following code as a template:</w:t>
      </w:r>
    </w:p>
    <w:p>
      <w:pPr>
        <w:pStyle w:val="SourceCode"/>
      </w:pPr>
      <w:r>
        <w:rPr>
          <w:rStyle w:val="CommentTok"/>
        </w:rPr>
        <w:t xml:space="preserve"># Subset only BD samples</w:t>
      </w:r>
      <w:r>
        <w:br/>
      </w:r>
      <w:r>
        <w:rPr>
          <w:rStyle w:val="NormalTok"/>
        </w:rPr>
        <w:t xml:space="preserve">miso_counts_BD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"BD"</w:t>
      </w:r>
      <w:r>
        <w:rPr>
          <w:rStyle w:val="NormalTok"/>
        </w:rPr>
        <w:t xml:space="preserve">)</w:t>
      </w:r>
      <w:r>
        <w:br/>
      </w:r>
      <w:r>
        <w:br/>
      </w:r>
      <w:r>
        <w:rPr>
          <w:rStyle w:val="FunctionTok"/>
        </w:rPr>
        <w:t xml:space="preserve">plot_richness</w:t>
      </w:r>
      <w:r>
        <w:rPr>
          <w:rStyle w:val="NormalTok"/>
        </w:rPr>
        <w:t xml:space="preserve">(miso_counts_BD,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1B-2.Paste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1B-2. Did the relationship between age and alpha diversity change when only looking at the BD diet data points? Explain your answer by describing the trend or lack thereof in the graph.</w:t>
            </w:r>
            <w:r>
              <w:rPr>
                <w:bCs/>
                <w:b/>
              </w:rPr>
              <w:t xml:space="preserve"> </w:t>
            </w:r>
          </w:p>
        </w:tc>
      </w:tr>
      <w:tr>
        <w:tc>
          <w:tcPr/>
          <w:p>
            <w:pPr>
              <w:pStyle w:val="Compact"/>
              <w:jc w:val="left"/>
            </w:pPr>
          </w:p>
        </w:tc>
      </w:tr>
    </w:tbl>
    <w:p>
      <w:pPr>
        <w:pStyle w:val="BodyText"/>
      </w:pPr>
      <w:r>
        <w:rPr>
          <w:bCs/>
          <w:b/>
        </w:rPr>
        <w:t xml:space="preserve">Step 1C. Plot alpha diversity based on age for HD diet only.</w:t>
      </w:r>
    </w:p>
    <w:p>
      <w:pPr>
        <w:numPr>
          <w:ilvl w:val="0"/>
          <w:numId w:val="1172"/>
        </w:numPr>
        <w:pStyle w:val="Compact"/>
      </w:pPr>
      <w:r>
        <w:t xml:space="preserve">Subset data - diet HD</w:t>
      </w:r>
    </w:p>
    <w:p>
      <w:pPr>
        <w:numPr>
          <w:ilvl w:val="0"/>
          <w:numId w:val="1172"/>
        </w:numPr>
        <w:pStyle w:val="Compact"/>
      </w:pPr>
      <w:r>
        <w:t xml:space="preserve">age is on the x-axis</w:t>
      </w:r>
    </w:p>
    <w:p>
      <w:pPr>
        <w:numPr>
          <w:ilvl w:val="0"/>
          <w:numId w:val="1172"/>
        </w:numPr>
        <w:pStyle w:val="Compact"/>
      </w:pPr>
      <w:r>
        <w:t xml:space="preserve">Color is by subject</w:t>
      </w:r>
    </w:p>
    <w:p>
      <w:pPr>
        <w:numPr>
          <w:ilvl w:val="0"/>
          <w:numId w:val="1172"/>
        </w:numPr>
        <w:pStyle w:val="Compact"/>
      </w:pPr>
      <w:r>
        <w:t xml:space="preserve">Use the following code as a template:</w:t>
      </w:r>
    </w:p>
    <w:p>
      <w:pPr>
        <w:pStyle w:val="SourceCode"/>
      </w:pPr>
      <w:r>
        <w:rPr>
          <w:rStyle w:val="CommentTok"/>
        </w:rPr>
        <w:t xml:space="preserve">#Step1: Subset data for HD only</w:t>
      </w:r>
      <w:r>
        <w:br/>
      </w:r>
      <w:r>
        <w:rPr>
          <w:rStyle w:val="NormalTok"/>
        </w:rPr>
        <w:t xml:space="preserve">miso_counts_HD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(miso_counts_HD,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1C-1.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1C-2. Did the relationship between age and alpha diversity change when only looking at the HD diet data points? Explain your answer by describing the trend or lack thereof in the graph.</w:t>
            </w:r>
          </w:p>
        </w:tc>
      </w:tr>
      <w:tr>
        <w:tc>
          <w:tcPr/>
          <w:p>
            <w:pPr>
              <w:pStyle w:val="Compact"/>
              <w:jc w:val="left"/>
            </w:pPr>
          </w:p>
        </w:tc>
      </w:tr>
    </w:tbl>
    <w:p>
      <w:pPr>
        <w:pStyle w:val="BodyText"/>
      </w:pPr>
      <w:r>
        <w:rPr>
          <w:bCs/>
          <w:b/>
        </w:rPr>
        <w:t xml:space="preserve">1D-1. Plot alpha diversity based on age for WO diet only.</w:t>
      </w:r>
    </w:p>
    <w:p>
      <w:pPr>
        <w:numPr>
          <w:ilvl w:val="0"/>
          <w:numId w:val="1173"/>
        </w:numPr>
        <w:pStyle w:val="Compact"/>
      </w:pPr>
      <w:r>
        <w:t xml:space="preserve">Subset data - diet WO</w:t>
      </w:r>
    </w:p>
    <w:p>
      <w:pPr>
        <w:numPr>
          <w:ilvl w:val="0"/>
          <w:numId w:val="1173"/>
        </w:numPr>
        <w:pStyle w:val="Compact"/>
      </w:pPr>
      <w:r>
        <w:t xml:space="preserve">age is on the x-axis</w:t>
      </w:r>
    </w:p>
    <w:p>
      <w:pPr>
        <w:numPr>
          <w:ilvl w:val="0"/>
          <w:numId w:val="1173"/>
        </w:numPr>
        <w:pStyle w:val="Compact"/>
      </w:pPr>
      <w:r>
        <w:t xml:space="preserve">Color is by subject</w:t>
      </w:r>
    </w:p>
    <w:p>
      <w:pPr>
        <w:numPr>
          <w:ilvl w:val="0"/>
          <w:numId w:val="1173"/>
        </w:numPr>
        <w:pStyle w:val="Compact"/>
      </w:pPr>
      <w:r>
        <w:t xml:space="preserve">Use the following code as a template:</w:t>
      </w:r>
    </w:p>
    <w:p>
      <w:pPr>
        <w:pStyle w:val="SourceCode"/>
      </w:pPr>
      <w:r>
        <w:rPr>
          <w:rStyle w:val="CommentTok"/>
        </w:rPr>
        <w:t xml:space="preserve">#Step1: Subset data for WO only</w:t>
      </w:r>
      <w:r>
        <w:br/>
      </w:r>
      <w:r>
        <w:rPr>
          <w:rStyle w:val="NormalTok"/>
        </w:rPr>
        <w:t xml:space="preserve">miso_counts_WO </w:t>
      </w:r>
      <w:r>
        <w:rPr>
          <w:rStyle w:val="OtherTok"/>
        </w:rPr>
        <w:t xml:space="preserve">=</w:t>
      </w:r>
      <w:r>
        <w:rPr>
          <w:rStyle w:val="NormalTok"/>
        </w:rPr>
        <w:t xml:space="preserve"> </w:t>
      </w:r>
      <w:r>
        <w:rPr>
          <w:rStyle w:val="FunctionTok"/>
        </w:rPr>
        <w:t xml:space="preserve">subset_samples</w:t>
      </w:r>
      <w:r>
        <w:rPr>
          <w:rStyle w:val="NormalTok"/>
        </w:rPr>
        <w:t xml:space="preserve">(miso_counts, diet </w:t>
      </w:r>
      <w:r>
        <w:rPr>
          <w:rStyle w:val="SpecialCharTok"/>
        </w:rPr>
        <w:t xml:space="preserve">==</w:t>
      </w:r>
      <w:r>
        <w:rPr>
          <w:rStyle w:val="NormalTok"/>
        </w:rPr>
        <w:t xml:space="preserve"> </w:t>
      </w:r>
      <w:r>
        <w:rPr>
          <w:rStyle w:val="StringTok"/>
        </w:rPr>
        <w:t xml:space="preserve">"fill in the blank"</w:t>
      </w:r>
      <w:r>
        <w:rPr>
          <w:rStyle w:val="NormalTok"/>
        </w:rPr>
        <w:t xml:space="preserve">)</w:t>
      </w:r>
      <w:r>
        <w:br/>
      </w:r>
      <w:r>
        <w:br/>
      </w:r>
      <w:r>
        <w:rPr>
          <w:rStyle w:val="FunctionTok"/>
        </w:rPr>
        <w:t xml:space="preserve">plot_richness</w:t>
      </w:r>
      <w:r>
        <w:rPr>
          <w:rStyle w:val="NormalTok"/>
        </w:rPr>
        <w:t xml:space="preserve">(fill </w:t>
      </w:r>
      <w:r>
        <w:rPr>
          <w:rStyle w:val="ControlFlowTok"/>
        </w:rPr>
        <w:t xml:space="preserve">in</w:t>
      </w:r>
      <w:r>
        <w:rPr>
          <w:rStyle w:val="NormalTok"/>
        </w:rPr>
        <w:t xml:space="preserve"> the blank, </w:t>
      </w:r>
      <w:r>
        <w:rPr>
          <w:rStyle w:val="AttributeTok"/>
        </w:rPr>
        <w:t xml:space="preserve">x=</w:t>
      </w:r>
      <w:r>
        <w:rPr>
          <w:rStyle w:val="StringTok"/>
        </w:rPr>
        <w:t xml:space="preserve">"fill in the blank"</w:t>
      </w:r>
      <w:r>
        <w:rPr>
          <w:rStyle w:val="NormalTok"/>
        </w:rPr>
        <w:t xml:space="preserve">,</w:t>
      </w:r>
      <w:r>
        <w:br/>
      </w:r>
      <w:r>
        <w:rPr>
          <w:rStyle w:val="NormalTok"/>
        </w:rPr>
        <w:t xml:space="preserve">            </w:t>
      </w:r>
      <w:r>
        <w:rPr>
          <w:rStyle w:val="AttributeTok"/>
        </w:rPr>
        <w:t xml:space="preserve">color=</w:t>
      </w:r>
      <w:r>
        <w:rPr>
          <w:rStyle w:val="StringTok"/>
        </w:rPr>
        <w:t xml:space="preserve">"fill in the blank"</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"fill in the blank"</w:t>
      </w:r>
      <w:r>
        <w:rPr>
          <w:rStyle w:val="NormalTok"/>
        </w:rPr>
        <w:t xml:space="preserve">,</w:t>
      </w:r>
      <w:r>
        <w:br/>
      </w:r>
      <w:r>
        <w:rPr>
          <w:rStyle w:val="NormalTok"/>
        </w:rPr>
        <w:t xml:space="preserve">            </w:t>
      </w:r>
      <w:r>
        <w:rPr>
          <w:rStyle w:val="AttributeTok"/>
        </w:rPr>
        <w:t xml:space="preserve">measures=</w:t>
      </w:r>
      <w:r>
        <w:rPr>
          <w:rStyle w:val="NormalTok"/>
        </w:rPr>
        <w:t xml:space="preserve"> </w:t>
      </w:r>
      <w:r>
        <w:rPr>
          <w:rStyle w:val="FunctionTok"/>
        </w:rPr>
        <w:t xml:space="preserve">c</w:t>
      </w:r>
      <w:r>
        <w:rPr>
          <w:rStyle w:val="NormalTok"/>
        </w:rPr>
        <w:t xml:space="preserve">(</w:t>
      </w:r>
      <w:r>
        <w:rPr>
          <w:rStyle w:val="StringTok"/>
        </w:rPr>
        <w:t xml:space="preserve">"Simpson"</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1D-1. Paste your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1D-2. Did the relationship between age and alpha diversity change when only looking at the WO diet data points? Explain your answer by describing the trend or lack thereof in the graph. Remember, the WO only has half as many datapoints compared to the BD and HD since there is only 1 WO timepoint (versus 2 for BD and HD).</w:t>
            </w:r>
          </w:p>
        </w:tc>
      </w:tr>
      <w:tr>
        <w:tc>
          <w:tcPr/>
          <w:p>
            <w:pPr>
              <w:pStyle w:val="Compact"/>
              <w:jc w:val="left"/>
            </w:pPr>
          </w:p>
        </w:tc>
      </w:tr>
    </w:tbl>
    <w:bookmarkEnd w:id="356"/>
    <w:bookmarkStart w:id="357" w:name="X20c3c163d6a7429e4dd3bf5744dda10e0814627"/>
    <w:p>
      <w:pPr>
        <w:pStyle w:val="Heading3"/>
      </w:pPr>
      <w:r>
        <w:rPr>
          <w:rStyle w:val="SectionNumber"/>
        </w:rPr>
        <w:t xml:space="preserve">5.7.2</w:t>
      </w:r>
      <w:r>
        <w:tab/>
      </w:r>
      <w:r>
        <w:t xml:space="preserve">Step 2. Perform differential abundance analysis comparing HD to BD for the population in general, and then for older individuals specifically.</w:t>
      </w:r>
    </w:p>
    <w:p>
      <w:pPr>
        <w:pStyle w:val="FirstParagraph"/>
      </w:pPr>
      <w:r>
        <w:rPr>
          <w:bCs/>
          <w:b/>
        </w:rPr>
        <w:t xml:space="preserve">Step 2A. Perform differential abundance analysis between HD and BD.</w:t>
      </w:r>
    </w:p>
    <w:p>
      <w:pPr>
        <w:numPr>
          <w:ilvl w:val="0"/>
          <w:numId w:val="1174"/>
        </w:numPr>
      </w:pPr>
      <w:r>
        <w:t xml:space="preserve">Design - is based on diet (no double quotes)</w:t>
      </w:r>
    </w:p>
    <w:p>
      <w:pPr>
        <w:numPr>
          <w:ilvl w:val="0"/>
          <w:numId w:val="1174"/>
        </w:numPr>
      </w:pPr>
      <w:r>
        <w:t xml:space="preserve">Groups to compare - HD and BD (baseline)</w:t>
      </w:r>
    </w:p>
    <w:p>
      <w:pPr>
        <w:numPr>
          <w:ilvl w:val="0"/>
          <w:numId w:val="1174"/>
        </w:numPr>
      </w:pPr>
      <w:r>
        <w:t xml:space="preserve">Plot Phylum on the X-axis and color by Class</w:t>
      </w:r>
    </w:p>
    <w:p>
      <w:pPr>
        <w:numPr>
          <w:ilvl w:val="0"/>
          <w:numId w:val="1174"/>
        </w:numPr>
      </w:pPr>
      <w:r>
        <w:t xml:space="preserve">Make sure your graph has a title that includes the comparison you are making (ex. WO vs HD)</w:t>
      </w:r>
    </w:p>
    <w:p>
      <w:pPr>
        <w:numPr>
          <w:ilvl w:val="0"/>
          <w:numId w:val="1174"/>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4"/>
        </w:numPr>
      </w:pPr>
      <w:r>
        <w:t xml:space="preserve">Use the code below as a template:</w:t>
      </w:r>
    </w:p>
    <w:p>
      <w:pPr>
        <w:pStyle w:val="SourceCode"/>
      </w:pPr>
      <w:r>
        <w:rPr>
          <w:rStyle w:val="CommentTok"/>
        </w:rPr>
        <w:t xml:space="preserve"># STEP 1: Convert the phyloseq object to a DESeq2 object and specify experimental design</w:t>
      </w:r>
      <w:r>
        <w:br/>
      </w:r>
      <w:r>
        <w:rPr>
          <w:rStyle w:val="NormalTok"/>
        </w:rPr>
        <w:t xml:space="preserve">DESeq2 </w:t>
      </w:r>
      <w:r>
        <w:rPr>
          <w:rStyle w:val="OtherTok"/>
        </w:rPr>
        <w:t xml:space="preserve">&lt;-</w:t>
      </w:r>
      <w:r>
        <w:rPr>
          <w:rStyle w:val="NormalTok"/>
        </w:rPr>
        <w:t xml:space="preserve"> </w:t>
      </w:r>
      <w:r>
        <w:rPr>
          <w:rStyle w:val="FunctionTok"/>
        </w:rPr>
        <w:t xml:space="preserve">phyloseq_to_deseq2</w:t>
      </w:r>
      <w:r>
        <w:rPr>
          <w:rStyle w:val="NormalTok"/>
        </w:rPr>
        <w:t xml:space="preserve">(miso_counts,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my_comparison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Significant_DEseq2_ASVs</w:t>
      </w:r>
      <w:r>
        <w:rPr>
          <w:rStyle w:val="OtherTok"/>
        </w:rPr>
        <w:t xml:space="preserve">&lt;-</w:t>
      </w:r>
      <w:r>
        <w:rPr>
          <w:rStyle w:val="FunctionTok"/>
        </w:rPr>
        <w:t xml:space="preserve">Differential_Abundance</w:t>
      </w:r>
      <w:r>
        <w:rPr>
          <w:rStyle w:val="NormalTok"/>
        </w:rPr>
        <w:t xml:space="preserve">(miso_counts, DESeq2, my_comparison,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Significant_DEseq2_ASVs</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(Significant_DEseq2_ASVs,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2A-1.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2A-3. Did a change in diet from BD to HD cause there to be a lot of changes in microbe abundance?</w:t>
            </w:r>
          </w:p>
        </w:tc>
      </w:tr>
      <w:tr>
        <w:tc>
          <w:tcPr/>
          <w:p>
            <w:pPr>
              <w:pStyle w:val="Compact"/>
              <w:jc w:val="left"/>
            </w:pPr>
          </w:p>
        </w:tc>
      </w:tr>
    </w:tbl>
    <w:bookmarkEnd w:id="357"/>
    <w:bookmarkStart w:id="358" w:name="X5d873d7c1194470314eb407ed41c6f5cfdeeff4"/>
    <w:p>
      <w:pPr>
        <w:pStyle w:val="Heading3"/>
      </w:pPr>
      <w:r>
        <w:rPr>
          <w:rStyle w:val="SectionNumber"/>
        </w:rPr>
        <w:t xml:space="preserve">5.7.3</w:t>
      </w:r>
      <w:r>
        <w:tab/>
      </w:r>
      <w:r>
        <w:t xml:space="preserve">Step 2B. Perform differential abundance analysis between HD and BD for older individual (&gt; 50 yo.)</w:t>
      </w:r>
    </w:p>
    <w:p>
      <w:pPr>
        <w:numPr>
          <w:ilvl w:val="0"/>
          <w:numId w:val="1175"/>
        </w:numPr>
      </w:pPr>
      <w:r>
        <w:t xml:space="preserve">Subset data - older age (&gt; 50 yo)</w:t>
      </w:r>
    </w:p>
    <w:p>
      <w:pPr>
        <w:numPr>
          <w:ilvl w:val="0"/>
          <w:numId w:val="1175"/>
        </w:numPr>
      </w:pPr>
      <w:r>
        <w:t xml:space="preserve">Design - is based on diet (no double quotes)</w:t>
      </w:r>
    </w:p>
    <w:p>
      <w:pPr>
        <w:numPr>
          <w:ilvl w:val="0"/>
          <w:numId w:val="1175"/>
        </w:numPr>
      </w:pPr>
      <w:r>
        <w:t xml:space="preserve">Groups to compare - HD and BD (baseline)</w:t>
      </w:r>
    </w:p>
    <w:p>
      <w:pPr>
        <w:numPr>
          <w:ilvl w:val="0"/>
          <w:numId w:val="1175"/>
        </w:numPr>
      </w:pPr>
      <w:r>
        <w:t xml:space="preserve">Plot Phylum on the X-axis and color by Class</w:t>
      </w:r>
    </w:p>
    <w:p>
      <w:pPr>
        <w:numPr>
          <w:ilvl w:val="0"/>
          <w:numId w:val="1175"/>
        </w:numPr>
      </w:pPr>
      <w:r>
        <w:t xml:space="preserve">Make sure your graph has a title that includes the comparison you are making (ex. WO vs HD)</w:t>
      </w:r>
    </w:p>
    <w:p>
      <w:pPr>
        <w:numPr>
          <w:ilvl w:val="0"/>
          <w:numId w:val="1175"/>
        </w:numPr>
      </w:pPr>
      <w:r>
        <w:t xml:space="preserve">Refer to the</w:t>
      </w:r>
      <w:r>
        <w:t xml:space="preserve"> </w:t>
      </w:r>
      <w:r>
        <w:t xml:space="preserve">“</w:t>
      </w:r>
      <w:r>
        <w:t xml:space="preserve">Differential abundance</w:t>
      </w:r>
      <w:r>
        <w:t xml:space="preserve">”</w:t>
      </w:r>
      <w:r>
        <w:t xml:space="preserve"> </w:t>
      </w:r>
      <w:r>
        <w:t xml:space="preserve">section of the</w:t>
      </w:r>
      <w:r>
        <w:t xml:space="preserve"> </w:t>
      </w:r>
      <w:r>
        <w:t xml:space="preserve">“</w:t>
      </w:r>
      <w:r>
        <w:t xml:space="preserve">Analyze 16S rRNA Data with phyloseq</w:t>
      </w:r>
      <w:r>
        <w:t xml:space="preserve">”</w:t>
      </w:r>
      <w:r>
        <w:t xml:space="preserve"> </w:t>
      </w:r>
      <w:r>
        <w:t xml:space="preserve">tutorial for help using the plot_ordination() function.</w:t>
      </w:r>
    </w:p>
    <w:p>
      <w:pPr>
        <w:numPr>
          <w:ilvl w:val="0"/>
          <w:numId w:val="1175"/>
        </w:numPr>
      </w:pPr>
      <w:r>
        <w:t xml:space="preserve">Use the code below as a template:</w:t>
      </w:r>
    </w:p>
    <w:p>
      <w:pPr>
        <w:pStyle w:val="SourceCode"/>
      </w:pPr>
      <w:r>
        <w:rPr>
          <w:rStyle w:val="CommentTok"/>
        </w:rPr>
        <w:t xml:space="preserve">#First, subset miso_counts object to only include older individuals over age 50</w:t>
      </w:r>
      <w:r>
        <w:br/>
      </w:r>
      <w:r>
        <w:rPr>
          <w:rStyle w:val="NormalTok"/>
        </w:rPr>
        <w:t xml:space="preserve">subset </w:t>
      </w:r>
      <w:r>
        <w:rPr>
          <w:rStyle w:val="OtherTok"/>
        </w:rPr>
        <w:t xml:space="preserve">=</w:t>
      </w:r>
      <w:r>
        <w:rPr>
          <w:rStyle w:val="NormalTok"/>
        </w:rPr>
        <w:t xml:space="preserve"> </w:t>
      </w:r>
      <w:r>
        <w:rPr>
          <w:rStyle w:val="FunctionTok"/>
        </w:rPr>
        <w:t xml:space="preserve">subset_samples</w:t>
      </w:r>
      <w:r>
        <w:rPr>
          <w:rStyle w:val="NormalTok"/>
        </w:rPr>
        <w:t xml:space="preserve">(miso_counts, age </w:t>
      </w:r>
      <w:r>
        <w:rPr>
          <w:rStyle w:val="SpecialCharTok"/>
        </w:rPr>
        <w:t xml:space="preserve">&gt;</w:t>
      </w:r>
      <w:r>
        <w:rPr>
          <w:rStyle w:val="DecValTok"/>
        </w:rPr>
        <w:t xml:space="preserve">50</w:t>
      </w:r>
      <w:r>
        <w:rPr>
          <w:rStyle w:val="NormalTok"/>
        </w:rPr>
        <w:t xml:space="preserve">)</w:t>
      </w:r>
      <w:r>
        <w:br/>
      </w:r>
      <w:r>
        <w:br/>
      </w:r>
      <w:r>
        <w:rPr>
          <w:rStyle w:val="CommentTok"/>
        </w:rPr>
        <w:t xml:space="preserve"># STEP 1: Convert the phyloseq object to a DESeq2 object and specify experimental design</w:t>
      </w:r>
      <w:r>
        <w:br/>
      </w:r>
      <w:r>
        <w:rPr>
          <w:rStyle w:val="NormalTok"/>
        </w:rPr>
        <w:t xml:space="preserve">DESeq2_subset </w:t>
      </w:r>
      <w:r>
        <w:rPr>
          <w:rStyle w:val="OtherTok"/>
        </w:rPr>
        <w:t xml:space="preserve">&lt;-</w:t>
      </w:r>
      <w:r>
        <w:rPr>
          <w:rStyle w:val="NormalTok"/>
        </w:rPr>
        <w:t xml:space="preserve"> </w:t>
      </w:r>
      <w:r>
        <w:rPr>
          <w:rStyle w:val="FunctionTok"/>
        </w:rPr>
        <w:t xml:space="preserve">phyloseq_to_deseq2</w:t>
      </w:r>
      <w:r>
        <w:rPr>
          <w:rStyle w:val="NormalTok"/>
        </w:rPr>
        <w:t xml:space="preserve">(subset, </w:t>
      </w:r>
      <w:r>
        <w:rPr>
          <w:rStyle w:val="AttributeTok"/>
        </w:rPr>
        <w:t xml:space="preserve">design =</w:t>
      </w:r>
      <w:r>
        <w:rPr>
          <w:rStyle w:val="NormalTok"/>
        </w:rPr>
        <w:t xml:space="preserve"> </w:t>
      </w:r>
      <w:r>
        <w:rPr>
          <w:rStyle w:val="SpecialCharTok"/>
        </w:rPr>
        <w:t xml:space="preserve">~</w:t>
      </w:r>
      <w:r>
        <w:rPr>
          <w:rStyle w:val="NormalTok"/>
        </w:rPr>
        <w:t xml:space="preserve"> diet)</w:t>
      </w:r>
      <w:r>
        <w:br/>
      </w:r>
      <w:r>
        <w:br/>
      </w:r>
      <w:r>
        <w:rPr>
          <w:rStyle w:val="CommentTok"/>
        </w:rPr>
        <w:t xml:space="preserve"># STEP 2: Select the groups to compare, where the latter group is your baseline</w:t>
      </w:r>
      <w:r>
        <w:br/>
      </w:r>
      <w:r>
        <w:rPr>
          <w:rStyle w:val="NormalTok"/>
        </w:rPr>
        <w:t xml:space="preserve">comparison_subset </w:t>
      </w:r>
      <w:r>
        <w:rPr>
          <w:rStyle w:val="OtherTok"/>
        </w:rPr>
        <w:t xml:space="preserve">&lt;-</w:t>
      </w:r>
      <w:r>
        <w:rPr>
          <w:rStyle w:val="FunctionTok"/>
        </w:rPr>
        <w:t xml:space="preserve">c</w:t>
      </w:r>
      <w:r>
        <w:rPr>
          <w:rStyle w:val="NormalTok"/>
        </w:rPr>
        <w:t xml:space="preserve">(</w:t>
      </w:r>
      <w:r>
        <w:rPr>
          <w:rStyle w:val="StringTok"/>
        </w:rPr>
        <w:t xml:space="preserve">"diet"</w:t>
      </w:r>
      <w:r>
        <w:rPr>
          <w:rStyle w:val="NormalTok"/>
        </w:rPr>
        <w:t xml:space="preserve">, </w:t>
      </w:r>
      <w:r>
        <w:rPr>
          <w:rStyle w:val="StringTok"/>
        </w:rPr>
        <w:t xml:space="preserve">"HD"</w:t>
      </w:r>
      <w:r>
        <w:rPr>
          <w:rStyle w:val="NormalTok"/>
        </w:rPr>
        <w:t xml:space="preserve">, </w:t>
      </w:r>
      <w:r>
        <w:rPr>
          <w:rStyle w:val="StringTok"/>
        </w:rPr>
        <w:t xml:space="preserve">"fill in the blank (baseline)"</w:t>
      </w:r>
      <w:r>
        <w:rPr>
          <w:rStyle w:val="NormalTok"/>
        </w:rPr>
        <w:t xml:space="preserve">)</w:t>
      </w:r>
      <w:r>
        <w:br/>
      </w:r>
      <w:r>
        <w:br/>
      </w:r>
      <w:r>
        <w:rPr>
          <w:rStyle w:val="CommentTok"/>
        </w:rPr>
        <w:t xml:space="preserve"># STEP 3: Run the differential abundance analysis </w:t>
      </w:r>
      <w:r>
        <w:br/>
      </w:r>
      <w:r>
        <w:rPr>
          <w:rStyle w:val="NormalTok"/>
        </w:rPr>
        <w:t xml:space="preserve">Significant_ASVs_subset </w:t>
      </w:r>
      <w:r>
        <w:rPr>
          <w:rStyle w:val="OtherTok"/>
        </w:rPr>
        <w:t xml:space="preserve">&lt;-</w:t>
      </w:r>
      <w:r>
        <w:rPr>
          <w:rStyle w:val="NormalTok"/>
        </w:rPr>
        <w:t xml:space="preserve"> </w:t>
      </w:r>
      <w:r>
        <w:rPr>
          <w:rStyle w:val="FunctionTok"/>
        </w:rPr>
        <w:t xml:space="preserve">Differential_Abundance</w:t>
      </w:r>
      <w:r>
        <w:rPr>
          <w:rStyle w:val="NormalTok"/>
        </w:rPr>
        <w:t xml:space="preserve">(miso_counts, DESeq2_subset, comparison_subset, </w:t>
      </w:r>
      <w:r>
        <w:rPr>
          <w:rStyle w:val="FloatTok"/>
        </w:rPr>
        <w:t xml:space="preserve">0.05</w:t>
      </w:r>
      <w:r>
        <w:rPr>
          <w:rStyle w:val="NormalTok"/>
        </w:rPr>
        <w:t xml:space="preserve">)</w:t>
      </w:r>
      <w:r>
        <w:br/>
      </w:r>
      <w:r>
        <w:br/>
      </w:r>
      <w:r>
        <w:rPr>
          <w:rStyle w:val="CommentTok"/>
        </w:rPr>
        <w:t xml:space="preserve"># STEP 4: Retrieve the list of ASVs with a significant difference in abundance between the chosen groups</w:t>
      </w:r>
      <w:r>
        <w:br/>
      </w:r>
      <w:r>
        <w:rPr>
          <w:rStyle w:val="NormalTok"/>
        </w:rPr>
        <w:t xml:space="preserve">Significant_ASVs_subset</w:t>
      </w:r>
      <w:r>
        <w:br/>
      </w:r>
      <w:r>
        <w:br/>
      </w:r>
      <w:r>
        <w:rPr>
          <w:rStyle w:val="CommentTok"/>
        </w:rPr>
        <w:t xml:space="preserve"># STEP 5: Plot the results with your chosen x axis and legend</w:t>
      </w:r>
      <w:r>
        <w:br/>
      </w:r>
      <w:r>
        <w:rPr>
          <w:rStyle w:val="FunctionTok"/>
        </w:rPr>
        <w:t xml:space="preserve">ggplot</w:t>
      </w:r>
      <w:r>
        <w:rPr>
          <w:rStyle w:val="NormalTok"/>
        </w:rPr>
        <w:t xml:space="preserve">(Significant_ASVs_subset, </w:t>
      </w:r>
      <w:r>
        <w:rPr>
          <w:rStyle w:val="FunctionTok"/>
        </w:rPr>
        <w:t xml:space="preserve">aes</w:t>
      </w:r>
      <w:r>
        <w:rPr>
          <w:rStyle w:val="NormalTok"/>
        </w:rPr>
        <w:t xml:space="preserve">(</w:t>
      </w:r>
      <w:r>
        <w:rPr>
          <w:rStyle w:val="AttributeTok"/>
        </w:rPr>
        <w:t xml:space="preserve">x =</w:t>
      </w:r>
      <w:r>
        <w:rPr>
          <w:rStyle w:val="NormalTok"/>
        </w:rPr>
        <w:t xml:space="preserve"> Phylum, </w:t>
      </w:r>
      <w:r>
        <w:rPr>
          <w:rStyle w:val="AttributeTok"/>
        </w:rPr>
        <w:t xml:space="preserve">y=</w:t>
      </w:r>
      <w:r>
        <w:rPr>
          <w:rStyle w:val="NormalTok"/>
        </w:rPr>
        <w:t xml:space="preserve">log2FoldChange, </w:t>
      </w:r>
      <w:r>
        <w:rPr>
          <w:rStyle w:val="AttributeTok"/>
        </w:rPr>
        <w:t xml:space="preserve">color=</w:t>
      </w:r>
      <w:r>
        <w:rPr>
          <w:rStyle w:val="NormalTok"/>
        </w:rPr>
        <w:t xml:space="preserve"> fill </w:t>
      </w:r>
      <w:r>
        <w:rPr>
          <w:rStyle w:val="ControlFlowTok"/>
        </w:rPr>
        <w:t xml:space="preserve">in</w:t>
      </w:r>
      <w:r>
        <w:rPr>
          <w:rStyle w:val="NormalTok"/>
        </w:rPr>
        <w:t xml:space="preserve"> the blank))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SpecialCharTok"/>
        </w:rPr>
        <w:t xml:space="preserve">-</w:t>
      </w:r>
      <w:r>
        <w:rPr>
          <w:rStyle w:val="DecValTok"/>
        </w:rPr>
        <w:t xml:space="preserve">90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vjust=</w:t>
      </w:r>
      <w:r>
        <w:rPr>
          <w:rStyle w:val="FloatTok"/>
        </w:rPr>
        <w:t xml:space="preserve">0.5</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"fill in the blank"</w:t>
      </w:r>
      <w:r>
        <w:rPr>
          <w:rStyle w:val="NormalTok"/>
        </w:rP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2B-1. Insert the resulting plot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2B-2. How many differentially abundant ASVs were identified? This is the number of rows in the result table.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2B-3. Did a change in diet from BD to HD cause there to be a lot of changes in microbe abundance in older individuals?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2B-4. How do these results compare to the results when we looked at the entire dataset (2A-1)?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2B-5. When this analysis is repeated for a younger population (&lt;=50), 3 differentially abundant ASVs are found. Do you think there is a diet-age interaction? A reminder that an interaction would cause different age groups to react to the change in diet differently.</w:t>
            </w:r>
          </w:p>
        </w:tc>
      </w:tr>
      <w:tr>
        <w:tc>
          <w:tcPr/>
          <w:p>
            <w:pPr>
              <w:pStyle w:val="Compact"/>
              <w:jc w:val="left"/>
            </w:pPr>
          </w:p>
        </w:tc>
      </w:tr>
    </w:tbl>
    <w:bookmarkEnd w:id="358"/>
    <w:bookmarkStart w:id="361" w:name="footnotes-16"/>
    <w:p>
      <w:pPr>
        <w:pStyle w:val="Heading3"/>
      </w:pPr>
      <w:r>
        <w:rPr>
          <w:rStyle w:val="SectionNumber"/>
        </w:rPr>
        <w:t xml:space="preserve">5.7.4</w:t>
      </w:r>
      <w:r>
        <w:tab/>
      </w:r>
      <w:r>
        <w:t xml:space="preserve">Footnotes</w:t>
      </w:r>
    </w:p>
    <w:bookmarkStart w:id="359" w:name="resources-20"/>
    <w:p>
      <w:pPr>
        <w:pStyle w:val="Heading4"/>
      </w:pPr>
      <w:r>
        <w:rPr>
          <w:rStyle w:val="SectionNumber"/>
        </w:rPr>
        <w:t xml:space="preserve">5.7.4.1</w:t>
      </w:r>
      <w:r>
        <w:tab/>
      </w:r>
      <w:r>
        <w:t xml:space="preserve">Resources</w:t>
      </w:r>
    </w:p>
    <w:p>
      <w:pPr>
        <w:numPr>
          <w:ilvl w:val="0"/>
          <w:numId w:val="1176"/>
        </w:numPr>
        <w:pStyle w:val="Compact"/>
      </w:pPr>
      <w:hyperlink r:id="rId327">
        <w:r>
          <w:rPr>
            <w:rStyle w:val="Hyperlink"/>
          </w:rPr>
          <w:t xml:space="preserve">Google Doc</w:t>
        </w:r>
      </w:hyperlink>
    </w:p>
    <w:p>
      <w:pPr>
        <w:numPr>
          <w:ilvl w:val="0"/>
          <w:numId w:val="1176"/>
        </w:numPr>
        <w:pStyle w:val="Compact"/>
      </w:pPr>
      <w:hyperlink r:id="rId271">
        <w:r>
          <w:rPr>
            <w:rStyle w:val="Hyperlink"/>
          </w:rPr>
          <w:t xml:space="preserve">16S rRNA R Quick Reference</w:t>
        </w:r>
      </w:hyperlink>
    </w:p>
    <w:bookmarkEnd w:id="359"/>
    <w:bookmarkStart w:id="360" w:name="contributions-and-affiliations-16"/>
    <w:p>
      <w:pPr>
        <w:pStyle w:val="Heading4"/>
      </w:pPr>
      <w:r>
        <w:rPr>
          <w:rStyle w:val="SectionNumber"/>
        </w:rPr>
        <w:t xml:space="preserve">5.7.4.2</w:t>
      </w:r>
      <w:r>
        <w:tab/>
      </w:r>
      <w: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Gauri Paul, Clovis Community College</w:t>
      </w:r>
    </w:p>
    <w:p>
      <w:pPr>
        <w:numPr>
          <w:ilvl w:val="0"/>
          <w:numId w:val="1177"/>
        </w:numPr>
        <w:pStyle w:val="Compact"/>
      </w:pPr>
      <w:r>
        <w:t xml:space="preserve">Frederick Tan, Johns Hopkins University</w:t>
      </w:r>
    </w:p>
    <w:p>
      <w:pPr>
        <w:numPr>
          <w:ilvl w:val="0"/>
          <w:numId w:val="1177"/>
        </w:numPr>
        <w:pStyle w:val="Compact"/>
      </w:pPr>
      <w:r>
        <w:t xml:space="preserve">Sayumi York, Notre Dame of Maryland University</w:t>
      </w:r>
    </w:p>
    <w:bookmarkEnd w:id="360"/>
    <w:bookmarkEnd w:id="361"/>
    <w:bookmarkEnd w:id="362"/>
    <w:bookmarkEnd w:id="363"/>
    <w:bookmarkStart w:id="36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178"/>
        </w:numPr>
        <w:pStyle w:val="Compact"/>
      </w:pPr>
      <w:r>
        <w:t xml:space="preserve">Engage with the Scientific Process</w:t>
      </w:r>
    </w:p>
    <w:p>
      <w:pPr>
        <w:numPr>
          <w:ilvl w:val="0"/>
          <w:numId w:val="1178"/>
        </w:numPr>
        <w:pStyle w:val="Compact"/>
      </w:pPr>
      <w:r>
        <w:t xml:space="preserve">Communicate your findings</w:t>
      </w:r>
    </w:p>
    <w:p>
      <w:pPr>
        <w:numPr>
          <w:ilvl w:val="0"/>
          <w:numId w:val="1178"/>
        </w:numPr>
        <w:pStyle w:val="Compact"/>
      </w:pPr>
      <w:r>
        <w:t xml:space="preserve">Create an outline for further exploratory research</w:t>
      </w:r>
    </w:p>
    <w:p>
      <w:pPr>
        <w:numPr>
          <w:ilvl w:val="0"/>
          <w:numId w:val="1178"/>
        </w:numPr>
        <w:pStyle w:val="Compact"/>
      </w:pPr>
      <w:r>
        <w:t xml:space="preserve">Develop your plot images using R code</w:t>
      </w:r>
    </w:p>
    <w:p>
      <w:pPr>
        <w:pStyle w:val="FirstParagraph"/>
      </w:pPr>
      <w:r>
        <w:t xml:space="preserve">Introduction</w:t>
      </w:r>
    </w:p>
    <w:p>
      <w:pPr>
        <w:pStyle w:val="BodyText"/>
      </w:pPr>
      <w:r>
        <w:t xml:space="preserve">It’s time to begin working on your independent research projects! You have your choice of a few datasets, each which allows you to ask a different set of questions and examine different variables.</w:t>
      </w:r>
    </w:p>
    <w:p>
      <w:pPr>
        <w:pStyle w:val="BodyText"/>
      </w:pPr>
      <w:r>
        <w:t xml:space="preserve">Here’s a few ideas to get you started:</w:t>
      </w:r>
    </w:p>
    <w:p>
      <w:pPr>
        <w:numPr>
          <w:ilvl w:val="0"/>
          <w:numId w:val="1179"/>
        </w:numPr>
        <w:pStyle w:val="Compact"/>
      </w:pPr>
      <w:r>
        <w:t xml:space="preserve">Pre- and probiotic supplements have been gaining visibilty over time as the field next generation sequencing has grown. What taxa are included in popular supplements? Can you find them in these datasets and if so, how are they correlated with different conditions?</w:t>
      </w:r>
    </w:p>
    <w:p>
      <w:pPr>
        <w:numPr>
          <w:ilvl w:val="0"/>
          <w:numId w:val="1179"/>
        </w:numPr>
        <w:pStyle w:val="Compact"/>
      </w:pPr>
      <w:r>
        <w:t xml:space="preserve">Many disease states are reflected in the gut microbiome, even if they themselves are not gastrointestinal disorders. Think of some disease states that you’re interested in. What kinds of microbiome compositions do we see in different states and how is biodiversity impacted?</w:t>
      </w:r>
    </w:p>
    <w:p>
      <w:pPr>
        <w:numPr>
          <w:ilvl w:val="0"/>
          <w:numId w:val="1179"/>
        </w:numPr>
        <w:pStyle w:val="Compact"/>
      </w:pPr>
      <w:r>
        <w:t xml:space="preserve">While we often focus on the most common core microbes, some datasets have a wealth of rare taxa to explore and may be important to the host’s phenotype. Consider looking at a few less common microbes in more detail and see if one catches your eye.</w:t>
      </w:r>
    </w:p>
    <w:bookmarkStart w:id="364" w:name="X6fc4309e4204e5588f204be8374e0fe94806c0a"/>
    <w:p>
      <w:pPr>
        <w:pStyle w:val="Heading3"/>
      </w:pPr>
      <w:r>
        <w:rPr>
          <w:rStyle w:val="SectionNumber"/>
        </w:rPr>
        <w:t xml:space="preserve">6.0.1</w:t>
      </w:r>
      <w:r>
        <w:tab/>
      </w:r>
      <w:r>
        <w:t xml:space="preserve">Activity 1 – Use the project work module to come up with a research question</w:t>
      </w:r>
    </w:p>
    <w:p>
      <w:pPr>
        <w:pStyle w:val="FirstParagraph"/>
      </w:pPr>
      <w:r>
        <w:rPr>
          <w:iCs/>
          <w:i/>
        </w:rPr>
        <w:t xml:space="preserve">Estimated time: 90 minutes, however may vary greatly by research team</w:t>
      </w:r>
    </w:p>
    <w:p>
      <w:pPr>
        <w:numPr>
          <w:ilvl w:val="0"/>
          <w:numId w:val="1180"/>
        </w:numPr>
        <w:pStyle w:val="Compact"/>
      </w:pPr>
      <w:r>
        <w:t xml:space="preserve">Access the C-MOOR Tutorials</w:t>
      </w:r>
    </w:p>
    <w:p>
      <w:pPr>
        <w:numPr>
          <w:ilvl w:val="0"/>
          <w:numId w:val="1181"/>
        </w:numPr>
      </w:pPr>
      <w:r>
        <w:t xml:space="preserve">If you are using SciServer, log into SciServer, click on compute and open your</w:t>
      </w:r>
      <w:r>
        <w:t xml:space="preserve"> </w:t>
      </w:r>
      <w:r>
        <w:t xml:space="preserve">“</w:t>
      </w:r>
      <w:r>
        <w:t xml:space="preserve">C-MOOR LearnR</w:t>
      </w:r>
      <w:r>
        <w:t xml:space="preserve">”</w:t>
      </w:r>
      <w:r>
        <w:t xml:space="preserve"> </w:t>
      </w:r>
      <w:r>
        <w:t xml:space="preserve">container. Visit SciServer Guides and FAQs if you need to jog your memory on how to do this.</w:t>
      </w:r>
    </w:p>
    <w:p>
      <w:pPr>
        <w:numPr>
          <w:ilvl w:val="0"/>
          <w:numId w:val="1181"/>
        </w:numPr>
      </w:pPr>
      <w:r>
        <w:t xml:space="preserve">If you are using AnVIL, log into AnVIL, navigate to your class Workspace, start up an RStudio Cloud Environment, and open RStudio. Visit the AnVIL Guides and FAQs if you need to jog your memory on how to do this. This module can be found in the</w:t>
      </w:r>
      <w:r>
        <w:t xml:space="preserve"> </w:t>
      </w:r>
      <w:r>
        <w:t xml:space="preserve">“</w:t>
      </w:r>
      <w:r>
        <w:t xml:space="preserve">3-16s-project</w:t>
      </w:r>
      <w:r>
        <w:t xml:space="preserve">”</w:t>
      </w:r>
      <w:r>
        <w:t xml:space="preserve"> </w:t>
      </w:r>
      <w:r>
        <w:t xml:space="preserve">folder of the</w:t>
      </w:r>
      <w:r>
        <w:t xml:space="preserve"> </w:t>
      </w:r>
      <w:r>
        <w:t xml:space="preserve">“</w:t>
      </w:r>
      <w:r>
        <w:t xml:space="preserve">16s</w:t>
      </w:r>
      <w:r>
        <w:t xml:space="preserve">”</w:t>
      </w:r>
      <w:r>
        <w:t xml:space="preserve"> </w:t>
      </w:r>
      <w:r>
        <w:t xml:space="preserve">curriculum folder.</w:t>
      </w:r>
    </w:p>
    <w:p>
      <w:pPr>
        <w:numPr>
          <w:ilvl w:val="0"/>
          <w:numId w:val="1181"/>
        </w:numPr>
      </w:pPr>
      <w:r>
        <w:t xml:space="preserve">If you are using an alternative setup, follow the instructions provided by your instructor.</w:t>
      </w:r>
    </w:p>
    <w:p>
      <w:pPr>
        <w:numPr>
          <w:ilvl w:val="0"/>
          <w:numId w:val="1182"/>
        </w:numPr>
        <w:pStyle w:val="Compact"/>
      </w:pPr>
      <w:r>
        <w:t xml:space="preserve">Start the</w:t>
      </w:r>
      <w:r>
        <w:t xml:space="preserve"> </w:t>
      </w:r>
      <w:r>
        <w:t xml:space="preserve">“</w:t>
      </w:r>
      <w:r>
        <w:t xml:space="preserve">16S rRNA Human Gut Microbiome Project Work</w:t>
      </w:r>
      <w:r>
        <w:t xml:space="preserve">”</w:t>
      </w:r>
      <w:r>
        <w:t xml:space="preserve"> </w:t>
      </w:r>
      <w:r>
        <w:t xml:space="preserve">tutorial.</w:t>
      </w:r>
    </w:p>
    <w:p>
      <w:pPr>
        <w:numPr>
          <w:ilvl w:val="0"/>
          <w:numId w:val="1182"/>
        </w:numPr>
        <w:pStyle w:val="Compact"/>
      </w:pPr>
      <w:r>
        <w:t xml:space="preserve">This tutorial allows you to jump to different datasets and analyses of your choice and run short lines of code to analyze the data.</w:t>
      </w:r>
    </w:p>
    <w:p>
      <w:pPr>
        <w:numPr>
          <w:ilvl w:val="0"/>
          <w:numId w:val="1182"/>
        </w:numPr>
        <w:pStyle w:val="Compact"/>
      </w:pPr>
      <w:r>
        <w:t xml:space="preserve">Consult your research group and instructor as your research idea progresses until you’ve come up with a testable idea that everyone is satisfied with.</w:t>
      </w:r>
    </w:p>
    <w:bookmarkEnd w:id="364"/>
    <w:bookmarkStart w:id="368" w:name="footnotes-17"/>
    <w:p>
      <w:pPr>
        <w:pStyle w:val="Heading3"/>
      </w:pPr>
      <w:r>
        <w:rPr>
          <w:rStyle w:val="SectionNumber"/>
        </w:rPr>
        <w:t xml:space="preserve">6.0.2</w:t>
      </w:r>
      <w:r>
        <w:tab/>
      </w:r>
      <w:r>
        <w:t xml:space="preserve">Footnotes</w:t>
      </w:r>
    </w:p>
    <w:p>
      <w:pPr>
        <w:numPr>
          <w:ilvl w:val="0"/>
          <w:numId w:val="1183"/>
        </w:numPr>
        <w:pStyle w:val="Compact"/>
      </w:pPr>
      <w:hyperlink r:id="rId365">
        <w:r>
          <w:rPr>
            <w:rStyle w:val="Hyperlink"/>
          </w:rPr>
          <w:t xml:space="preserve">16S miniCURE Guide</w:t>
        </w:r>
      </w:hyperlink>
    </w:p>
    <w:bookmarkStart w:id="366" w:name="resources-21"/>
    <w:p>
      <w:pPr>
        <w:pStyle w:val="Heading4"/>
      </w:pPr>
      <w:r>
        <w:rPr>
          <w:rStyle w:val="SectionNumber"/>
        </w:rPr>
        <w:t xml:space="preserve">6.0.2.1</w:t>
      </w:r>
      <w:r>
        <w:tab/>
      </w:r>
      <w:r>
        <w:t xml:space="preserve">Resources</w:t>
      </w:r>
    </w:p>
    <w:bookmarkEnd w:id="366"/>
    <w:bookmarkStart w:id="367" w:name="contributions-and-affiliations-17"/>
    <w:p>
      <w:pPr>
        <w:pStyle w:val="Heading4"/>
      </w:pPr>
      <w:r>
        <w:rPr>
          <w:rStyle w:val="SectionNumber"/>
        </w:rPr>
        <w:t xml:space="preserve">6.0.2.2</w:t>
      </w:r>
      <w:r>
        <w:tab/>
      </w:r>
      <w:r>
        <w:t xml:space="preserve">Contributions and affiliations</w:t>
      </w:r>
    </w:p>
    <w:p>
      <w:pPr>
        <w:numPr>
          <w:ilvl w:val="0"/>
          <w:numId w:val="1184"/>
        </w:numPr>
        <w:pStyle w:val="Compact"/>
      </w:pPr>
      <w:r>
        <w:t xml:space="preserve">Valeriya Gaysinskaya, Johns Hopkins University</w:t>
      </w:r>
    </w:p>
    <w:p>
      <w:pPr>
        <w:numPr>
          <w:ilvl w:val="0"/>
          <w:numId w:val="1184"/>
        </w:numPr>
        <w:pStyle w:val="Compact"/>
      </w:pPr>
      <w:r>
        <w:t xml:space="preserve">Gauri Paul, Clovis Community College</w:t>
      </w:r>
    </w:p>
    <w:p>
      <w:pPr>
        <w:numPr>
          <w:ilvl w:val="0"/>
          <w:numId w:val="1184"/>
        </w:numPr>
        <w:pStyle w:val="Compact"/>
      </w:pPr>
      <w:r>
        <w:t xml:space="preserve">Gugulethu Sakana, Clovis Community College</w:t>
      </w:r>
    </w:p>
    <w:p>
      <w:pPr>
        <w:numPr>
          <w:ilvl w:val="0"/>
          <w:numId w:val="1184"/>
        </w:numPr>
        <w:pStyle w:val="Compact"/>
      </w:pPr>
      <w:r>
        <w:t xml:space="preserve">Frederick Tan, Johns Hopkins University</w:t>
      </w:r>
    </w:p>
    <w:p>
      <w:pPr>
        <w:numPr>
          <w:ilvl w:val="0"/>
          <w:numId w:val="1184"/>
        </w:numPr>
        <w:pStyle w:val="Compact"/>
      </w:pPr>
      <w:r>
        <w:t xml:space="preserve">Rosa Alcazar, Clovis Community College</w:t>
      </w:r>
    </w:p>
    <w:p>
      <w:pPr>
        <w:numPr>
          <w:ilvl w:val="0"/>
          <w:numId w:val="1184"/>
        </w:numPr>
        <w:pStyle w:val="Compact"/>
      </w:pPr>
      <w:r>
        <w:t xml:space="preserve">Stephanie Coffman, Clovis Community College</w:t>
      </w:r>
    </w:p>
    <w:p>
      <w:pPr>
        <w:numPr>
          <w:ilvl w:val="0"/>
          <w:numId w:val="1184"/>
        </w:numPr>
        <w:pStyle w:val="Compact"/>
      </w:pPr>
      <w:r>
        <w:t xml:space="preserve">Sayumi York, Notre Dame of Maryland University</w:t>
      </w:r>
    </w:p>
    <w:p>
      <w:pPr>
        <w:pStyle w:val="FirstParagraph"/>
      </w:pPr>
      <w:r>
        <w:t xml:space="preserve">Last Revised: June 5, 2026</w:t>
      </w:r>
    </w:p>
    <w:bookmarkEnd w:id="367"/>
    <w:bookmarkEnd w:id="368"/>
    <w:bookmarkEnd w:id="369"/>
    <w:bookmarkStart w:id="385" w:name="additional-datasets"/>
    <w:p>
      <w:pPr>
        <w:pStyle w:val="Heading1"/>
      </w:pPr>
      <w:r>
        <w:rPr>
          <w:rStyle w:val="SectionNumber"/>
        </w:rPr>
        <w:t xml:space="preserve">7</w:t>
      </w:r>
      <w:r>
        <w:tab/>
      </w:r>
      <w:r>
        <w:t xml:space="preserve">Additional Datasets</w:t>
      </w:r>
    </w:p>
    <w:bookmarkStart w:id="375" w:name="the-fefifo-study"/>
    <w:p>
      <w:pPr>
        <w:pStyle w:val="Heading2"/>
      </w:pPr>
      <w:r>
        <w:rPr>
          <w:rStyle w:val="SectionNumber"/>
        </w:rPr>
        <w:t xml:space="preserve">7.1</w:t>
      </w:r>
      <w:r>
        <w:tab/>
      </w:r>
      <w:r>
        <w:t xml:space="preserve">The FeFiFo Study</w:t>
      </w:r>
    </w:p>
    <w:p>
      <w:pPr>
        <w:pStyle w:val="FirstParagraph"/>
      </w:pPr>
      <w:r>
        <w:t xml:space="preserve">You have probably heard that some fermented foods like yogurt and cheese contain bacteria that help support a healthy gut. Likewise, fiber is known for positively impacting digestion (though you can also have too much of all of these foods).</w:t>
      </w:r>
    </w:p>
    <w:p>
      <w:pPr>
        <w:pStyle w:val="BodyText"/>
      </w:pPr>
      <w:r>
        <w:t xml:space="preserve">Wastyk et al. (2021) explored these foods further in their study</w:t>
      </w:r>
      <w:r>
        <w:t xml:space="preserve"> </w:t>
      </w:r>
      <w:hyperlink r:id="rId370">
        <w:r>
          <w:rPr>
            <w:rStyle w:val="Hyperlink"/>
            <w:iCs/>
            <w:i/>
          </w:rPr>
          <w:t xml:space="preserve">Gut-microbiota-targeted diets modulate human immune status</w:t>
        </w:r>
      </w:hyperlink>
      <w:r>
        <w:t xml:space="preserve"> </w:t>
      </w:r>
      <w:r>
        <w:t xml:space="preserve">We call this the FeFiFo study because the experimental design includes fermented and fiber-rich food treatment groups.</w:t>
      </w:r>
    </w:p>
    <w:p>
      <w:pPr>
        <w:pStyle w:val="BodyText"/>
      </w:pPr>
      <w:r>
        <w:drawing>
          <wp:inline>
            <wp:extent cx="5334000" cy="3000375"/>
            <wp:effectExtent b="0" l="0" r="0" t="0"/>
            <wp:docPr descr="" title="" id="372" name="Picture"/>
            <a:graphic>
              <a:graphicData uri="http://schemas.openxmlformats.org/drawingml/2006/picture">
                <pic:pic>
                  <pic:nvPicPr>
                    <pic:cNvPr descr="additional-datasets_files/figure-docx//1dEZtb0TgLbzhbr3HxQElwg8hENur2HMIzseg19OGd0g_g36eaabae9be_0_25.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researchers examined effect of either high fiber (n=18) or fermented foods on the gut microbiome (n=18). Rather than controlling diet entirely through standardized portions, participants were allowed to select what foods they ate so long as these foods were high in fiber or were fermented. Additional metadata was collected from participants including ethnicity, relationship status, employment status, and education level. Similarly to the MISO study, participants had a baseline diet before switching to an intervention diet and finally returned to being allowed to eat whatever they wanted.</w:t>
      </w:r>
    </w:p>
    <w:bookmarkStart w:id="374" w:name="some-questions-to-get-you-started"/>
    <w:p>
      <w:pPr>
        <w:pStyle w:val="Heading4"/>
      </w:pPr>
      <w:r>
        <w:rPr>
          <w:rStyle w:val="SectionNumber"/>
        </w:rPr>
        <w:t xml:space="preserve">7.1.0.1</w:t>
      </w:r>
      <w:r>
        <w:tab/>
      </w:r>
      <w:r>
        <w:t xml:space="preserve">Some questions to get you started</w:t>
      </w:r>
    </w:p>
    <w:p>
      <w:pPr>
        <w:numPr>
          <w:ilvl w:val="0"/>
          <w:numId w:val="1185"/>
        </w:numPr>
        <w:pStyle w:val="Compact"/>
      </w:pPr>
      <w:r>
        <w:t xml:space="preserve">How variable is the change of microbiome composition and alpha diversity across individuals? Do all individuals change the same amount or are there some individuals much more sensitive to their chosen food group?</w:t>
      </w:r>
    </w:p>
    <w:p>
      <w:pPr>
        <w:numPr>
          <w:ilvl w:val="0"/>
          <w:numId w:val="1185"/>
        </w:numPr>
        <w:pStyle w:val="Compact"/>
      </w:pPr>
      <w:r>
        <w:t xml:space="preserve">What are the most abundant microbes in each treatment (fiber, fermented)? Are they similar taxa or different?</w:t>
      </w:r>
    </w:p>
    <w:p>
      <w:pPr>
        <w:numPr>
          <w:ilvl w:val="0"/>
          <w:numId w:val="1185"/>
        </w:numPr>
        <w:pStyle w:val="Compact"/>
      </w:pPr>
      <w:r>
        <w:t xml:space="preserve">Is there any relationship between ethnicity, education, employment, relationship status and microbiome composition and/or alpha diversity?</w:t>
      </w:r>
    </w:p>
    <w:p>
      <w:pPr>
        <w:numPr>
          <w:ilvl w:val="0"/>
          <w:numId w:val="1185"/>
        </w:numPr>
        <w:pStyle w:val="Compact"/>
      </w:pPr>
      <w:r>
        <w:t xml:space="preserve">Are the subject’s microbiomes at a given timepoint similar to each other? Similar to other samples from the same subject no matter the timepoint?</w:t>
      </w:r>
    </w:p>
    <w:bookmarkEnd w:id="374"/>
    <w:bookmarkEnd w:id="375"/>
    <w:bookmarkStart w:id="384" w:name="alzheimers-dataset"/>
    <w:p>
      <w:pPr>
        <w:pStyle w:val="Heading2"/>
      </w:pPr>
      <w:r>
        <w:rPr>
          <w:rStyle w:val="SectionNumber"/>
        </w:rPr>
        <w:t xml:space="preserve">7.2</w:t>
      </w:r>
      <w:r>
        <w:tab/>
      </w:r>
      <w:r>
        <w:t xml:space="preserve">Alzheimer’s dataset</w:t>
      </w:r>
    </w:p>
    <w:p>
      <w:pPr>
        <w:pStyle w:val="FirstParagraph"/>
      </w:pPr>
      <w:r>
        <w:t xml:space="preserve">Our body requires our organs working in tandem and communicating with each other in order to function. One of the key relationships you may have heard of is the gut-brain axis, a bidirectional relationship between the gastrointestinal system and the central nervous system.</w:t>
      </w:r>
    </w:p>
    <w:p>
      <w:pPr>
        <w:pStyle w:val="BodyText"/>
      </w:pPr>
      <w:r>
        <w:drawing>
          <wp:inline>
            <wp:extent cx="5334000" cy="3000375"/>
            <wp:effectExtent b="0" l="0" r="0" t="0"/>
            <wp:docPr descr="" title="" id="377" name="Picture"/>
            <a:graphic>
              <a:graphicData uri="http://schemas.openxmlformats.org/drawingml/2006/picture">
                <pic:pic>
                  <pic:nvPicPr>
                    <pic:cNvPr descr="additional-datasets_files/figure-docx//1dEZtb0TgLbzhbr3HxQElwg8hENur2HMIzseg19OGd0g_g36eaabae9be_0_235.png" id="378" name="Picture"/>
                    <pic:cNvPicPr>
                      <a:picLocks noChangeArrowheads="1" noChangeAspect="1"/>
                    </pic:cNvPicPr>
                  </pic:nvPicPr>
                  <pic:blipFill>
                    <a:blip r:embed="rId3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explore this relationship within the specific context of a disease, we have a dataset from</w:t>
      </w:r>
      <w:r>
        <w:t xml:space="preserve"> </w:t>
      </w:r>
      <w:hyperlink r:id="rId379">
        <w:r>
          <w:rPr>
            <w:rStyle w:val="Hyperlink"/>
            <w:iCs/>
            <w:i/>
          </w:rPr>
          <w:t xml:space="preserve">Gut microbiota is altered in patients with Alzheimer’s disease</w:t>
        </w:r>
        <w:r>
          <w:rPr>
            <w:rStyle w:val="Hyperlink"/>
          </w:rPr>
          <w:t xml:space="preserve"> </w:t>
        </w:r>
        <w:r>
          <w:rPr>
            <w:rStyle w:val="Hyperlink"/>
          </w:rPr>
          <w:t xml:space="preserve">by Zhuang et al. (2018)</w:t>
        </w:r>
      </w:hyperlink>
      <w:r>
        <w:t xml:space="preserve">. This dataset was selected by a student from Clovis Community College and integrated into our curriculum! In this study researchers sequenced the gut microbiome from 43 patients with Alzheimer’s disease and 43 patients from age and sex matched controls. The metadata is more sparse than our other datasets, but a wealth of taxonomic information remains unanalyzed!</w:t>
      </w:r>
    </w:p>
    <w:p>
      <w:pPr>
        <w:pStyle w:val="BodyText"/>
      </w:pPr>
      <w:r>
        <w:t xml:space="preserve">As computational methods and biological databases have advanced in the nearly decade since, we reanalyzed the raw data from this study with a more recent database (SILVA 138.2). As such, you may find that your results are drastically different from the original study, and its possible that changes in our understanding of microbiology and the processed data may lead us to draw different conclusions than the original authors.</w:t>
      </w:r>
    </w:p>
    <w:bookmarkStart w:id="380" w:name="some-questions-to-get-you-started-1"/>
    <w:p>
      <w:pPr>
        <w:pStyle w:val="Heading4"/>
      </w:pPr>
      <w:r>
        <w:rPr>
          <w:rStyle w:val="SectionNumber"/>
        </w:rPr>
        <w:t xml:space="preserve">7.2.0.1</w:t>
      </w:r>
      <w:r>
        <w:tab/>
      </w:r>
      <w:r>
        <w:t xml:space="preserve">Some questions to get you started</w:t>
      </w:r>
    </w:p>
    <w:p>
      <w:pPr>
        <w:numPr>
          <w:ilvl w:val="0"/>
          <w:numId w:val="1186"/>
        </w:numPr>
        <w:pStyle w:val="Compact"/>
      </w:pPr>
      <w:r>
        <w:t xml:space="preserve">How similar are microbiomes between healthy and AD individuals in composition and/or alpha diversity?</w:t>
      </w:r>
    </w:p>
    <w:p>
      <w:pPr>
        <w:numPr>
          <w:ilvl w:val="0"/>
          <w:numId w:val="1186"/>
        </w:numPr>
        <w:pStyle w:val="Compact"/>
      </w:pPr>
      <w:r>
        <w:t xml:space="preserve">Looking at other published research studies, are the microbial taxa associated with AD also found in this study?</w:t>
      </w:r>
    </w:p>
    <w:p>
      <w:pPr>
        <w:numPr>
          <w:ilvl w:val="0"/>
          <w:numId w:val="1186"/>
        </w:numPr>
        <w:pStyle w:val="Compact"/>
      </w:pPr>
      <w:r>
        <w:t xml:space="preserve">Select a microbial taxa of interest (perhaps from the idea above) and explore it at increasing levels of resolution up to the level of species. Looking at other published research studies, what functions are these taxa associated with? Do they have any relation to AD or other neurodegenerative diseases?</w:t>
      </w:r>
    </w:p>
    <w:bookmarkEnd w:id="380"/>
    <w:bookmarkStart w:id="383" w:name="footnotes-18"/>
    <w:p>
      <w:pPr>
        <w:pStyle w:val="Heading3"/>
      </w:pPr>
      <w:r>
        <w:rPr>
          <w:rStyle w:val="SectionNumber"/>
        </w:rPr>
        <w:t xml:space="preserve">7.2.1</w:t>
      </w:r>
      <w:r>
        <w:tab/>
      </w:r>
      <w:r>
        <w:t xml:space="preserve">Footnotes</w:t>
      </w:r>
    </w:p>
    <w:bookmarkStart w:id="381" w:name="resources-22"/>
    <w:p>
      <w:pPr>
        <w:pStyle w:val="Heading4"/>
      </w:pPr>
      <w:r>
        <w:rPr>
          <w:rStyle w:val="SectionNumber"/>
        </w:rPr>
        <w:t xml:space="preserve">7.2.1.1</w:t>
      </w:r>
      <w:r>
        <w:tab/>
      </w:r>
      <w:r>
        <w:t xml:space="preserve">Resources</w:t>
      </w:r>
    </w:p>
    <w:p>
      <w:pPr>
        <w:numPr>
          <w:ilvl w:val="0"/>
          <w:numId w:val="1187"/>
        </w:numPr>
        <w:pStyle w:val="Compact"/>
      </w:pPr>
      <w:hyperlink r:id="rId365">
        <w:r>
          <w:rPr>
            <w:rStyle w:val="Hyperlink"/>
          </w:rPr>
          <w:t xml:space="preserve">16S miniCURE Guide</w:t>
        </w:r>
      </w:hyperlink>
    </w:p>
    <w:p>
      <w:pPr>
        <w:numPr>
          <w:ilvl w:val="0"/>
          <w:numId w:val="1187"/>
        </w:numPr>
        <w:pStyle w:val="Compact"/>
      </w:pPr>
      <w:hyperlink r:id="rId370">
        <w:r>
          <w:rPr>
            <w:rStyle w:val="Hyperlink"/>
          </w:rPr>
          <w:t xml:space="preserve">Wastyk et al. 2021</w:t>
        </w:r>
      </w:hyperlink>
    </w:p>
    <w:p>
      <w:pPr>
        <w:numPr>
          <w:ilvl w:val="0"/>
          <w:numId w:val="1187"/>
        </w:numPr>
        <w:pStyle w:val="Compact"/>
      </w:pPr>
      <w:hyperlink r:id="rId379">
        <w:r>
          <w:rPr>
            <w:rStyle w:val="Hyperlink"/>
          </w:rPr>
          <w:t xml:space="preserve">Zhuang et al. 2018</w:t>
        </w:r>
      </w:hyperlink>
    </w:p>
    <w:bookmarkEnd w:id="381"/>
    <w:bookmarkStart w:id="382" w:name="contributions-and-affiliations-18"/>
    <w:p>
      <w:pPr>
        <w:pStyle w:val="Heading4"/>
      </w:pPr>
      <w:r>
        <w:rPr>
          <w:rStyle w:val="SectionNumber"/>
        </w:rPr>
        <w:t xml:space="preserve">7.2.1.2</w:t>
      </w:r>
      <w:r>
        <w:tab/>
      </w:r>
      <w:r>
        <w:t xml:space="preserve">Contributions and Affiliations</w:t>
      </w:r>
    </w:p>
    <w:p>
      <w:pPr>
        <w:numPr>
          <w:ilvl w:val="0"/>
          <w:numId w:val="1188"/>
        </w:numPr>
        <w:pStyle w:val="Compact"/>
      </w:pPr>
      <w:r>
        <w:t xml:space="preserve">Sayumi York, Notre Dame of Maryland University</w:t>
      </w:r>
    </w:p>
    <w:p>
      <w:pPr>
        <w:pStyle w:val="FirstParagraph"/>
      </w:pPr>
      <w:r>
        <w:t xml:space="preserve">Last Revised: June 5, 2026</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382"/>
    <w:bookmarkEnd w:id="383"/>
    <w:bookmarkEnd w:id="384"/>
    <w:bookmarkEnd w:id="385"/>
    <w:bookmarkStart w:id="464" w:name="scientific-posters"/>
    <w:p>
      <w:pPr>
        <w:pStyle w:val="Heading1"/>
      </w:pPr>
      <w:r>
        <w:rPr>
          <w:rStyle w:val="SectionNumber"/>
        </w:rPr>
        <w:t xml:space="preserve">8</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18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190"/>
        </w:numPr>
        <w:pStyle w:val="Compact"/>
      </w:pPr>
      <w:r>
        <w:t xml:space="preserve">The Clovis Community College Research Day</w:t>
      </w:r>
    </w:p>
    <w:p>
      <w:pPr>
        <w:numPr>
          <w:ilvl w:val="1"/>
          <w:numId w:val="1190"/>
        </w:numPr>
        <w:pStyle w:val="Compact"/>
      </w:pPr>
      <w:r>
        <w:t xml:space="preserve">The Notre Dame of Maryland University Research Day</w:t>
      </w:r>
    </w:p>
    <w:p>
      <w:pPr>
        <w:numPr>
          <w:ilvl w:val="1"/>
          <w:numId w:val="1190"/>
        </w:numPr>
        <w:pStyle w:val="Compact"/>
      </w:pPr>
      <w:r>
        <w:t xml:space="preserve">The GRADS-4C Conference (2025)</w:t>
      </w:r>
    </w:p>
    <w:p>
      <w:pPr>
        <w:pStyle w:val="FirstParagraph"/>
      </w:pPr>
      <w:r>
        <w:drawing>
          <wp:inline>
            <wp:extent cx="5334000" cy="3000375"/>
            <wp:effectExtent b="0" l="0" r="0" t="0"/>
            <wp:docPr descr="" title="" id="387" name="Picture"/>
            <a:graphic>
              <a:graphicData uri="http://schemas.openxmlformats.org/drawingml/2006/picture">
                <pic:pic>
                  <pic:nvPicPr>
                    <pic:cNvPr descr="community-analysis-and-feedback_files/figure-docx//1dI8-_iVqbkzNMf11M4dK85E8ZW3OyZECs_YwMKw5fhs_g362974128df_0_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9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19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38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19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390">
        <w:r>
          <w:rPr>
            <w:rStyle w:val="Hyperlink"/>
          </w:rPr>
          <w:t xml:space="preserve">poster on posters!</w:t>
        </w:r>
      </w:hyperlink>
    </w:p>
    <w:bookmarkStart w:id="439" w:name="making-a-group-poster"/>
    <w:p>
      <w:pPr>
        <w:pStyle w:val="Heading2"/>
      </w:pPr>
      <w:r>
        <w:rPr>
          <w:rStyle w:val="SectionNumber"/>
        </w:rPr>
        <w:t xml:space="preserve">8.1</w:t>
      </w:r>
      <w:r>
        <w:tab/>
      </w:r>
      <w:r>
        <w:t xml:space="preserve">Making a Group Poster</w:t>
      </w:r>
    </w:p>
    <w:bookmarkStart w:id="391" w:name="preparing-to-make-a-poster"/>
    <w:p>
      <w:pPr>
        <w:pStyle w:val="Heading3"/>
      </w:pPr>
      <w:r>
        <w:rPr>
          <w:rStyle w:val="SectionNumber"/>
        </w:rPr>
        <w:t xml:space="preserve">8.1.1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391"/>
    <w:bookmarkStart w:id="393" w:name="part-1---choose-a-template"/>
    <w:p>
      <w:pPr>
        <w:pStyle w:val="Heading3"/>
      </w:pPr>
      <w:r>
        <w:rPr>
          <w:rStyle w:val="SectionNumber"/>
        </w:rPr>
        <w:t xml:space="preserve">8.1.2</w:t>
      </w:r>
      <w:r>
        <w:tab/>
      </w:r>
      <w:r>
        <w:t xml:space="preserve">Part 1 - Choose a Template</w:t>
      </w:r>
    </w:p>
    <w:p>
      <w:pPr>
        <w:pStyle w:val="FirstParagraph"/>
      </w:pPr>
      <w:r>
        <w:rPr>
          <w:iCs/>
          <w:i/>
        </w:rPr>
        <w:t xml:space="preserve">Estimated time: 5 minutes</w:t>
      </w:r>
    </w:p>
    <w:p>
      <w:pPr>
        <w:numPr>
          <w:ilvl w:val="0"/>
          <w:numId w:val="1192"/>
        </w:numPr>
        <w:pStyle w:val="Compact"/>
      </w:pPr>
      <w:r>
        <w:t xml:space="preserve">With your group, open a suggested</w:t>
      </w:r>
      <w:r>
        <w:t xml:space="preserve"> </w:t>
      </w:r>
      <w:hyperlink r:id="rId392">
        <w:r>
          <w:rPr>
            <w:rStyle w:val="Hyperlink"/>
          </w:rPr>
          <w:t xml:space="preserve">poster template</w:t>
        </w:r>
      </w:hyperlink>
      <w:r>
        <w:t xml:space="preserve"> </w:t>
      </w:r>
      <w:r>
        <w:t xml:space="preserve">to use for your poster.</w:t>
      </w:r>
    </w:p>
    <w:p>
      <w:pPr>
        <w:numPr>
          <w:ilvl w:val="0"/>
          <w:numId w:val="1192"/>
        </w:numPr>
        <w:pStyle w:val="Compact"/>
      </w:pPr>
      <w:r>
        <w:t xml:space="preserve">Discuss with your group how you will divide up the work and exchange important information (e.g. phone numbers, email). Consider the following sections:</w:t>
      </w:r>
    </w:p>
    <w:p>
      <w:pPr>
        <w:numPr>
          <w:ilvl w:val="0"/>
          <w:numId w:val="1193"/>
        </w:numPr>
        <w:pStyle w:val="Compact"/>
      </w:pPr>
      <w:r>
        <w:t xml:space="preserve">Abstract/Introduction</w:t>
      </w:r>
    </w:p>
    <w:p>
      <w:pPr>
        <w:numPr>
          <w:ilvl w:val="0"/>
          <w:numId w:val="1193"/>
        </w:numPr>
        <w:pStyle w:val="Compact"/>
      </w:pPr>
      <w:r>
        <w:t xml:space="preserve">Methods</w:t>
      </w:r>
    </w:p>
    <w:p>
      <w:pPr>
        <w:numPr>
          <w:ilvl w:val="0"/>
          <w:numId w:val="1193"/>
        </w:numPr>
        <w:pStyle w:val="Compact"/>
      </w:pPr>
      <w:r>
        <w:t xml:space="preserve">Results</w:t>
      </w:r>
    </w:p>
    <w:p>
      <w:pPr>
        <w:numPr>
          <w:ilvl w:val="0"/>
          <w:numId w:val="1193"/>
        </w:numPr>
        <w:pStyle w:val="Compact"/>
      </w:pPr>
      <w:r>
        <w:t xml:space="preserve">Conclusions/Discussion</w:t>
      </w:r>
    </w:p>
    <w:p>
      <w:pPr>
        <w:numPr>
          <w:ilvl w:val="0"/>
          <w:numId w:val="1193"/>
        </w:numPr>
        <w:pStyle w:val="Compact"/>
      </w:pPr>
      <w:r>
        <w:t xml:space="preserve">References</w:t>
      </w:r>
    </w:p>
    <w:p>
      <w:pPr>
        <w:numPr>
          <w:ilvl w:val="0"/>
          <w:numId w:val="1193"/>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393"/>
    <w:bookmarkStart w:id="431" w:name="X9dd2b8024e6c3fdd878c8e33fa6eaacd3888b94"/>
    <w:p>
      <w:pPr>
        <w:pStyle w:val="Heading3"/>
      </w:pPr>
      <w:r>
        <w:rPr>
          <w:rStyle w:val="SectionNumber"/>
        </w:rPr>
        <w:t xml:space="preserve">8.1.3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97" w:name="X617250bed78d561e84c31c5ecdd196317cafb67"/>
    <w:p>
      <w:pPr>
        <w:pStyle w:val="Heading4"/>
      </w:pPr>
      <w:r>
        <w:rPr>
          <w:rStyle w:val="SectionNumber"/>
        </w:rPr>
        <w:t xml:space="preserve">8.1.3.1</w:t>
      </w:r>
      <w:r>
        <w:tab/>
      </w:r>
      <w:r>
        <w:t xml:space="preserve">The header: title, authors, and affiliations</w:t>
      </w:r>
    </w:p>
    <w:p>
      <w:pPr>
        <w:pStyle w:val="FirstParagraph"/>
      </w:pPr>
      <w:r>
        <w:drawing>
          <wp:inline>
            <wp:extent cx="5334000" cy="3000375"/>
            <wp:effectExtent b="0" l="0" r="0" t="0"/>
            <wp:docPr descr="" title="" id="395" name="Picture"/>
            <a:graphic>
              <a:graphicData uri="http://schemas.openxmlformats.org/drawingml/2006/picture">
                <pic:pic>
                  <pic:nvPicPr>
                    <pic:cNvPr descr="community-analysis-and-feedback_files/figure-docx//1hYKF7Ss3vJ8rrUIH7ByNh1BUlRa2fhsJhq8MXzEowCc_g33d6e3b928f_0_67.png" id="396" name="Picture"/>
                    <pic:cNvPicPr>
                      <a:picLocks noChangeArrowheads="1" noChangeAspect="1"/>
                    </pic:cNvPicPr>
                  </pic:nvPicPr>
                  <pic:blipFill>
                    <a:blip r:embed="rId3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19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194"/>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195"/>
        </w:numPr>
        <w:pStyle w:val="Compact"/>
      </w:pPr>
      <w:r>
        <w:t xml:space="preserve">The title of the poster describes the main result of your research</w:t>
      </w:r>
    </w:p>
    <w:p>
      <w:pPr>
        <w:numPr>
          <w:ilvl w:val="0"/>
          <w:numId w:val="1195"/>
        </w:numPr>
        <w:pStyle w:val="Compact"/>
      </w:pPr>
      <w:r>
        <w:t xml:space="preserve">The title of the poster does not overstate the findings or significance of your research</w:t>
      </w:r>
    </w:p>
    <w:bookmarkEnd w:id="397"/>
    <w:bookmarkStart w:id="401" w:name="abstract"/>
    <w:p>
      <w:pPr>
        <w:pStyle w:val="Heading4"/>
      </w:pPr>
      <w:r>
        <w:rPr>
          <w:rStyle w:val="SectionNumber"/>
        </w:rPr>
        <w:t xml:space="preserve">8.1.3.2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399" name="Picture"/>
            <a:graphic>
              <a:graphicData uri="http://schemas.openxmlformats.org/drawingml/2006/picture">
                <pic:pic>
                  <pic:nvPicPr>
                    <pic:cNvPr descr="community-analysis-and-feedback_files/figure-docx//1dI8-_iVqbkzNMf11M4dK85E8ZW3OyZECs_YwMKw5fhs_g36d8202a6d3_0_0.png" id="400" name="Picture"/>
                    <pic:cNvPicPr>
                      <a:picLocks noChangeArrowheads="1" noChangeAspect="1"/>
                    </pic:cNvPicPr>
                  </pic:nvPicPr>
                  <pic:blipFill>
                    <a:blip r:embed="rId3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196"/>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197"/>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198"/>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199"/>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401"/>
    <w:bookmarkStart w:id="408" w:name="introduction-9"/>
    <w:p>
      <w:pPr>
        <w:pStyle w:val="Heading4"/>
      </w:pPr>
      <w:r>
        <w:rPr>
          <w:rStyle w:val="SectionNumber"/>
        </w:rPr>
        <w:t xml:space="preserve">8.1.3.3</w:t>
      </w:r>
      <w:r>
        <w:tab/>
      </w:r>
      <w:r>
        <w:t xml:space="preserve">Introduction</w:t>
      </w:r>
    </w:p>
    <w:p>
      <w:pPr>
        <w:pStyle w:val="FirstParagraph"/>
      </w:pPr>
      <w:r>
        <w:drawing>
          <wp:inline>
            <wp:extent cx="5334000" cy="3000375"/>
            <wp:effectExtent b="0" l="0" r="0" t="0"/>
            <wp:docPr descr="" title="" id="403" name="Picture"/>
            <a:graphic>
              <a:graphicData uri="http://schemas.openxmlformats.org/drawingml/2006/picture">
                <pic:pic>
                  <pic:nvPicPr>
                    <pic:cNvPr descr="community-analysis-and-feedback_files/figure-docx//1dI8-_iVqbkzNMf11M4dK85E8ZW3OyZECs_YwMKw5fhs_g362974128df_0_18.png" id="404" name="Picture"/>
                    <pic:cNvPicPr>
                      <a:picLocks noChangeArrowheads="1" noChangeAspect="1"/>
                    </pic:cNvPicPr>
                  </pic:nvPicPr>
                  <pic:blipFill>
                    <a:blip r:embed="rId4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200"/>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406" name="Picture"/>
            <a:graphic>
              <a:graphicData uri="http://schemas.openxmlformats.org/drawingml/2006/picture">
                <pic:pic>
                  <pic:nvPicPr>
                    <pic:cNvPr descr="community-analysis-and-feedback_files/figure-docx//1hYKF7Ss3vJ8rrUIH7ByNh1BUlRa2fhsJhq8MXzEowCc_g33d6e3b928f_0_149.png" id="407" name="Picture"/>
                    <pic:cNvPicPr>
                      <a:picLocks noChangeArrowheads="1" noChangeAspect="1"/>
                    </pic:cNvPicPr>
                  </pic:nvPicPr>
                  <pic:blipFill>
                    <a:blip r:embed="rId405"/>
                    <a:stretch>
                      <a:fillRect/>
                    </a:stretch>
                  </pic:blipFill>
                  <pic:spPr bwMode="auto">
                    <a:xfrm>
                      <a:off x="0" y="0"/>
                      <a:ext cx="5334000" cy="3000375"/>
                    </a:xfrm>
                    <a:prstGeom prst="rect">
                      <a:avLst/>
                    </a:prstGeom>
                    <a:noFill/>
                    <a:ln w="9525">
                      <a:noFill/>
                      <a:headEnd/>
                      <a:tailEnd/>
                    </a:ln>
                  </pic:spPr>
                </pic:pic>
              </a:graphicData>
            </a:graphic>
          </wp:inline>
        </w:drawing>
      </w:r>
    </w:p>
    <w:bookmarkEnd w:id="408"/>
    <w:bookmarkStart w:id="412" w:name="materials-and-methods"/>
    <w:p>
      <w:pPr>
        <w:pStyle w:val="Heading4"/>
      </w:pPr>
      <w:r>
        <w:rPr>
          <w:rStyle w:val="SectionNumber"/>
        </w:rPr>
        <w:t xml:space="preserve">8.1.3.4</w:t>
      </w:r>
      <w:r>
        <w:tab/>
      </w:r>
      <w:r>
        <w:t xml:space="preserve">Materials and Methods</w:t>
      </w:r>
    </w:p>
    <w:p>
      <w:pPr>
        <w:pStyle w:val="FirstParagraph"/>
      </w:pPr>
      <w:r>
        <w:drawing>
          <wp:inline>
            <wp:extent cx="5334000" cy="3000375"/>
            <wp:effectExtent b="0" l="0" r="0" t="0"/>
            <wp:docPr descr="" title="" id="410" name="Picture"/>
            <a:graphic>
              <a:graphicData uri="http://schemas.openxmlformats.org/drawingml/2006/picture">
                <pic:pic>
                  <pic:nvPicPr>
                    <pic:cNvPr descr="community-analysis-and-feedback_files/figure-docx//1hYKF7Ss3vJ8rrUIH7ByNh1BUlRa2fhsJhq8MXzEowCc_g33d6e3b928f_1_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412"/>
    <w:bookmarkStart w:id="416" w:name="results"/>
    <w:p>
      <w:pPr>
        <w:pStyle w:val="Heading4"/>
      </w:pPr>
      <w:r>
        <w:rPr>
          <w:rStyle w:val="SectionNumber"/>
        </w:rPr>
        <w:t xml:space="preserve">8.1.3.5</w:t>
      </w:r>
      <w:r>
        <w:tab/>
      </w:r>
      <w:r>
        <w:t xml:space="preserve">Results</w:t>
      </w:r>
    </w:p>
    <w:p>
      <w:pPr>
        <w:pStyle w:val="FirstParagraph"/>
      </w:pPr>
      <w:r>
        <w:drawing>
          <wp:inline>
            <wp:extent cx="5334000" cy="3000375"/>
            <wp:effectExtent b="0" l="0" r="0" t="0"/>
            <wp:docPr descr="" title="" id="414" name="Picture"/>
            <a:graphic>
              <a:graphicData uri="http://schemas.openxmlformats.org/drawingml/2006/picture">
                <pic:pic>
                  <pic:nvPicPr>
                    <pic:cNvPr descr="community-analysis-and-feedback_files/figure-docx//1hYKF7Ss3vJ8rrUIH7ByNh1BUlRa2fhsJhq8MXzEowCc_g33d6e3b928f_0_6.png" id="415" name="Picture"/>
                    <pic:cNvPicPr>
                      <a:picLocks noChangeArrowheads="1" noChangeAspect="1"/>
                    </pic:cNvPicPr>
                  </pic:nvPicPr>
                  <pic:blipFill>
                    <a:blip r:embed="rId4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01"/>
        </w:numPr>
        <w:pStyle w:val="Compact"/>
      </w:pPr>
      <w:r>
        <w:t xml:space="preserve">Has high resolution images, well spaced and labeled parts and text.</w:t>
      </w:r>
    </w:p>
    <w:p>
      <w:pPr>
        <w:numPr>
          <w:ilvl w:val="0"/>
          <w:numId w:val="120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02"/>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02"/>
        </w:numPr>
        <w:pStyle w:val="Compact"/>
      </w:pPr>
      <w:r>
        <w:t xml:space="preserve">The legend should be in a smaller font than the main text on the poster.</w:t>
      </w:r>
    </w:p>
    <w:p>
      <w:pPr>
        <w:numPr>
          <w:ilvl w:val="0"/>
          <w:numId w:val="120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0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03"/>
        </w:numPr>
        <w:pStyle w:val="Compact"/>
      </w:pPr>
      <w:r>
        <w:t xml:space="preserve">Figures and Tables can have additional (optional) text. E.g.an optional text can describe the findings of the figure upfront to engage.</w:t>
      </w:r>
    </w:p>
    <w:p>
      <w:pPr>
        <w:numPr>
          <w:ilvl w:val="0"/>
          <w:numId w:val="1203"/>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03"/>
        </w:numPr>
        <w:pStyle w:val="Compact"/>
      </w:pPr>
      <w:r>
        <w:t xml:space="preserve">Bullet pointed text that summarizes the main findings of the figures/tables.</w:t>
      </w:r>
    </w:p>
    <w:bookmarkEnd w:id="416"/>
    <w:bookmarkStart w:id="420" w:name="conclusionsdiscussion"/>
    <w:p>
      <w:pPr>
        <w:pStyle w:val="Heading4"/>
      </w:pPr>
      <w:r>
        <w:rPr>
          <w:rStyle w:val="SectionNumber"/>
        </w:rPr>
        <w:t xml:space="preserve">8.1.3.6</w:t>
      </w:r>
      <w:r>
        <w:tab/>
      </w:r>
      <w:r>
        <w:t xml:space="preserve">Conclusions/Discussion</w:t>
      </w:r>
    </w:p>
    <w:p>
      <w:pPr>
        <w:pStyle w:val="FirstParagraph"/>
      </w:pPr>
      <w:r>
        <w:drawing>
          <wp:inline>
            <wp:extent cx="5334000" cy="3000375"/>
            <wp:effectExtent b="0" l="0" r="0" t="0"/>
            <wp:docPr descr="" title="" id="418" name="Picture"/>
            <a:graphic>
              <a:graphicData uri="http://schemas.openxmlformats.org/drawingml/2006/picture">
                <pic:pic>
                  <pic:nvPicPr>
                    <pic:cNvPr descr="community-analysis-and-feedback_files/figure-docx//1dI8-_iVqbkzNMf11M4dK85E8ZW3OyZECs_YwMKw5fhs_g362974128df_0_52.png" id="419" name="Picture"/>
                    <pic:cNvPicPr>
                      <a:picLocks noChangeArrowheads="1" noChangeAspect="1"/>
                    </pic:cNvPicPr>
                  </pic:nvPicPr>
                  <pic:blipFill>
                    <a:blip r:embed="rId4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04"/>
        </w:numPr>
        <w:pStyle w:val="Compact"/>
      </w:pPr>
      <w:r>
        <w:t xml:space="preserve">What do your results mean?</w:t>
      </w:r>
    </w:p>
    <w:p>
      <w:pPr>
        <w:numPr>
          <w:ilvl w:val="0"/>
          <w:numId w:val="1204"/>
        </w:numPr>
        <w:pStyle w:val="Compact"/>
      </w:pPr>
      <w:r>
        <w:t xml:space="preserve">How do they fit into the bigger picture?</w:t>
      </w:r>
    </w:p>
    <w:p>
      <w:pPr>
        <w:numPr>
          <w:ilvl w:val="0"/>
          <w:numId w:val="1204"/>
        </w:numPr>
        <w:pStyle w:val="Compact"/>
      </w:pPr>
      <w:r>
        <w:t xml:space="preserve">If any experiments did not give expected results, hypothesize why that might have been the case and propose alternate experiments that could confirm or clarify your results.</w:t>
      </w:r>
    </w:p>
    <w:p>
      <w:pPr>
        <w:numPr>
          <w:ilvl w:val="0"/>
          <w:numId w:val="1204"/>
        </w:numPr>
        <w:pStyle w:val="Compact"/>
      </w:pPr>
      <w:r>
        <w:t xml:space="preserve">Include at least one sentence of future work that you would do if you had more time or what students in upcoming semesters could do to continue to answer your questions.</w:t>
      </w:r>
    </w:p>
    <w:bookmarkEnd w:id="420"/>
    <w:bookmarkStart w:id="426" w:name="references"/>
    <w:p>
      <w:pPr>
        <w:pStyle w:val="Heading4"/>
      </w:pPr>
      <w:r>
        <w:rPr>
          <w:rStyle w:val="SectionNumber"/>
        </w:rPr>
        <w:t xml:space="preserve">8.1.3.7</w:t>
      </w:r>
      <w:r>
        <w:tab/>
      </w:r>
      <w:r>
        <w:t xml:space="preserve">References</w:t>
      </w:r>
    </w:p>
    <w:p>
      <w:pPr>
        <w:pStyle w:val="FirstParagraph"/>
      </w:pPr>
      <w:r>
        <w:drawing>
          <wp:inline>
            <wp:extent cx="5334000" cy="3000375"/>
            <wp:effectExtent b="0" l="0" r="0" t="0"/>
            <wp:docPr descr="" title="" id="422" name="Picture"/>
            <a:graphic>
              <a:graphicData uri="http://schemas.openxmlformats.org/drawingml/2006/picture">
                <pic:pic>
                  <pic:nvPicPr>
                    <pic:cNvPr descr="community-analysis-and-feedback_files/figure-docx//1dI8-_iVqbkzNMf11M4dK85E8ZW3OyZECs_YwMKw5fhs_g362974128df_0_80.png" id="423" name="Picture"/>
                    <pic:cNvPicPr>
                      <a:picLocks noChangeArrowheads="1" noChangeAspect="1"/>
                    </pic:cNvPicPr>
                  </pic:nvPicPr>
                  <pic:blipFill>
                    <a:blip r:embed="rId4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24">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25">
        <w:r>
          <w:rPr>
            <w:rStyle w:val="Hyperlink"/>
          </w:rPr>
          <w:t xml:space="preserve">doi:10.7554/eLife.00886</w:t>
        </w:r>
      </w:hyperlink>
    </w:p>
    <w:bookmarkEnd w:id="426"/>
    <w:bookmarkStart w:id="430" w:name="acknowledgements"/>
    <w:p>
      <w:pPr>
        <w:pStyle w:val="Heading4"/>
      </w:pPr>
      <w:r>
        <w:rPr>
          <w:rStyle w:val="SectionNumber"/>
        </w:rPr>
        <w:t xml:space="preserve">8.1.3.8</w:t>
      </w:r>
      <w:r>
        <w:tab/>
      </w:r>
      <w:r>
        <w:t xml:space="preserve">Acknowledgements</w:t>
      </w:r>
    </w:p>
    <w:p>
      <w:pPr>
        <w:pStyle w:val="FirstParagraph"/>
      </w:pPr>
      <w:r>
        <w:drawing>
          <wp:inline>
            <wp:extent cx="5334000" cy="3000375"/>
            <wp:effectExtent b="0" l="0" r="0" t="0"/>
            <wp:docPr descr="" title="" id="428" name="Picture"/>
            <a:graphic>
              <a:graphicData uri="http://schemas.openxmlformats.org/drawingml/2006/picture">
                <pic:pic>
                  <pic:nvPicPr>
                    <pic:cNvPr descr="community-analysis-and-feedback_files/figure-docx//1dI8-_iVqbkzNMf11M4dK85E8ZW3OyZECs_YwMKw5fhs_g362974128df_0_30.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430"/>
    <w:bookmarkEnd w:id="431"/>
    <w:bookmarkStart w:id="432" w:name="part-3---proofread-and-add-final-touches"/>
    <w:p>
      <w:pPr>
        <w:pStyle w:val="Heading3"/>
      </w:pPr>
      <w:r>
        <w:rPr>
          <w:rStyle w:val="SectionNumber"/>
        </w:rPr>
        <w:t xml:space="preserve">8.1.4</w:t>
      </w:r>
      <w:r>
        <w:tab/>
      </w:r>
      <w:r>
        <w:t xml:space="preserve">Part 3 - Proofread and Add Final Touches</w:t>
      </w:r>
    </w:p>
    <w:p>
      <w:pPr>
        <w:pStyle w:val="FirstParagraph"/>
      </w:pPr>
      <w:r>
        <w:rPr>
          <w:iCs/>
          <w:i/>
        </w:rPr>
        <w:t xml:space="preserve">Estimated time: 30 min to an hour</w:t>
      </w:r>
    </w:p>
    <w:p>
      <w:pPr>
        <w:numPr>
          <w:ilvl w:val="0"/>
          <w:numId w:val="1205"/>
        </w:numPr>
        <w:pStyle w:val="Compact"/>
      </w:pPr>
      <w:r>
        <w:t xml:space="preserve">Each group member should re-read the poster from beginning to end and fix any typos or grammatical errors.</w:t>
      </w:r>
    </w:p>
    <w:p>
      <w:pPr>
        <w:numPr>
          <w:ilvl w:val="0"/>
          <w:numId w:val="1205"/>
        </w:numPr>
        <w:pStyle w:val="Compact"/>
      </w:pPr>
      <w:r>
        <w:t xml:space="preserve">Check the alignment of figures, text boxes, titles, etc.</w:t>
      </w:r>
    </w:p>
    <w:p>
      <w:pPr>
        <w:numPr>
          <w:ilvl w:val="0"/>
          <w:numId w:val="1205"/>
        </w:numPr>
        <w:pStyle w:val="Compact"/>
      </w:pPr>
      <w:r>
        <w:t xml:space="preserve">Add some finishing touches. You can play with the color, the font, add additional images if it’s relevant.</w:t>
      </w:r>
    </w:p>
    <w:bookmarkEnd w:id="432"/>
    <w:bookmarkStart w:id="438" w:name="part-4---canvas-discussion"/>
    <w:p>
      <w:pPr>
        <w:pStyle w:val="Heading3"/>
      </w:pPr>
      <w:r>
        <w:rPr>
          <w:rStyle w:val="SectionNumber"/>
        </w:rPr>
        <w:t xml:space="preserve">8.1.5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06"/>
        </w:numPr>
        <w:pStyle w:val="Compact"/>
      </w:pPr>
      <w:r>
        <w:t xml:space="preserve">Convert your poster to a pdf.</w:t>
      </w:r>
    </w:p>
    <w:p>
      <w:pPr>
        <w:numPr>
          <w:ilvl w:val="0"/>
          <w:numId w:val="120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06"/>
        </w:numPr>
        <w:pStyle w:val="Compact"/>
      </w:pPr>
      <w:r>
        <w:t xml:space="preserve">Have one member of your group post a pdf of your poster in the Canvas C-MOOR Poster Discussion.</w:t>
      </w:r>
    </w:p>
    <w:p>
      <w:pPr>
        <w:numPr>
          <w:ilvl w:val="1"/>
          <w:numId w:val="1207"/>
        </w:numPr>
        <w:pStyle w:val="Compact"/>
      </w:pPr>
      <w:r>
        <w:t xml:space="preserve">With your poster, introduce your group members and copy and paste your abstract into the post.</w:t>
      </w:r>
    </w:p>
    <w:p>
      <w:pPr>
        <w:numPr>
          <w:ilvl w:val="1"/>
          <w:numId w:val="1207"/>
        </w:numPr>
        <w:pStyle w:val="Compact"/>
      </w:pPr>
      <w:r>
        <w:t xml:space="preserve">Insert your pdf into the post and edit the link so that it automatically shows the inline preview. This will make it easier for students to view your poster.</w:t>
      </w:r>
    </w:p>
    <w:p>
      <w:pPr>
        <w:numPr>
          <w:ilvl w:val="0"/>
          <w:numId w:val="1206"/>
        </w:numPr>
        <w:pStyle w:val="Compact"/>
      </w:pPr>
      <w:r>
        <w:t xml:space="preserve">As an individual, read through the other posters from different groups.</w:t>
      </w:r>
    </w:p>
    <w:p>
      <w:pPr>
        <w:numPr>
          <w:ilvl w:val="0"/>
          <w:numId w:val="1206"/>
        </w:numPr>
        <w:pStyle w:val="Compact"/>
      </w:pPr>
      <w:r>
        <w:t xml:space="preserve">Post comments</w:t>
      </w:r>
    </w:p>
    <w:bookmarkStart w:id="433" w:name="grading-criteria-9"/>
    <w:p>
      <w:pPr>
        <w:pStyle w:val="Heading4"/>
      </w:pPr>
      <w:r>
        <w:rPr>
          <w:rStyle w:val="SectionNumber"/>
        </w:rPr>
        <w:t xml:space="preserve">8.1.5.1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433"/>
    <w:bookmarkStart w:id="437" w:name="footnotes-19"/>
    <w:p>
      <w:pPr>
        <w:pStyle w:val="Heading4"/>
      </w:pPr>
      <w:r>
        <w:rPr>
          <w:rStyle w:val="SectionNumber"/>
        </w:rPr>
        <w:t xml:space="preserve">8.1.5.2</w:t>
      </w:r>
      <w:r>
        <w:tab/>
      </w:r>
      <w:r>
        <w:t xml:space="preserve">Footnotes</w:t>
      </w:r>
    </w:p>
    <w:p>
      <w:pPr>
        <w:pStyle w:val="FirstParagraph"/>
      </w:pPr>
      <w:r>
        <w:rPr>
          <w:bCs/>
          <w:b/>
        </w:rPr>
        <w:t xml:space="preserve">Resources</w:t>
      </w:r>
    </w:p>
    <w:p>
      <w:pPr>
        <w:numPr>
          <w:ilvl w:val="0"/>
          <w:numId w:val="1208"/>
        </w:numPr>
        <w:pStyle w:val="Compact"/>
      </w:pPr>
      <w:r>
        <w:t xml:space="preserve">[Google Doc]</w:t>
      </w:r>
    </w:p>
    <w:p>
      <w:pPr>
        <w:numPr>
          <w:ilvl w:val="0"/>
          <w:numId w:val="1208"/>
        </w:numPr>
        <w:pStyle w:val="Compact"/>
      </w:pPr>
      <w:hyperlink r:id="rId434">
        <w:r>
          <w:rPr>
            <w:rStyle w:val="Hyperlink"/>
          </w:rPr>
          <w:t xml:space="preserve">Generic rubric</w:t>
        </w:r>
      </w:hyperlink>
    </w:p>
    <w:p>
      <w:pPr>
        <w:pStyle w:val="FirstParagraph"/>
      </w:pPr>
      <w:r>
        <w:rPr>
          <w:bCs/>
          <w:b/>
        </w:rPr>
        <w:t xml:space="preserve">References</w:t>
      </w:r>
    </w:p>
    <w:p>
      <w:pPr>
        <w:numPr>
          <w:ilvl w:val="0"/>
          <w:numId w:val="1209"/>
        </w:numPr>
        <w:pStyle w:val="Compact"/>
      </w:pPr>
      <w:hyperlink r:id="rId435">
        <w:r>
          <w:rPr>
            <w:rStyle w:val="Hyperlink"/>
          </w:rPr>
          <w:t xml:space="preserve">Abstract vs. Introduction</w:t>
        </w:r>
      </w:hyperlink>
    </w:p>
    <w:p>
      <w:pPr>
        <w:numPr>
          <w:ilvl w:val="0"/>
          <w:numId w:val="1209"/>
        </w:numPr>
        <w:pStyle w:val="Compact"/>
      </w:pPr>
      <w:r>
        <w:t xml:space="preserve">[Preparing and presenting effective research posters] (</w:t>
      </w:r>
      <w:hyperlink r:id="rId436">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210"/>
        </w:numPr>
        <w:pStyle w:val="Compact"/>
      </w:pPr>
      <w:r>
        <w:t xml:space="preserve">Stephanie R. Coffman, Clovis Community College</w:t>
      </w:r>
    </w:p>
    <w:p>
      <w:pPr>
        <w:numPr>
          <w:ilvl w:val="0"/>
          <w:numId w:val="1210"/>
        </w:numPr>
        <w:pStyle w:val="Compact"/>
      </w:pPr>
      <w:r>
        <w:t xml:space="preserve">Valeriya Gaysinskaya, Johns Hopkins University</w:t>
      </w:r>
    </w:p>
    <w:p>
      <w:pPr>
        <w:numPr>
          <w:ilvl w:val="0"/>
          <w:numId w:val="1210"/>
        </w:numPr>
        <w:pStyle w:val="Compact"/>
      </w:pPr>
      <w:r>
        <w:t xml:space="preserve">Frederick Tan, Johns Hopkins University</w:t>
      </w:r>
    </w:p>
    <w:p>
      <w:pPr>
        <w:numPr>
          <w:ilvl w:val="0"/>
          <w:numId w:val="1210"/>
        </w:numPr>
        <w:pStyle w:val="Compact"/>
      </w:pPr>
      <w:r>
        <w:t xml:space="preserve">Sayumi York, Notre Dame of Maryland University</w:t>
      </w:r>
    </w:p>
    <w:p>
      <w:pPr>
        <w:pStyle w:val="FirstParagraph"/>
      </w:pPr>
      <w:r>
        <w:t xml:space="preserve">Last Revised: August 2025</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437"/>
    <w:bookmarkEnd w:id="438"/>
    <w:bookmarkEnd w:id="439"/>
    <w:bookmarkStart w:id="444" w:name="lecture---scientific-posters"/>
    <w:p>
      <w:pPr>
        <w:pStyle w:val="Heading2"/>
      </w:pPr>
      <w:r>
        <w:rPr>
          <w:rStyle w:val="SectionNumber"/>
        </w:rPr>
        <w:t xml:space="preserve">8.2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41" name="Picture"/>
            <a:graphic>
              <a:graphicData uri="http://schemas.openxmlformats.org/drawingml/2006/picture">
                <pic:pic>
                  <pic:nvPicPr>
                    <pic:cNvPr descr="community-analysis-and-feedback_files/figure-docx//1-orSi8DpN22hMt9-6p_rHZnte1YXXLe-a132HDSyd0U_g35f391192_00.png" id="442" name="Picture"/>
                    <pic:cNvPicPr>
                      <a:picLocks noChangeArrowheads="1" noChangeAspect="1"/>
                    </pic:cNvPicPr>
                  </pic:nvPicPr>
                  <pic:blipFill>
                    <a:blip r:embed="rId4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3">
        <w:r>
          <w:rPr>
            <w:rStyle w:val="Hyperlink"/>
          </w:rPr>
          <w:t xml:space="preserve">Scientific Posters</w:t>
        </w:r>
      </w:hyperlink>
    </w:p>
    <w:bookmarkEnd w:id="444"/>
    <w:bookmarkStart w:id="452" w:name="activity---scientific-posters"/>
    <w:p>
      <w:pPr>
        <w:pStyle w:val="Heading2"/>
      </w:pPr>
      <w:r>
        <w:rPr>
          <w:rStyle w:val="SectionNumber"/>
        </w:rPr>
        <w:t xml:space="preserve">8.3</w:t>
      </w:r>
      <w:r>
        <w:tab/>
      </w:r>
      <w:r>
        <w:t xml:space="preserve">Activity - Scientific Posters</w:t>
      </w:r>
    </w:p>
    <w:bookmarkStart w:id="449" w:name="activity-1"/>
    <w:p>
      <w:pPr>
        <w:pStyle w:val="Heading3"/>
      </w:pPr>
      <w:r>
        <w:rPr>
          <w:rStyle w:val="SectionNumber"/>
        </w:rPr>
        <w:t xml:space="preserve">8.3.1</w:t>
      </w:r>
      <w:r>
        <w:tab/>
      </w:r>
      <w:r>
        <w:t xml:space="preserve">Activity</w:t>
      </w:r>
    </w:p>
    <w:p>
      <w:pPr>
        <w:pStyle w:val="FirstParagraph"/>
      </w:pPr>
      <w:r>
        <w:rPr>
          <w:iCs/>
          <w:i/>
        </w:rPr>
        <w:t xml:space="preserve">Estimated time: —</w:t>
      </w:r>
    </w:p>
    <w:bookmarkStart w:id="448" w:name="instructions-2"/>
    <w:p>
      <w:pPr>
        <w:pStyle w:val="Heading4"/>
      </w:pPr>
      <w:r>
        <w:rPr>
          <w:rStyle w:val="SectionNumber"/>
        </w:rPr>
        <w:t xml:space="preserve">8.3.1.1</w:t>
      </w:r>
      <w:r>
        <w:tab/>
      </w:r>
      <w:r>
        <w:t xml:space="preserve">Instructions</w:t>
      </w:r>
    </w:p>
    <w:p>
      <w:pPr>
        <w:numPr>
          <w:ilvl w:val="0"/>
          <w:numId w:val="1211"/>
        </w:numPr>
      </w:pPr>
      <w:r>
        <w:t xml:space="preserve">Review</w:t>
      </w:r>
      <w:r>
        <w:t xml:space="preserve"> </w:t>
      </w:r>
      <w:hyperlink r:id="rId445">
        <w:r>
          <w:rPr>
            <w:rStyle w:val="Hyperlink"/>
            <w:bCs/>
            <w:b/>
          </w:rPr>
          <w:t xml:space="preserve">Presentations Guidelines for Posters</w:t>
        </w:r>
      </w:hyperlink>
    </w:p>
    <w:p>
      <w:pPr>
        <w:numPr>
          <w:ilvl w:val="0"/>
          <w:numId w:val="1211"/>
        </w:numPr>
      </w:pPr>
      <w:r>
        <w:t xml:space="preserve">Skim three posters from among the following (must be Biology if from UMBC Posters)</w:t>
      </w:r>
    </w:p>
    <w:p>
      <w:pPr>
        <w:numPr>
          <w:ilvl w:val="0"/>
          <w:numId w:val="1212"/>
        </w:numPr>
      </w:pPr>
      <w:hyperlink r:id="rId52">
        <w:r>
          <w:rPr>
            <w:rStyle w:val="Hyperlink"/>
            <w:bCs/>
            <w:b/>
          </w:rPr>
          <w:t xml:space="preserve">Look at This! Category on the Academy Discussion Forum</w:t>
        </w:r>
      </w:hyperlink>
    </w:p>
    <w:p>
      <w:pPr>
        <w:numPr>
          <w:ilvl w:val="0"/>
          <w:numId w:val="1212"/>
        </w:numPr>
      </w:pPr>
      <w:hyperlink r:id="rId446">
        <w:r>
          <w:rPr>
            <w:rStyle w:val="Hyperlink"/>
            <w:bCs/>
            <w:b/>
          </w:rPr>
          <w:t xml:space="preserve">UMBC Biology Posters</w:t>
        </w:r>
      </w:hyperlink>
    </w:p>
    <w:p>
      <w:pPr>
        <w:numPr>
          <w:ilvl w:val="0"/>
          <w:numId w:val="1212"/>
        </w:numPr>
      </w:pPr>
      <w:hyperlink r:id="rId447">
        <w:r>
          <w:rPr>
            <w:rStyle w:val="Hyperlink"/>
            <w:bCs/>
            <w:b/>
          </w:rPr>
          <w:t xml:space="preserve">The example PacBio Poster</w:t>
        </w:r>
      </w:hyperlink>
    </w:p>
    <w:p>
      <w:pPr>
        <w:numPr>
          <w:ilvl w:val="0"/>
          <w:numId w:val="1213"/>
        </w:numPr>
        <w:pStyle w:val="Compact"/>
      </w:pPr>
      <w:r>
        <w:t xml:space="preserve">Pick one poster and address the following points.</w:t>
      </w:r>
    </w:p>
    <w:p>
      <w:pPr>
        <w:numPr>
          <w:ilvl w:val="0"/>
          <w:numId w:val="1214"/>
        </w:numPr>
      </w:pPr>
      <w:r>
        <w:rPr>
          <w:bCs/>
          <w:b/>
        </w:rPr>
        <w:t xml:space="preserve">Notice</w:t>
      </w:r>
      <w:r>
        <w:t xml:space="preserve"> </w:t>
      </w:r>
      <w:r>
        <w:t xml:space="preserve">– What about this poster most interests you?</w:t>
      </w:r>
    </w:p>
    <w:p>
      <w:pPr>
        <w:numPr>
          <w:ilvl w:val="0"/>
          <w:numId w:val="1214"/>
        </w:numPr>
      </w:pPr>
      <w:r>
        <w:rPr>
          <w:bCs/>
          <w:b/>
        </w:rPr>
        <w:t xml:space="preserve">Wonder</w:t>
      </w:r>
      <w:r>
        <w:t xml:space="preserve"> </w:t>
      </w:r>
      <w:r>
        <w:t xml:space="preserve">– Two or three questions you would ask the authors.</w:t>
      </w:r>
    </w:p>
    <w:p>
      <w:pPr>
        <w:numPr>
          <w:ilvl w:val="0"/>
          <w:numId w:val="1214"/>
        </w:numPr>
      </w:pPr>
      <w:r>
        <w:rPr>
          <w:bCs/>
          <w:b/>
        </w:rPr>
        <w:t xml:space="preserve">Support</w:t>
      </w:r>
      <w:r>
        <w:t xml:space="preserve"> </w:t>
      </w:r>
      <w:r>
        <w:t xml:space="preserve">– Two or three suggestions on how the poster could be improved.</w:t>
      </w:r>
    </w:p>
    <w:bookmarkEnd w:id="448"/>
    <w:bookmarkEnd w:id="449"/>
    <w:bookmarkStart w:id="450" w:name="grading-criteria-10"/>
    <w:p>
      <w:pPr>
        <w:pStyle w:val="Heading3"/>
      </w:pPr>
      <w:r>
        <w:rPr>
          <w:rStyle w:val="SectionNumber"/>
        </w:rPr>
        <w:t xml:space="preserve">8.3.2</w:t>
      </w:r>
      <w:r>
        <w:tab/>
      </w:r>
      <w:r>
        <w:t xml:space="preserve">Grading Criteria</w:t>
      </w:r>
    </w:p>
    <w:p>
      <w:pPr>
        <w:pStyle w:val="FirstParagraph"/>
      </w:pPr>
      <w:r>
        <w:t xml:space="preserve">Comment on your class’ LMS (Blackboard, Canvas, Google Classroom) discussion board or refer to your instructor’s choice.</w:t>
      </w:r>
    </w:p>
    <w:bookmarkEnd w:id="450"/>
    <w:bookmarkStart w:id="451" w:name="footnotes-20"/>
    <w:p>
      <w:pPr>
        <w:pStyle w:val="Heading3"/>
      </w:pPr>
      <w:r>
        <w:rPr>
          <w:rStyle w:val="SectionNumber"/>
        </w:rPr>
        <w:t xml:space="preserve">8.3.3</w:t>
      </w:r>
      <w:r>
        <w:tab/>
      </w:r>
      <w:r>
        <w:t xml:space="preserve">Footnotes</w:t>
      </w:r>
    </w:p>
    <w:p>
      <w:pPr>
        <w:pStyle w:val="FirstParagraph"/>
      </w:pPr>
      <w:r>
        <w:rPr>
          <w:bCs/>
          <w:b/>
        </w:rPr>
        <w:t xml:space="preserve">Contributions and Affiliations</w:t>
      </w:r>
    </w:p>
    <w:p>
      <w:pPr>
        <w:numPr>
          <w:ilvl w:val="0"/>
          <w:numId w:val="1215"/>
        </w:numPr>
        <w:pStyle w:val="Compact"/>
      </w:pPr>
      <w:r>
        <w:t xml:space="preserve">Valeriya Gaysinskaya, Johns Hopkins University</w:t>
      </w:r>
    </w:p>
    <w:p>
      <w:pPr>
        <w:numPr>
          <w:ilvl w:val="0"/>
          <w:numId w:val="1215"/>
        </w:numPr>
        <w:pStyle w:val="Compact"/>
      </w:pPr>
      <w:r>
        <w:t xml:space="preserve">Frederick Tan, Johns Hopkins University</w:t>
      </w:r>
    </w:p>
    <w:p>
      <w:pPr>
        <w:numPr>
          <w:ilvl w:val="0"/>
          <w:numId w:val="1215"/>
        </w:numPr>
        <w:pStyle w:val="Compact"/>
      </w:pPr>
      <w:r>
        <w:t xml:space="preserve">Sayumi York, Notre Dame of Maryland University</w:t>
      </w:r>
    </w:p>
    <w:p>
      <w:pPr>
        <w:pStyle w:val="FirstParagraph"/>
      </w:pPr>
      <w:r>
        <w:t xml:space="preserve">Last Revised: January 2026</w:t>
      </w:r>
    </w:p>
    <w:bookmarkEnd w:id="451"/>
    <w:bookmarkEnd w:id="452"/>
    <w:bookmarkStart w:id="463" w:name="activity---share-your-poster"/>
    <w:p>
      <w:pPr>
        <w:pStyle w:val="Heading2"/>
      </w:pPr>
      <w:r>
        <w:rPr>
          <w:rStyle w:val="SectionNumber"/>
        </w:rPr>
        <w:t xml:space="preserve">8.4</w:t>
      </w:r>
      <w:r>
        <w:tab/>
      </w:r>
      <w:r>
        <w:t xml:space="preserve">Activity - Share Your Poster</w:t>
      </w:r>
    </w:p>
    <w:bookmarkStart w:id="456" w:name="introduction-10"/>
    <w:p>
      <w:pPr>
        <w:pStyle w:val="Heading3"/>
      </w:pPr>
      <w:r>
        <w:rPr>
          <w:rStyle w:val="SectionNumber"/>
        </w:rPr>
        <w:t xml:space="preserve">8.4.1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453" w:name="activity-1-share-your-poster"/>
    <w:p>
      <w:pPr>
        <w:pStyle w:val="Heading4"/>
      </w:pPr>
      <w:r>
        <w:rPr>
          <w:rStyle w:val="SectionNumber"/>
        </w:rPr>
        <w:t xml:space="preserve">8.4.1.1</w:t>
      </w:r>
      <w:r>
        <w:tab/>
      </w:r>
      <w:r>
        <w:t xml:space="preserve">Activity 1 – Share Your Poster</w:t>
      </w:r>
    </w:p>
    <w:p>
      <w:pPr>
        <w:pStyle w:val="FirstParagraph"/>
      </w:pPr>
      <w:r>
        <w:rPr>
          <w:iCs/>
          <w:i/>
        </w:rPr>
        <w:t xml:space="preserve">Estimated time: 20 min</w:t>
      </w:r>
    </w:p>
    <w:bookmarkEnd w:id="453"/>
    <w:bookmarkStart w:id="454" w:name="instructions-3"/>
    <w:p>
      <w:pPr>
        <w:pStyle w:val="Heading4"/>
      </w:pPr>
      <w:r>
        <w:rPr>
          <w:rStyle w:val="SectionNumber"/>
        </w:rPr>
        <w:t xml:space="preserve">8.4.1.2</w:t>
      </w:r>
      <w:r>
        <w:tab/>
      </w:r>
      <w:r>
        <w:t xml:space="preserve">Instructions</w:t>
      </w:r>
    </w:p>
    <w:p>
      <w:pPr>
        <w:numPr>
          <w:ilvl w:val="0"/>
          <w:numId w:val="1216"/>
        </w:numPr>
        <w:pStyle w:val="Compact"/>
      </w:pPr>
      <w:r>
        <w:t xml:space="preserve">Convert and/or download your poster as a .png file in full resolution. Make sure you look at the .png file and confirm the poster is high enough quality that even small text can be read.</w:t>
      </w:r>
    </w:p>
    <w:p>
      <w:pPr>
        <w:numPr>
          <w:ilvl w:val="0"/>
          <w:numId w:val="1217"/>
        </w:numPr>
      </w:pPr>
      <w:r>
        <w:t xml:space="preserve">In Google Slides:</w:t>
      </w:r>
    </w:p>
    <w:p>
      <w:pPr>
        <w:numPr>
          <w:ilvl w:val="1"/>
          <w:numId w:val="1218"/>
        </w:numPr>
      </w:pPr>
      <w:r>
        <w:t xml:space="preserve">Go to File &gt; Download &gt; select PNG image or JPEG image.</w:t>
      </w:r>
    </w:p>
    <w:p>
      <w:pPr>
        <w:numPr>
          <w:ilvl w:val="1"/>
          <w:numId w:val="1218"/>
        </w:numPr>
      </w:pPr>
      <w:r>
        <w:t xml:space="preserve">Locate the downloaded file on your computer. By default, most computers will download files to the</w:t>
      </w:r>
      <w:r>
        <w:t xml:space="preserve"> </w:t>
      </w:r>
      <w:r>
        <w:t xml:space="preserve">“</w:t>
      </w:r>
      <w:r>
        <w:t xml:space="preserve">Download</w:t>
      </w:r>
      <w:r>
        <w:t xml:space="preserve">”</w:t>
      </w:r>
      <w:r>
        <w:t xml:space="preserve"> </w:t>
      </w:r>
      <w:r>
        <w:t xml:space="preserve">folder or the Desktop.</w:t>
      </w:r>
    </w:p>
    <w:p>
      <w:pPr>
        <w:numPr>
          <w:ilvl w:val="0"/>
          <w:numId w:val="1217"/>
        </w:numPr>
      </w:pPr>
      <w:r>
        <w:t xml:space="preserve">In PowerPoint:</w:t>
      </w:r>
    </w:p>
    <w:p>
      <w:pPr>
        <w:numPr>
          <w:ilvl w:val="1"/>
          <w:numId w:val="1219"/>
        </w:numPr>
      </w:pPr>
      <w:r>
        <w:t xml:space="preserve">Enter the File tab to the top of the window, to the left of the Home tab</w:t>
      </w:r>
    </w:p>
    <w:p>
      <w:pPr>
        <w:numPr>
          <w:ilvl w:val="1"/>
          <w:numId w:val="1219"/>
        </w:numPr>
      </w:pPr>
      <w:r>
        <w:t xml:space="preserve">Select Save As</w:t>
      </w:r>
    </w:p>
    <w:p>
      <w:pPr>
        <w:numPr>
          <w:ilvl w:val="1"/>
          <w:numId w:val="1219"/>
        </w:numPr>
      </w:pPr>
      <w:r>
        <w:t xml:space="preserve">Select This PC</w:t>
      </w:r>
    </w:p>
    <w:p>
      <w:pPr>
        <w:numPr>
          <w:ilvl w:val="1"/>
          <w:numId w:val="1219"/>
        </w:numPr>
      </w:pPr>
      <w:r>
        <w:t xml:space="preserve">In the field underneath the file name, select the</w:t>
      </w:r>
      <w:r>
        <w:t xml:space="preserve"> </w:t>
      </w:r>
      <w:r>
        <w:rPr>
          <w:iCs/>
          <w:i/>
        </w:rPr>
        <w:t xml:space="preserve">.png or</w:t>
      </w:r>
      <w:r>
        <w:rPr>
          <w:iCs/>
          <w:i/>
        </w:rPr>
        <w:t xml:space="preserve"> </w:t>
      </w:r>
      <w:r>
        <w:t xml:space="preserve">.jpg format</w:t>
      </w:r>
    </w:p>
    <w:p>
      <w:pPr>
        <w:numPr>
          <w:ilvl w:val="1"/>
          <w:numId w:val="1219"/>
        </w:numPr>
      </w:pPr>
      <w:r>
        <w:t xml:space="preserve">Select save</w:t>
      </w:r>
    </w:p>
    <w:p>
      <w:pPr>
        <w:numPr>
          <w:ilvl w:val="1"/>
          <w:numId w:val="1219"/>
        </w:numPr>
      </w:pPr>
      <w:r>
        <w:t xml:space="preserve">Locate the saved file on your computer. By default, most computers will save the file in the same location as the original PowerPoint (.pptx) file.</w:t>
      </w:r>
    </w:p>
    <w:p>
      <w:pPr>
        <w:numPr>
          <w:ilvl w:val="0"/>
          <w:numId w:val="1220"/>
        </w:numPr>
      </w:pPr>
      <w:r>
        <w:t xml:space="preserve">Have one person on behalf of the group create a New Topic on your instructor’s chosen forum below with the title of your poster as the topic title and your .png file as the contents in either the:</w:t>
      </w:r>
    </w:p>
    <w:p>
      <w:pPr>
        <w:numPr>
          <w:ilvl w:val="1"/>
          <w:numId w:val="1221"/>
        </w:numPr>
      </w:pPr>
      <w:hyperlink r:id="rId52">
        <w:r>
          <w:rPr>
            <w:rStyle w:val="Hyperlink"/>
          </w:rPr>
          <w:t xml:space="preserve">C-MOOR Academy Discussion Forum’s Look at This!</w:t>
        </w:r>
      </w:hyperlink>
      <w:r>
        <w:t xml:space="preserve"> </w:t>
      </w:r>
      <w:r>
        <w:t xml:space="preserve">category if every member of your group agrees to share your work publicly.</w:t>
      </w:r>
    </w:p>
    <w:p>
      <w:pPr>
        <w:numPr>
          <w:ilvl w:val="1"/>
          <w:numId w:val="1221"/>
        </w:numPr>
      </w:pPr>
      <w:r>
        <w:t xml:space="preserve">Class category on the C-MOOR Academy Discussion Forum (if applicable) to keep your work private</w:t>
      </w:r>
    </w:p>
    <w:p>
      <w:pPr>
        <w:numPr>
          <w:ilvl w:val="1"/>
          <w:numId w:val="1221"/>
        </w:numPr>
      </w:pPr>
      <w:r>
        <w:t xml:space="preserve">The forum or outlet of your instructor’s choice</w:t>
      </w:r>
    </w:p>
    <w:p>
      <w:pPr>
        <w:numPr>
          <w:ilvl w:val="0"/>
          <w:numId w:val="1220"/>
        </w:numPr>
      </w:pPr>
      <w:r>
        <w:t xml:space="preserve">Have each person in the group reply to your topic using your own words answering your choice of 2 of the following 5 questions, with the question included as part of the post. Your answers should be specific and refer directly to your research poster:</w:t>
      </w:r>
    </w:p>
    <w:p>
      <w:pPr>
        <w:numPr>
          <w:ilvl w:val="1"/>
          <w:numId w:val="1222"/>
        </w:numPr>
        <w:pStyle w:val="Compact"/>
      </w:pPr>
      <w:r>
        <w:t xml:space="preserve">What was your favorite part about doing the research project and why?</w:t>
      </w:r>
    </w:p>
    <w:p>
      <w:pPr>
        <w:numPr>
          <w:ilvl w:val="1"/>
          <w:numId w:val="1222"/>
        </w:numPr>
        <w:pStyle w:val="Compact"/>
      </w:pPr>
      <w:r>
        <w:t xml:space="preserve">What was something about your project or the research process that surprised you and why?</w:t>
      </w:r>
    </w:p>
    <w:p>
      <w:pPr>
        <w:numPr>
          <w:ilvl w:val="1"/>
          <w:numId w:val="1222"/>
        </w:numPr>
        <w:pStyle w:val="Compact"/>
      </w:pPr>
      <w:r>
        <w:t xml:space="preserve">What is one specific skill in biology and/or research that you learned through this project? Give an example how you used this in your project.</w:t>
      </w:r>
    </w:p>
    <w:p>
      <w:pPr>
        <w:numPr>
          <w:ilvl w:val="1"/>
          <w:numId w:val="1222"/>
        </w:numPr>
        <w:pStyle w:val="Compact"/>
      </w:pPr>
      <w:r>
        <w:t xml:space="preserve">What is an example of a challenge that you had to overcome during this research project?</w:t>
      </w:r>
    </w:p>
    <w:p>
      <w:pPr>
        <w:numPr>
          <w:ilvl w:val="1"/>
          <w:numId w:val="1222"/>
        </w:numPr>
        <w:pStyle w:val="Compact"/>
      </w:pPr>
      <w:r>
        <w:t xml:space="preserve">What is one thing you learned from this project that you can take forward in your future work? How do you see it being helpful in your chosen field?</w:t>
      </w:r>
    </w:p>
    <w:bookmarkEnd w:id="454"/>
    <w:bookmarkStart w:id="455" w:name="questions-1"/>
    <w:p>
      <w:pPr>
        <w:pStyle w:val="Heading4"/>
      </w:pPr>
      <w:r>
        <w:rPr>
          <w:rStyle w:val="SectionNumber"/>
        </w:rPr>
        <w:t xml:space="preserve">8.4.1.3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A copy of your written answers 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Provide the URL of your Discussion Forum post (if applicable)</w:t>
            </w:r>
          </w:p>
        </w:tc>
      </w:tr>
      <w:tr>
        <w:tc>
          <w:tcPr/>
          <w:p>
            <w:pPr>
              <w:pStyle w:val="Compact"/>
            </w:pPr>
          </w:p>
        </w:tc>
      </w:tr>
    </w:tbl>
    <w:p>
      <w:pPr>
        <w:pStyle w:val="BodyText"/>
      </w:pPr>
    </w:p>
    <w:bookmarkEnd w:id="455"/>
    <w:bookmarkEnd w:id="456"/>
    <w:bookmarkStart w:id="459" w:name="activity-2-present-your-poster"/>
    <w:p>
      <w:pPr>
        <w:pStyle w:val="Heading3"/>
      </w:pPr>
      <w:r>
        <w:rPr>
          <w:rStyle w:val="SectionNumber"/>
        </w:rPr>
        <w:t xml:space="preserve">8.4.2</w:t>
      </w:r>
      <w:r>
        <w:tab/>
      </w:r>
      <w:r>
        <w:t xml:space="preserve">Activity 2 – Present Your Poster</w:t>
      </w:r>
    </w:p>
    <w:p>
      <w:pPr>
        <w:pStyle w:val="FirstParagraph"/>
      </w:pPr>
      <w:r>
        <w:rPr>
          <w:iCs/>
          <w:i/>
        </w:rPr>
        <w:t xml:space="preserve">Estimated time: 40 min</w:t>
      </w:r>
    </w:p>
    <w:bookmarkStart w:id="457" w:name="instructions-4"/>
    <w:p>
      <w:pPr>
        <w:pStyle w:val="Heading4"/>
      </w:pPr>
      <w:r>
        <w:rPr>
          <w:rStyle w:val="SectionNumber"/>
        </w:rPr>
        <w:t xml:space="preserve">8.4.2.1</w:t>
      </w:r>
      <w:r>
        <w:tab/>
      </w:r>
      <w:r>
        <w:t xml:space="preserve">Instructions</w:t>
      </w:r>
    </w:p>
    <w:p>
      <w:pPr>
        <w:numPr>
          <w:ilvl w:val="0"/>
          <w:numId w:val="1223"/>
        </w:numPr>
      </w:pPr>
      <w:r>
        <w:t xml:space="preserve">Create a plan for a 5 min presentation taking into consideration:</w:t>
      </w:r>
    </w:p>
    <w:p>
      <w:pPr>
        <w:numPr>
          <w:ilvl w:val="1"/>
          <w:numId w:val="1224"/>
        </w:numPr>
      </w:pPr>
      <w:r>
        <w:t xml:space="preserve">Who will speak when</w:t>
      </w:r>
    </w:p>
    <w:p>
      <w:pPr>
        <w:numPr>
          <w:ilvl w:val="1"/>
          <w:numId w:val="1224"/>
        </w:numPr>
      </w:pPr>
      <w:r>
        <w:t xml:space="preserve">What each person will cover</w:t>
      </w:r>
    </w:p>
    <w:p>
      <w:pPr>
        <w:numPr>
          <w:ilvl w:val="0"/>
          <w:numId w:val="1223"/>
        </w:numPr>
      </w:pPr>
      <w:r>
        <w:t xml:space="preserve">Practice your presentation</w:t>
      </w:r>
    </w:p>
    <w:p>
      <w:pPr>
        <w:numPr>
          <w:ilvl w:val="1"/>
          <w:numId w:val="1225"/>
        </w:numPr>
      </w:pPr>
      <w:r>
        <w:t xml:space="preserve">In your group</w:t>
      </w:r>
    </w:p>
    <w:p>
      <w:pPr>
        <w:numPr>
          <w:ilvl w:val="1"/>
          <w:numId w:val="1225"/>
        </w:numPr>
      </w:pPr>
      <w:r>
        <w:t xml:space="preserve">To the class</w:t>
      </w:r>
    </w:p>
    <w:bookmarkEnd w:id="457"/>
    <w:bookmarkStart w:id="458" w:name="questions-2"/>
    <w:p>
      <w:pPr>
        <w:pStyle w:val="Heading4"/>
      </w:pPr>
      <w:r>
        <w:rPr>
          <w:rStyle w:val="SectionNumber"/>
        </w:rPr>
        <w:t xml:space="preserve">8.4.2.2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458"/>
    <w:bookmarkEnd w:id="459"/>
    <w:bookmarkStart w:id="460" w:name="grading-criteria-11"/>
    <w:p>
      <w:pPr>
        <w:pStyle w:val="Heading3"/>
      </w:pPr>
      <w:r>
        <w:rPr>
          <w:rStyle w:val="SectionNumber"/>
        </w:rPr>
        <w:t xml:space="preserve">8.4.3</w:t>
      </w:r>
      <w:r>
        <w:tab/>
      </w:r>
      <w:r>
        <w:t xml:space="preserve">Grading Criteria</w:t>
      </w:r>
    </w:p>
    <w:p>
      <w:pPr>
        <w:numPr>
          <w:ilvl w:val="0"/>
          <w:numId w:val="1226"/>
        </w:numPr>
        <w:pStyle w:val="Compact"/>
      </w:pPr>
      <w:r>
        <w:t xml:space="preserve">Submit your work on your LMS (Blackboard, Canvas, Google Classroom) or refer to your instructor’s choice.</w:t>
      </w:r>
    </w:p>
    <w:bookmarkEnd w:id="460"/>
    <w:bookmarkStart w:id="462" w:name="footnotes-21"/>
    <w:p>
      <w:pPr>
        <w:pStyle w:val="Heading3"/>
      </w:pPr>
      <w:r>
        <w:rPr>
          <w:rStyle w:val="SectionNumber"/>
        </w:rPr>
        <w:t xml:space="preserve">8.4.4</w:t>
      </w:r>
      <w:r>
        <w:tab/>
      </w:r>
      <w:r>
        <w:t xml:space="preserve">Footnotes</w:t>
      </w:r>
    </w:p>
    <w:p>
      <w:pPr>
        <w:pStyle w:val="FirstParagraph"/>
      </w:pPr>
      <w:r>
        <w:rPr>
          <w:bCs/>
          <w:b/>
        </w:rPr>
        <w:t xml:space="preserve">Resources</w:t>
      </w:r>
    </w:p>
    <w:p>
      <w:pPr>
        <w:numPr>
          <w:ilvl w:val="0"/>
          <w:numId w:val="1227"/>
        </w:numPr>
        <w:pStyle w:val="Compact"/>
      </w:pPr>
      <w:hyperlink r:id="rId461">
        <w:r>
          <w:rPr>
            <w:rStyle w:val="Hyperlink"/>
          </w:rPr>
          <w:t xml:space="preserve">Google Doc</w:t>
        </w:r>
      </w:hyperlink>
    </w:p>
    <w:p>
      <w:pPr>
        <w:pStyle w:val="FirstParagraph"/>
      </w:pPr>
      <w:r>
        <w:rPr>
          <w:bCs/>
          <w:b/>
        </w:rPr>
        <w:t xml:space="preserve">Contributions and Affiliations</w:t>
      </w:r>
    </w:p>
    <w:p>
      <w:pPr>
        <w:numPr>
          <w:ilvl w:val="0"/>
          <w:numId w:val="1228"/>
        </w:numPr>
        <w:pStyle w:val="Compact"/>
      </w:pPr>
      <w:r>
        <w:t xml:space="preserve">Valeriya Gaysinskaya, Johns Hopkins University</w:t>
      </w:r>
    </w:p>
    <w:p>
      <w:pPr>
        <w:numPr>
          <w:ilvl w:val="0"/>
          <w:numId w:val="1228"/>
        </w:numPr>
        <w:pStyle w:val="Compact"/>
      </w:pPr>
      <w:r>
        <w:t xml:space="preserve">Frederick Tan, Johns Hopkins University</w:t>
      </w:r>
    </w:p>
    <w:p>
      <w:pPr>
        <w:numPr>
          <w:ilvl w:val="0"/>
          <w:numId w:val="1228"/>
        </w:numPr>
        <w:pStyle w:val="Compact"/>
      </w:pPr>
      <w:r>
        <w:t xml:space="preserve">Sayumi York, Notre Dame of Maryland University</w:t>
      </w:r>
    </w:p>
    <w:p>
      <w:pPr>
        <w:pStyle w:val="FirstParagraph"/>
      </w:pPr>
      <w:r>
        <w:t xml:space="preserve">Last Revised: January 2026</w:t>
      </w:r>
    </w:p>
    <w:bookmarkEnd w:id="462"/>
    <w:bookmarkEnd w:id="463"/>
    <w:bookmarkEnd w:id="464"/>
    <w:bookmarkStart w:id="493" w:name="professional-development"/>
    <w:p>
      <w:pPr>
        <w:pStyle w:val="Heading1"/>
      </w:pPr>
      <w:r>
        <w:rPr>
          <w:rStyle w:val="SectionNumber"/>
        </w:rPr>
        <w:t xml:space="preserve">9</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466" name="Picture"/>
            <a:graphic>
              <a:graphicData uri="http://schemas.openxmlformats.org/drawingml/2006/picture">
                <pic:pic>
                  <pic:nvPicPr>
                    <pic:cNvPr descr="community-analysis-and-feedback_files/figure-docx//1hYKF7Ss3vJ8rrUIH7ByNh1BUlRa2fhsJhq8MXzEowCc_g344ad28629a_0_229.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bookmarkStart w:id="472" w:name="lecture---next-steps"/>
    <w:p>
      <w:pPr>
        <w:pStyle w:val="Heading2"/>
      </w:pPr>
      <w:r>
        <w:rPr>
          <w:rStyle w:val="SectionNumber"/>
        </w:rPr>
        <w:t xml:space="preserve">9.1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469" name="Picture"/>
            <a:graphic>
              <a:graphicData uri="http://schemas.openxmlformats.org/drawingml/2006/picture">
                <pic:pic>
                  <pic:nvPicPr>
                    <pic:cNvPr descr="community-analysis-and-feedback_files/figure-docx//1cH7vm_lAxe_JUlr1H_M5Ujas-pTUY8qPBthTcSOiIXA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Next Steps</w:t>
        </w:r>
      </w:hyperlink>
    </w:p>
    <w:bookmarkEnd w:id="472"/>
    <w:bookmarkStart w:id="490" w:name="activity---next-steps"/>
    <w:p>
      <w:pPr>
        <w:pStyle w:val="Heading2"/>
      </w:pPr>
      <w:r>
        <w:rPr>
          <w:rStyle w:val="SectionNumber"/>
        </w:rPr>
        <w:t xml:space="preserve">9.2</w:t>
      </w:r>
      <w:r>
        <w:tab/>
      </w:r>
      <w:r>
        <w:t xml:space="preserve">Activity - Next Steps</w:t>
      </w:r>
    </w:p>
    <w:bookmarkStart w:id="473" w:name="introduction-11"/>
    <w:p>
      <w:pPr>
        <w:pStyle w:val="Heading3"/>
      </w:pPr>
      <w:r>
        <w:rPr>
          <w:rStyle w:val="SectionNumber"/>
        </w:rPr>
        <w:t xml:space="preserve">9.2.1</w:t>
      </w:r>
      <w:r>
        <w:tab/>
      </w:r>
      <w:r>
        <w:t xml:space="preserve">Introduction</w:t>
      </w:r>
    </w:p>
    <w:p>
      <w:pPr>
        <w:pStyle w:val="FirstParagraph"/>
      </w:pPr>
      <w:r>
        <w:t xml:space="preserve">Congratulations on completing your research project! Take a moment and reflect on all that you’ve accomplished during this semester, especially those of you for whom this was your first research experience! Did you experience all the ups and downs of the research project from coming up with a research idea hypothesis, dealing with unexpected set-backs, and discovering something new?</w:t>
      </w:r>
    </w:p>
    <w:p>
      <w:pPr>
        <w:pStyle w:val="BodyText"/>
      </w:pPr>
      <w:r>
        <w:t xml:space="preserve">We’ll wrap up here with several next steps including completing feedback to improve the next offering of this course, researching opportunities to do more science, exploring communities where scientists openly share insights, and optionally sharing more work.</w:t>
      </w:r>
    </w:p>
    <w:bookmarkEnd w:id="473"/>
    <w:bookmarkStart w:id="475" w:name="activity-1-complete-feedback"/>
    <w:p>
      <w:pPr>
        <w:pStyle w:val="Heading3"/>
      </w:pPr>
      <w:r>
        <w:rPr>
          <w:rStyle w:val="SectionNumber"/>
        </w:rPr>
        <w:t xml:space="preserve">9.2.2</w:t>
      </w:r>
      <w:r>
        <w:tab/>
      </w:r>
      <w:r>
        <w:t xml:space="preserve">Activity 1 – Complete Feedback</w:t>
      </w:r>
    </w:p>
    <w:p>
      <w:pPr>
        <w:pStyle w:val="FirstParagraph"/>
      </w:pPr>
      <w:r>
        <w:rPr>
          <w:iCs/>
          <w:i/>
        </w:rPr>
        <w:t xml:space="preserve">Estimated time: 15 min</w:t>
      </w:r>
    </w:p>
    <w:bookmarkStart w:id="474" w:name="instructions-5"/>
    <w:p>
      <w:pPr>
        <w:pStyle w:val="Heading4"/>
      </w:pPr>
      <w:r>
        <w:rPr>
          <w:rStyle w:val="SectionNumber"/>
        </w:rPr>
        <w:t xml:space="preserve">9.2.2.1</w:t>
      </w:r>
      <w:r>
        <w:tab/>
      </w:r>
      <w:r>
        <w:t xml:space="preserve">Instructions</w:t>
      </w:r>
    </w:p>
    <w:p>
      <w:pPr>
        <w:pStyle w:val="FirstParagraph"/>
      </w:pPr>
      <w:r>
        <w:t xml:space="preserve">Help us improve this course!</w:t>
      </w:r>
      <w:r>
        <w:t xml:space="preserve"> </w:t>
      </w:r>
      <w:r>
        <w:t xml:space="preserve">If you’re willing to have your feedback used in an official educational research survey, you will need to use a pre-authorized survey link from C-MOOR. Either way, your instructor will connect you to any feedback form.</w:t>
      </w:r>
    </w:p>
    <w:bookmarkEnd w:id="474"/>
    <w:bookmarkEnd w:id="475"/>
    <w:bookmarkStart w:id="478" w:name="activity-2-research-opportunities"/>
    <w:p>
      <w:pPr>
        <w:pStyle w:val="Heading3"/>
      </w:pPr>
      <w:r>
        <w:rPr>
          <w:rStyle w:val="SectionNumber"/>
        </w:rPr>
        <w:t xml:space="preserve">9.2.3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Knowing what you know now about research, what related skills are you interested in developing further and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476">
              <w:r>
                <w:rPr>
                  <w:rStyle w:val="Hyperlink"/>
                </w:rPr>
                <w:t xml:space="preserve">https://www.nsf.gov/funding/initiatives/reu/students</w:t>
              </w:r>
            </w:hyperlink>
          </w:p>
        </w:tc>
      </w:tr>
      <w:tr>
        <w:tc>
          <w:tcPr/>
          <w:p>
            <w:pPr>
              <w:pStyle w:val="Compact"/>
              <w:jc w:val="left"/>
            </w:pPr>
            <w:r>
              <w:t xml:space="preserve">b. Search –</w:t>
            </w:r>
            <w:r>
              <w:t xml:space="preserve"> </w:t>
            </w:r>
            <w:hyperlink r:id="rId47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478"/>
    <w:bookmarkStart w:id="486" w:name="activity-3-explore-communities"/>
    <w:p>
      <w:pPr>
        <w:pStyle w:val="Heading3"/>
      </w:pPr>
      <w:r>
        <w:rPr>
          <w:rStyle w:val="SectionNumber"/>
        </w:rPr>
        <w:t xml:space="preserve">9.2.4</w:t>
      </w:r>
      <w:r>
        <w:tab/>
      </w:r>
      <w:r>
        <w:t xml:space="preserve">Activity 3 – Explore Communities</w:t>
      </w:r>
    </w:p>
    <w:p>
      <w:pPr>
        <w:pStyle w:val="FirstParagraph"/>
      </w:pPr>
      <w:r>
        <w:rPr>
          <w:iCs/>
          <w:i/>
        </w:rPr>
        <w:t xml:space="preserve">Estimated time: 15 min</w:t>
      </w:r>
    </w:p>
    <w:bookmarkStart w:id="479" w:name="instructions-6"/>
    <w:p>
      <w:pPr>
        <w:pStyle w:val="Heading4"/>
      </w:pPr>
      <w:r>
        <w:rPr>
          <w:rStyle w:val="SectionNumber"/>
        </w:rPr>
        <w:t xml:space="preserve">9.2.4.1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479"/>
    <w:bookmarkStart w:id="485" w:name="questions-3"/>
    <w:p>
      <w:pPr>
        <w:pStyle w:val="Heading4"/>
      </w:pPr>
      <w:r>
        <w:rPr>
          <w:rStyle w:val="SectionNumber"/>
        </w:rPr>
        <w:t xml:space="preserve">9.2.4.2</w:t>
      </w:r>
      <w:r>
        <w:tab/>
      </w:r>
      <w:r>
        <w:t xml:space="preserve">Questions</w:t>
      </w:r>
    </w:p>
    <w:p>
      <w:pPr>
        <w:numPr>
          <w:ilvl w:val="0"/>
          <w:numId w:val="1229"/>
        </w:numPr>
        <w:pStyle w:val="Compact"/>
      </w:pPr>
      <w:r>
        <w:t xml:space="preserve">Specialized Communities</w:t>
      </w:r>
    </w:p>
    <w:p>
      <w:pPr>
        <w:numPr>
          <w:ilvl w:val="0"/>
          <w:numId w:val="1230"/>
        </w:numPr>
        <w:pStyle w:val="Compact"/>
      </w:pPr>
      <w:r>
        <w:t xml:space="preserve">SEQanswers: the next-generation sequencing community</w:t>
      </w:r>
    </w:p>
    <w:p>
      <w:pPr>
        <w:numPr>
          <w:ilvl w:val="0"/>
          <w:numId w:val="1231"/>
        </w:numPr>
        <w:pStyle w:val="Compact"/>
      </w:pPr>
      <w:hyperlink r:id="rId480">
        <w:r>
          <w:rPr>
            <w:rStyle w:val="Hyperlink"/>
          </w:rPr>
          <w:t xml:space="preserve">https://www.seqanswers.com</w:t>
        </w:r>
      </w:hyperlink>
    </w:p>
    <w:p>
      <w:pPr>
        <w:numPr>
          <w:ilvl w:val="0"/>
          <w:numId w:val="1232"/>
        </w:numPr>
        <w:pStyle w:val="Compact"/>
      </w:pPr>
      <w:r>
        <w:t xml:space="preserve">Biostars: bioinformatics explained</w:t>
      </w:r>
    </w:p>
    <w:p>
      <w:pPr>
        <w:numPr>
          <w:ilvl w:val="0"/>
          <w:numId w:val="1233"/>
        </w:numPr>
        <w:pStyle w:val="Compact"/>
      </w:pPr>
      <w:hyperlink r:id="rId48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234"/>
        </w:numPr>
        <w:pStyle w:val="Compact"/>
      </w:pPr>
      <w:r>
        <w:t xml:space="preserve">General Communities</w:t>
      </w:r>
    </w:p>
    <w:p>
      <w:pPr>
        <w:numPr>
          <w:ilvl w:val="0"/>
          <w:numId w:val="1235"/>
        </w:numPr>
        <w:pStyle w:val="Compact"/>
      </w:pPr>
      <w:r>
        <w:t xml:space="preserve">Reddit: The heart of the internet</w:t>
      </w:r>
    </w:p>
    <w:p>
      <w:pPr>
        <w:numPr>
          <w:ilvl w:val="0"/>
          <w:numId w:val="1236"/>
        </w:numPr>
        <w:pStyle w:val="Compact"/>
      </w:pPr>
      <w:hyperlink r:id="rId482">
        <w:r>
          <w:rPr>
            <w:rStyle w:val="Hyperlink"/>
          </w:rPr>
          <w:t xml:space="preserve">https://www.reddit.com/r/metagenomics</w:t>
        </w:r>
      </w:hyperlink>
    </w:p>
    <w:p>
      <w:pPr>
        <w:numPr>
          <w:ilvl w:val="0"/>
          <w:numId w:val="1237"/>
        </w:numPr>
        <w:pStyle w:val="Compact"/>
      </w:pPr>
      <w:r>
        <w:t xml:space="preserve">Twitter/X: It’s what’s happening</w:t>
      </w:r>
    </w:p>
    <w:p>
      <w:pPr>
        <w:numPr>
          <w:ilvl w:val="0"/>
          <w:numId w:val="1238"/>
        </w:numPr>
        <w:pStyle w:val="Compact"/>
      </w:pPr>
      <w:hyperlink r:id="rId483">
        <w:r>
          <w:rPr>
            <w:rStyle w:val="Hyperlink"/>
          </w:rPr>
          <w:t xml:space="preserve">https://x.com/search?q=%23metagenomics</w:t>
        </w:r>
      </w:hyperlink>
    </w:p>
    <w:p>
      <w:pPr>
        <w:numPr>
          <w:ilvl w:val="0"/>
          <w:numId w:val="1239"/>
        </w:numPr>
        <w:pStyle w:val="Compact"/>
      </w:pPr>
      <w:r>
        <w:t xml:space="preserve">Bluesky: Social media as it should be</w:t>
      </w:r>
    </w:p>
    <w:p>
      <w:pPr>
        <w:numPr>
          <w:ilvl w:val="0"/>
          <w:numId w:val="1240"/>
        </w:numPr>
        <w:pStyle w:val="Compact"/>
      </w:pPr>
      <w:hyperlink r:id="rId48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485"/>
    <w:bookmarkEnd w:id="486"/>
    <w:bookmarkStart w:id="487" w:name="grading-criteria-12"/>
    <w:p>
      <w:pPr>
        <w:pStyle w:val="Heading3"/>
      </w:pPr>
      <w:r>
        <w:rPr>
          <w:rStyle w:val="SectionNumber"/>
        </w:rPr>
        <w:t xml:space="preserve">9.2.5</w:t>
      </w:r>
      <w:r>
        <w:tab/>
      </w:r>
      <w:r>
        <w:t xml:space="preserve">Grading Criteria</w:t>
      </w:r>
    </w:p>
    <w:p>
      <w:pPr>
        <w:numPr>
          <w:ilvl w:val="0"/>
          <w:numId w:val="1241"/>
        </w:numPr>
        <w:pStyle w:val="Compact"/>
      </w:pPr>
      <w:r>
        <w:t xml:space="preserve">Download as Microsoft Word (.docx) and upload to your LMS (Blackboard, Canvas, Google Classroom) or refer to your instructor’s choice.</w:t>
      </w:r>
    </w:p>
    <w:bookmarkEnd w:id="487"/>
    <w:bookmarkStart w:id="489" w:name="footnotes-22"/>
    <w:p>
      <w:pPr>
        <w:pStyle w:val="Heading3"/>
      </w:pPr>
      <w:r>
        <w:rPr>
          <w:rStyle w:val="SectionNumber"/>
        </w:rPr>
        <w:t xml:space="preserve">9.2.6</w:t>
      </w:r>
      <w:r>
        <w:tab/>
      </w:r>
      <w:r>
        <w:t xml:space="preserve">Footnotes</w:t>
      </w:r>
    </w:p>
    <w:p>
      <w:pPr>
        <w:pStyle w:val="FirstParagraph"/>
      </w:pPr>
      <w:r>
        <w:rPr>
          <w:bCs/>
          <w:b/>
        </w:rPr>
        <w:t xml:space="preserve">Resources</w:t>
      </w:r>
    </w:p>
    <w:p>
      <w:pPr>
        <w:numPr>
          <w:ilvl w:val="0"/>
          <w:numId w:val="1242"/>
        </w:numPr>
        <w:pStyle w:val="Compact"/>
      </w:pPr>
      <w:hyperlink r:id="rId488">
        <w:r>
          <w:rPr>
            <w:rStyle w:val="Hyperlink"/>
          </w:rPr>
          <w:t xml:space="preserve">Google Doc</w:t>
        </w:r>
      </w:hyperlink>
    </w:p>
    <w:p>
      <w:pPr>
        <w:pStyle w:val="FirstParagraph"/>
      </w:pPr>
      <w:r>
        <w:rPr>
          <w:bCs/>
          <w:b/>
        </w:rPr>
        <w:t xml:space="preserve">Contributions and Affiliations</w:t>
      </w:r>
    </w:p>
    <w:p>
      <w:pPr>
        <w:numPr>
          <w:ilvl w:val="0"/>
          <w:numId w:val="1243"/>
        </w:numPr>
        <w:pStyle w:val="Compact"/>
      </w:pPr>
      <w:r>
        <w:t xml:space="preserve">Valeriya Gaysinskaya, Johns Hopkins University</w:t>
      </w:r>
    </w:p>
    <w:p>
      <w:pPr>
        <w:numPr>
          <w:ilvl w:val="0"/>
          <w:numId w:val="1243"/>
        </w:numPr>
        <w:pStyle w:val="Compact"/>
      </w:pPr>
      <w:r>
        <w:t xml:space="preserve">Frederick Tan, Johns Hopkins University</w:t>
      </w:r>
    </w:p>
    <w:p>
      <w:pPr>
        <w:numPr>
          <w:ilvl w:val="0"/>
          <w:numId w:val="1243"/>
        </w:numPr>
        <w:pStyle w:val="Compact"/>
      </w:pPr>
      <w:r>
        <w:t xml:space="preserve">Sayumi York, Notre Dame of Maryland Univeristy</w:t>
      </w:r>
    </w:p>
    <w:bookmarkEnd w:id="489"/>
    <w:bookmarkEnd w:id="490"/>
    <w:bookmarkStart w:id="492" w:name="create-your-cv"/>
    <w:p>
      <w:pPr>
        <w:pStyle w:val="Heading2"/>
      </w:pPr>
      <w:r>
        <w:rPr>
          <w:rStyle w:val="SectionNumber"/>
        </w:rPr>
        <w:t xml:space="preserve">9.3</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491" w:name="resume-or-cv"/>
    <w:p>
      <w:pPr>
        <w:pStyle w:val="Heading4"/>
      </w:pPr>
      <w:r>
        <w:rPr>
          <w:rStyle w:val="SectionNumber"/>
        </w:rPr>
        <w:t xml:space="preserve">9.3.0.1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24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24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24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245"/>
        </w:numPr>
        <w:pStyle w:val="Compact"/>
      </w:pPr>
      <w:r>
        <w:t xml:space="preserve">☐   You credit the source of your data (Citation, SRA #, Project #)</w:t>
      </w:r>
    </w:p>
    <w:p>
      <w:pPr>
        <w:numPr>
          <w:ilvl w:val="0"/>
          <w:numId w:val="1245"/>
        </w:numPr>
        <w:pStyle w:val="Compact"/>
      </w:pPr>
      <w:r>
        <w:t xml:space="preserve">☐   You describe why your research project matters</w:t>
      </w:r>
    </w:p>
    <w:p>
      <w:pPr>
        <w:numPr>
          <w:ilvl w:val="0"/>
          <w:numId w:val="124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491"/>
    <w:bookmarkEnd w:id="492"/>
    <w:bookmarkEnd w:id="493"/>
    <w:bookmarkStart w:id="515" w:name="c-moor-scholars"/>
    <w:p>
      <w:pPr>
        <w:pStyle w:val="Heading1"/>
      </w:pPr>
      <w:r>
        <w:rPr>
          <w:rStyle w:val="SectionNumber"/>
        </w:rPr>
        <w:t xml:space="preserve">10</w:t>
      </w:r>
      <w:r>
        <w:tab/>
      </w:r>
      <w:r>
        <w:t xml:space="preserve">C-MOOR Scholars</w:t>
      </w:r>
    </w:p>
    <w:bookmarkStart w:id="502" w:name="c-moor-scholars-1"/>
    <w:p>
      <w:pPr>
        <w:pStyle w:val="Heading2"/>
      </w:pPr>
      <w:r>
        <w:rPr>
          <w:rStyle w:val="SectionNumber"/>
        </w:rPr>
        <w:t xml:space="preserve">10.1</w:t>
      </w:r>
      <w:r>
        <w:tab/>
      </w:r>
      <w:r>
        <w:t xml:space="preserve">C-MOOR Scholars</w:t>
      </w:r>
    </w:p>
    <w:p>
      <w:pPr>
        <w:pStyle w:val="FirstParagraph"/>
      </w:pPr>
      <w:r>
        <w:drawing>
          <wp:inline>
            <wp:extent cx="5334000" cy="3000375"/>
            <wp:effectExtent b="0" l="0" r="0" t="0"/>
            <wp:docPr descr="" title="" id="495" name="Picture"/>
            <a:graphic>
              <a:graphicData uri="http://schemas.openxmlformats.org/drawingml/2006/picture">
                <pic:pic>
                  <pic:nvPicPr>
                    <pic:cNvPr descr="community-analysis-and-feedback_files/figure-docx//1dI8-_iVqbkzNMf11M4dK85E8ZW3OyZECs_YwMKw5fhs_g362a06a915d_2_4.png" id="496" name="Picture"/>
                    <pic:cNvPicPr>
                      <a:picLocks noChangeArrowheads="1" noChangeAspect="1"/>
                    </pic:cNvPicPr>
                  </pic:nvPicPr>
                  <pic:blipFill>
                    <a:blip r:embed="rId4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497">
        <w:r>
          <w:rPr>
            <w:rStyle w:val="Hyperlink"/>
          </w:rPr>
          <w:t xml:space="preserve">C-MOOR Scholars Interest Form</w:t>
        </w:r>
      </w:hyperlink>
      <w:r>
        <w:t xml:space="preserve"> </w:t>
      </w:r>
      <w:r>
        <w:t xml:space="preserve">if interested, and meet some</w:t>
      </w:r>
      <w:r>
        <w:t xml:space="preserve"> </w:t>
      </w:r>
      <w:hyperlink r:id="rId49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246"/>
        </w:numPr>
        <w:pStyle w:val="Compact"/>
      </w:pPr>
      <w:r>
        <w:t xml:space="preserve">A place to grow your skills</w:t>
      </w:r>
    </w:p>
    <w:p>
      <w:pPr>
        <w:numPr>
          <w:ilvl w:val="0"/>
          <w:numId w:val="1246"/>
        </w:numPr>
        <w:pStyle w:val="Compact"/>
      </w:pPr>
      <w:r>
        <w:t xml:space="preserve">A place to network</w:t>
      </w:r>
    </w:p>
    <w:p>
      <w:pPr>
        <w:numPr>
          <w:ilvl w:val="0"/>
          <w:numId w:val="124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247"/>
        </w:numPr>
        <w:pStyle w:val="Compact"/>
      </w:pPr>
      <w:r>
        <w:t xml:space="preserve">A commitment to pursuing research as a career</w:t>
      </w:r>
    </w:p>
    <w:p>
      <w:pPr>
        <w:numPr>
          <w:ilvl w:val="0"/>
          <w:numId w:val="1247"/>
        </w:numPr>
        <w:pStyle w:val="Compact"/>
      </w:pPr>
      <w:r>
        <w:t xml:space="preserve">A graded class where we score work</w:t>
      </w:r>
    </w:p>
    <w:p>
      <w:pPr>
        <w:numPr>
          <w:ilvl w:val="0"/>
          <w:numId w:val="124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499">
        <w:r>
          <w:rPr>
            <w:rStyle w:val="Hyperlink"/>
          </w:rPr>
          <w:t xml:space="preserve">C-MOOR Academy Discussion Forum</w:t>
        </w:r>
      </w:hyperlink>
      <w:r>
        <w:t xml:space="preserve"> </w:t>
      </w:r>
      <w:r>
        <w:t xml:space="preserve">to hear about any remote opportunities we have.</w:t>
      </w:r>
    </w:p>
    <w:bookmarkStart w:id="501" w:name="c-moor-scholars-links"/>
    <w:p>
      <w:pPr>
        <w:pStyle w:val="Heading3"/>
      </w:pPr>
      <w:r>
        <w:rPr>
          <w:rStyle w:val="SectionNumber"/>
        </w:rPr>
        <w:t xml:space="preserve">10.1.1</w:t>
      </w:r>
      <w:r>
        <w:tab/>
      </w:r>
      <w:r>
        <w:t xml:space="preserve">C-MOOR Scholars links</w:t>
      </w:r>
    </w:p>
    <w:p>
      <w:pPr>
        <w:pStyle w:val="FirstParagraph"/>
      </w:pPr>
      <w:r>
        <w:t xml:space="preserve">Share your interests via C-MOOR Scholars Interest Form and learn how C-MOOR community can support you.</w:t>
      </w:r>
    </w:p>
    <w:p>
      <w:pPr>
        <w:numPr>
          <w:ilvl w:val="0"/>
          <w:numId w:val="1248"/>
        </w:numPr>
        <w:pStyle w:val="Compact"/>
      </w:pPr>
      <w:hyperlink r:id="rId500">
        <w:r>
          <w:rPr>
            <w:rStyle w:val="Hyperlink"/>
          </w:rPr>
          <w:t xml:space="preserve">C-MOOR Scholars Interest Form</w:t>
        </w:r>
      </w:hyperlink>
    </w:p>
    <w:p>
      <w:pPr>
        <w:pStyle w:val="FirstParagraph"/>
      </w:pPr>
      <w:r>
        <w:t xml:space="preserve">Meet some of the C-MOOR Scholars and learn how you can support them</w:t>
      </w:r>
    </w:p>
    <w:p>
      <w:pPr>
        <w:numPr>
          <w:ilvl w:val="0"/>
          <w:numId w:val="1249"/>
        </w:numPr>
        <w:pStyle w:val="Compact"/>
      </w:pPr>
      <w:hyperlink r:id="rId498">
        <w:r>
          <w:rPr>
            <w:rStyle w:val="Hyperlink"/>
          </w:rPr>
          <w:t xml:space="preserve">C-MOOR Scholars at CCC</w:t>
        </w:r>
      </w:hyperlink>
    </w:p>
    <w:bookmarkEnd w:id="501"/>
    <w:bookmarkEnd w:id="502"/>
    <w:bookmarkStart w:id="509" w:name="pursue-further-research"/>
    <w:p>
      <w:pPr>
        <w:pStyle w:val="Heading2"/>
      </w:pPr>
      <w:r>
        <w:rPr>
          <w:rStyle w:val="SectionNumber"/>
        </w:rPr>
        <w:t xml:space="preserve">10.2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04" name="Picture"/>
            <a:graphic>
              <a:graphicData uri="http://schemas.openxmlformats.org/drawingml/2006/picture">
                <pic:pic>
                  <pic:nvPicPr>
                    <pic:cNvPr descr="community-analysis-and-feedback_files/figure-docx//1dI8-_iVqbkzNMf11M4dK85E8ZW3OyZECs_YwMKw5fhs_g362974128df_0_98.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bookmarkStart w:id="507" w:name="Xc738158caaf65c8ffd3c6f2ca9b7fa0c34fc752"/>
    <w:p>
      <w:pPr>
        <w:pStyle w:val="Heading3"/>
      </w:pPr>
      <w:r>
        <w:rPr>
          <w:rStyle w:val="SectionNumber"/>
        </w:rPr>
        <w:t xml:space="preserve">10.2.1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25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25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0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07"/>
    <w:bookmarkStart w:id="508" w:name="find-a-research-lab-to-join"/>
    <w:p>
      <w:pPr>
        <w:pStyle w:val="Heading3"/>
      </w:pPr>
      <w:r>
        <w:rPr>
          <w:rStyle w:val="SectionNumber"/>
        </w:rPr>
        <w:t xml:space="preserve">10.2.2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251"/>
        </w:numPr>
        <w:pStyle w:val="Compact"/>
      </w:pPr>
      <w:r>
        <w:t xml:space="preserve">☐  An introduction about yourself (name, class year, institution, major)</w:t>
      </w:r>
    </w:p>
    <w:p>
      <w:pPr>
        <w:numPr>
          <w:ilvl w:val="0"/>
          <w:numId w:val="1251"/>
        </w:numPr>
        <w:pStyle w:val="Compact"/>
      </w:pPr>
      <w:r>
        <w:t xml:space="preserve">☐  1-2 sentences about your previous experience in research</w:t>
      </w:r>
    </w:p>
    <w:p>
      <w:pPr>
        <w:numPr>
          <w:ilvl w:val="0"/>
          <w:numId w:val="1251"/>
        </w:numPr>
        <w:pStyle w:val="Compact"/>
      </w:pPr>
      <w:r>
        <w:t xml:space="preserve">☐  1-2 sentences about why you’re interested in their lab specifically</w:t>
      </w:r>
    </w:p>
    <w:p>
      <w:pPr>
        <w:numPr>
          <w:ilvl w:val="0"/>
          <w:numId w:val="125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08"/>
    <w:bookmarkEnd w:id="509"/>
    <w:bookmarkStart w:id="514" w:name="biodigs"/>
    <w:p>
      <w:pPr>
        <w:pStyle w:val="Heading2"/>
      </w:pPr>
      <w:r>
        <w:rPr>
          <w:rStyle w:val="SectionNumber"/>
        </w:rPr>
        <w:t xml:space="preserve">10.3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11" name="Picture"/>
            <a:graphic>
              <a:graphicData uri="http://schemas.openxmlformats.org/drawingml/2006/picture">
                <pic:pic>
                  <pic:nvPicPr>
                    <pic:cNvPr descr="community-analysis-and-feedback_files/figure-docx//1dI8-_iVqbkzNMf11M4dK85E8ZW3OyZECs_YwMKw5fhs_g362a06a915d_2_10.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1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14"/>
    <w:bookmarkEnd w:id="515"/>
    <w:bookmarkStart w:id="534" w:name="online-community"/>
    <w:p>
      <w:pPr>
        <w:pStyle w:val="Heading1"/>
      </w:pPr>
      <w:r>
        <w:rPr>
          <w:rStyle w:val="SectionNumber"/>
        </w:rPr>
        <w:t xml:space="preserve">11</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1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252"/>
        </w:numPr>
        <w:pStyle w:val="Compact"/>
      </w:pPr>
      <w:hyperlink r:id="rId517">
        <w:r>
          <w:rPr>
            <w:rStyle w:val="Hyperlink"/>
          </w:rPr>
          <w:t xml:space="preserve">C-MOOR Academy Discussion Forum</w:t>
        </w:r>
      </w:hyperlink>
      <w:r>
        <w:t xml:space="preserve"> </w:t>
      </w:r>
      <w:r>
        <w:t xml:space="preserve">for help with and example miniCUREs</w:t>
      </w:r>
    </w:p>
    <w:p>
      <w:pPr>
        <w:numPr>
          <w:ilvl w:val="0"/>
          <w:numId w:val="1252"/>
        </w:numPr>
        <w:pStyle w:val="Compact"/>
      </w:pPr>
      <w:hyperlink r:id="rId518">
        <w:r>
          <w:rPr>
            <w:rStyle w:val="Hyperlink"/>
          </w:rPr>
          <w:t xml:space="preserve">Galaxy forum</w:t>
        </w:r>
      </w:hyperlink>
      <w:r>
        <w:t xml:space="preserve"> </w:t>
      </w:r>
      <w:r>
        <w:t xml:space="preserve">for all things Galaxy</w:t>
      </w:r>
    </w:p>
    <w:p>
      <w:pPr>
        <w:numPr>
          <w:ilvl w:val="0"/>
          <w:numId w:val="1252"/>
        </w:numPr>
        <w:pStyle w:val="Compact"/>
      </w:pPr>
      <w:hyperlink r:id="rId519">
        <w:r>
          <w:rPr>
            <w:rStyle w:val="Hyperlink"/>
          </w:rPr>
          <w:t xml:space="preserve">Bioconductor forum</w:t>
        </w:r>
      </w:hyperlink>
      <w:r>
        <w:t xml:space="preserve"> </w:t>
      </w:r>
      <w:r>
        <w:t xml:space="preserve">for all things R/Bioconductor</w:t>
      </w:r>
    </w:p>
    <w:p>
      <w:pPr>
        <w:numPr>
          <w:ilvl w:val="0"/>
          <w:numId w:val="1252"/>
        </w:numPr>
        <w:pStyle w:val="Compact"/>
      </w:pPr>
      <w:hyperlink r:id="rId520">
        <w:r>
          <w:rPr>
            <w:rStyle w:val="Hyperlink"/>
          </w:rPr>
          <w:t xml:space="preserve">AnVIL forum</w:t>
        </w:r>
      </w:hyperlink>
      <w:r>
        <w:t xml:space="preserve"> </w:t>
      </w:r>
      <w:r>
        <w:t xml:space="preserve">for all things related to the cloud computing platform, AnVIL</w:t>
      </w:r>
    </w:p>
    <w:p>
      <w:pPr>
        <w:numPr>
          <w:ilvl w:val="0"/>
          <w:numId w:val="1252"/>
        </w:numPr>
        <w:pStyle w:val="Compact"/>
      </w:pPr>
      <w:hyperlink r:id="rId521">
        <w:r>
          <w:rPr>
            <w:rStyle w:val="Hyperlink"/>
          </w:rPr>
          <w:t xml:space="preserve">BioDIGS</w:t>
        </w:r>
      </w:hyperlink>
      <w:r>
        <w:t xml:space="preserve"> </w:t>
      </w:r>
      <w:r>
        <w:t xml:space="preserve">for interactions with the GDSCN BioDIGS consortium</w:t>
      </w:r>
    </w:p>
    <w:p>
      <w:pPr>
        <w:pStyle w:val="FirstParagraph"/>
      </w:pPr>
      <w:r>
        <w:drawing>
          <wp:inline>
            <wp:extent cx="5334000" cy="3000375"/>
            <wp:effectExtent b="0" l="0" r="0" t="0"/>
            <wp:docPr descr="" title="" id="523" name="Picture"/>
            <a:graphic>
              <a:graphicData uri="http://schemas.openxmlformats.org/drawingml/2006/picture">
                <pic:pic>
                  <pic:nvPicPr>
                    <pic:cNvPr descr="community-analysis-and-feedback_files/figure-docx//1fH9s5OLcRF5meZtFWTJe89RFvJSh125kdjhdqp5smqA_g302b08c5e6e_0_16.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6" name="Picture"/>
            <a:graphic>
              <a:graphicData uri="http://schemas.openxmlformats.org/drawingml/2006/picture">
                <pic:pic>
                  <pic:nvPicPr>
                    <pic:cNvPr descr="community-analysis-and-feedback_files/figure-docx//1fH9s5OLcRF5meZtFWTJe89RFvJSh125kdjhdqp5smqA_g302b08c5e6e_0_5.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29" name="Picture"/>
            <a:graphic>
              <a:graphicData uri="http://schemas.openxmlformats.org/drawingml/2006/picture">
                <pic:pic>
                  <pic:nvPicPr>
                    <pic:cNvPr descr="community-analysis-and-feedback_files/figure-docx//1fH9s5OLcRF5meZtFWTJe89RFvJSh125kdjhdqp5smqA_g302b08c5e6e_0_22.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32" name="Picture"/>
            <a:graphic>
              <a:graphicData uri="http://schemas.openxmlformats.org/drawingml/2006/picture">
                <pic:pic>
                  <pic:nvPicPr>
                    <pic:cNvPr descr="community-analysis-and-feedback_files/figure-docx//1fH9s5OLcRF5meZtFWTJe89RFvJSh125kdjhdqp5smqA_g302b08c5e6e_0_12.png" id="533" name="Picture"/>
                    <pic:cNvPicPr>
                      <a:picLocks noChangeArrowheads="1" noChangeAspect="1"/>
                    </pic:cNvPicPr>
                  </pic:nvPicPr>
                  <pic:blipFill>
                    <a:blip r:embed="rId53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34"/>
    <w:bookmarkStart w:id="565" w:name="spreadsheets-101"/>
    <w:p>
      <w:pPr>
        <w:pStyle w:val="Heading1"/>
      </w:pPr>
      <w:r>
        <w:rPr>
          <w:rStyle w:val="SectionNumber"/>
        </w:rPr>
        <w:t xml:space="preserve">12</w:t>
      </w:r>
      <w:r>
        <w:tab/>
      </w:r>
      <w:r>
        <w:t xml:space="preserve">Spreadsheets 101</w:t>
      </w:r>
    </w:p>
    <w:p>
      <w:pPr>
        <w:pStyle w:val="FirstParagraph"/>
      </w:pPr>
      <w:r>
        <w:rPr>
          <w:bCs/>
          <w:b/>
        </w:rPr>
        <w:t xml:space="preserve">Spreadsheets</w:t>
      </w:r>
      <w:r>
        <w:t xml:space="preserve"> </w:t>
      </w:r>
      <w:r>
        <w:t xml:space="preserve">are tables that organize data using rows and columns. Spreadsheets are used in nearly every field of study and in personal life. The two most popular spreadsheet programs are Google Sheets and Microsoft Excel. While they can do approximately the same things, the exact steps to perform analyses are slightly different.</w:t>
      </w:r>
      <w:r>
        <w:t xml:space="preserve"> </w:t>
      </w:r>
      <w:r>
        <w:t xml:space="preserve">To keep things standardized between students we ask all students to use Google Sheets, which is also free for users with a Gmail account</w:t>
      </w:r>
      <w:r>
        <w:t xml:space="preserve">.</w:t>
      </w:r>
    </w:p>
    <w:p>
      <w:pPr>
        <w:pStyle w:val="BodyText"/>
      </w:pPr>
      <w:r>
        <w:t xml:space="preserve">This section will cover some of the basic functions of Google Sheets.</w:t>
      </w:r>
    </w:p>
    <w:bookmarkStart w:id="535" w:name="right-clicking"/>
    <w:p>
      <w:pPr>
        <w:pStyle w:val="Heading4"/>
      </w:pPr>
      <w:r>
        <w:rPr>
          <w:rStyle w:val="SectionNumber"/>
        </w:rPr>
        <w:t xml:space="preserve">12.0.0.1</w:t>
      </w:r>
      <w:r>
        <w:tab/>
      </w:r>
      <w:r>
        <w:rPr>
          <w:bCs/>
          <w:b/>
        </w:rPr>
        <w:t xml:space="preserve">Right clicking?</w:t>
      </w:r>
    </w:p>
    <w:bookmarkEnd w:id="535"/>
    <w:p>
      <w:pPr>
        <w:pStyle w:val="FirstParagraph"/>
      </w:pPr>
      <w:r>
        <w:t xml:space="preserve">A traditional mouse has a left button, a right button, and sometimes a center button. Typically, you click with the left button. Right clicking refers to clicking with the right button.</w:t>
      </w:r>
    </w:p>
    <w:p>
      <w:pPr>
        <w:pStyle w:val="BodyText"/>
      </w:pPr>
      <w:r>
        <w:t xml:space="preserve">Modern laptops and tablets have translated this feature in different ways. If you’re not using a mouse or find that clicking with the right or right-bottom corner of the trackpad doesn’t work, try the following:</w:t>
      </w:r>
    </w:p>
    <w:p>
      <w:pPr>
        <w:numPr>
          <w:ilvl w:val="0"/>
          <w:numId w:val="1253"/>
        </w:numPr>
        <w:pStyle w:val="Compact"/>
      </w:pPr>
      <w:r>
        <w:t xml:space="preserve">Right click by holding Ctrl and left-clicking</w:t>
      </w:r>
    </w:p>
    <w:p>
      <w:pPr>
        <w:numPr>
          <w:ilvl w:val="0"/>
          <w:numId w:val="1253"/>
        </w:numPr>
        <w:pStyle w:val="Compact"/>
      </w:pPr>
      <w:r>
        <w:t xml:space="preserve">Tapping with two fingers as opposed to one</w:t>
      </w:r>
    </w:p>
    <w:bookmarkStart w:id="539" w:name="getting-a-copy-of-the-spreadsheet"/>
    <w:p>
      <w:pPr>
        <w:pStyle w:val="Heading3"/>
      </w:pPr>
      <w:r>
        <w:rPr>
          <w:rStyle w:val="SectionNumber"/>
        </w:rPr>
        <w:t xml:space="preserve">12.0.1</w:t>
      </w:r>
      <w:r>
        <w:tab/>
      </w:r>
      <w:r>
        <w:t xml:space="preserve">Getting a copy of the spreadsheet</w:t>
      </w:r>
    </w:p>
    <w:p>
      <w:pPr>
        <w:pStyle w:val="FirstParagraph"/>
      </w:pPr>
      <w:r>
        <w:drawing>
          <wp:inline>
            <wp:extent cx="5334000" cy="3000375"/>
            <wp:effectExtent b="0" l="0" r="0" t="0"/>
            <wp:docPr descr="" title="" id="537" name="Picture"/>
            <a:graphic>
              <a:graphicData uri="http://schemas.openxmlformats.org/drawingml/2006/picture">
                <pic:pic>
                  <pic:nvPicPr>
                    <pic:cNvPr descr="resources_files/figure-docx//1ah82NLd1weER1SUEJ9aPFDWT2vLg5wK5JW6tjdVkf6o_g3b212331eba_0_25.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Spreadsheets are featured in some of our C-MOOR curricula. We keep an original copy of the spreadsheet that can’t be edited by students and ask users to create a new copy to do their calculations in.</w:t>
      </w:r>
    </w:p>
    <w:p>
      <w:pPr>
        <w:pStyle w:val="BodyText"/>
      </w:pPr>
      <w:r>
        <w:t xml:space="preserve">You will need to make a copy of the original spreadsheet in order to interact with it. To do so, in the top left corner of the window, under the name of the spreadsheet and to the right of the spreadsheet icon, click</w:t>
      </w:r>
      <w:r>
        <w:t xml:space="preserve"> </w:t>
      </w:r>
      <w:r>
        <w:rPr>
          <w:bCs/>
          <w:b/>
        </w:rPr>
        <w:t xml:space="preserve">File &gt; Make a copy</w:t>
      </w:r>
      <w:r>
        <w:t xml:space="preserve">. This new copy is yours to keep track of in your Google Drive.</w:t>
      </w:r>
    </w:p>
    <w:bookmarkEnd w:id="539"/>
    <w:bookmarkStart w:id="543" w:name="basic-spreadsheet-terms"/>
    <w:p>
      <w:pPr>
        <w:pStyle w:val="Heading3"/>
      </w:pPr>
      <w:r>
        <w:rPr>
          <w:rStyle w:val="SectionNumber"/>
        </w:rPr>
        <w:t xml:space="preserve">12.0.2</w:t>
      </w:r>
      <w:r>
        <w:tab/>
      </w:r>
      <w:r>
        <w:t xml:space="preserve">Basic spreadsheet terms</w:t>
      </w:r>
    </w:p>
    <w:p>
      <w:pPr>
        <w:pStyle w:val="FirstParagraph"/>
      </w:pPr>
      <w:r>
        <w:drawing>
          <wp:inline>
            <wp:extent cx="5334000" cy="3000375"/>
            <wp:effectExtent b="0" l="0" r="0" t="0"/>
            <wp:docPr descr="" title="" id="541" name="Picture"/>
            <a:graphic>
              <a:graphicData uri="http://schemas.openxmlformats.org/drawingml/2006/picture">
                <pic:pic>
                  <pic:nvPicPr>
                    <pic:cNvPr descr="resources_files/figure-docx//1ah82NLd1weER1SUEJ9aPFDWT2vLg5wK5JW6tjdVkf6o_g3b212331eba_0_5.png" id="542" name="Picture"/>
                    <pic:cNvPicPr>
                      <a:picLocks noChangeArrowheads="1" noChangeAspect="1"/>
                    </pic:cNvPicPr>
                  </pic:nvPicPr>
                  <pic:blipFill>
                    <a:blip r:embed="rId54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Columns</w:t>
      </w:r>
      <w:r>
        <w:t xml:space="preserve">: Refers to the vertical groupings of data types and called by a letter (ex. Column A, B, C, and D.</w:t>
      </w:r>
    </w:p>
    <w:p>
      <w:pPr>
        <w:pStyle w:val="BodyText"/>
      </w:pPr>
      <w:r>
        <w:rPr>
          <w:bCs/>
          <w:b/>
        </w:rPr>
        <w:t xml:space="preserve">Rows</w:t>
      </w:r>
      <w:r>
        <w:t xml:space="preserve">: Refers to the horizontal grouping of data types and called by a number (ex. Row 1, 2, 3…). In this example data, each row refers to a pet.</w:t>
      </w:r>
    </w:p>
    <w:p>
      <w:pPr>
        <w:pStyle w:val="BodyText"/>
      </w:pPr>
      <w:r>
        <w:rPr>
          <w:bCs/>
          <w:b/>
        </w:rPr>
        <w:t xml:space="preserve">Cells</w:t>
      </w:r>
      <w:r>
        <w:t xml:space="preserve">: Refer to the intersection between a given row and column and can be called by a combination of their column and row. Example: B2 refers to the intersection of column B, row 2 (which contains</w:t>
      </w:r>
      <w:r>
        <w:t xml:space="preserve"> </w:t>
      </w:r>
      <w:r>
        <w:t xml:space="preserve">“</w:t>
      </w:r>
      <w:r>
        <w:t xml:space="preserve">Dog</w:t>
      </w:r>
      <w:r>
        <w:t xml:space="preserve">”</w:t>
      </w:r>
      <w:r>
        <w:t xml:space="preserve">).</w:t>
      </w:r>
    </w:p>
    <w:p>
      <w:pPr>
        <w:pStyle w:val="BodyText"/>
      </w:pPr>
      <w:r>
        <w:rPr>
          <w:bCs/>
          <w:b/>
        </w:rPr>
        <w:t xml:space="preserve">Header</w:t>
      </w:r>
      <w:r>
        <w:t xml:space="preserve">: Used to refer to the first row, which contains metadata or describes the data in each column.</w:t>
      </w:r>
    </w:p>
    <w:bookmarkEnd w:id="543"/>
    <w:bookmarkStart w:id="550" w:name="summary-statistics-by-row-or-column"/>
    <w:p>
      <w:pPr>
        <w:pStyle w:val="Heading3"/>
      </w:pPr>
      <w:r>
        <w:rPr>
          <w:rStyle w:val="SectionNumber"/>
        </w:rPr>
        <w:t xml:space="preserve">12.0.3</w:t>
      </w:r>
      <w:r>
        <w:tab/>
      </w:r>
      <w:r>
        <w:t xml:space="preserve">Summary statistics by row or column</w:t>
      </w:r>
    </w:p>
    <w:p>
      <w:pPr>
        <w:pStyle w:val="FirstParagraph"/>
      </w:pPr>
      <w:r>
        <w:drawing>
          <wp:inline>
            <wp:extent cx="5334000" cy="3000375"/>
            <wp:effectExtent b="0" l="0" r="0" t="0"/>
            <wp:docPr descr="" title="" id="545" name="Picture"/>
            <a:graphic>
              <a:graphicData uri="http://schemas.openxmlformats.org/drawingml/2006/picture">
                <pic:pic>
                  <pic:nvPicPr>
                    <pic:cNvPr descr="resources_files/figure-docx//1ah82NLd1weER1SUEJ9aPFDWT2vLg5wK5JW6tjdVkf6o_g3b212331eba_0_11.png" id="546" name="Picture"/>
                    <pic:cNvPicPr>
                      <a:picLocks noChangeArrowheads="1" noChangeAspect="1"/>
                    </pic:cNvPicPr>
                  </pic:nvPicPr>
                  <pic:blipFill>
                    <a:blip r:embed="rId5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Clicking on a column or row gives you the count of how many filled in cells there are in the bottom right area of the window. Notice how there are 11 cells filled and reported but only 10 of them contain real data.</w:t>
      </w:r>
      <w:r>
        <w:t xml:space="preserve"> </w:t>
      </w:r>
      <w:r>
        <w:t xml:space="preserve">Cell A1 contains</w:t>
      </w:r>
      <w:r>
        <w:t xml:space="preserve"> </w:t>
      </w:r>
      <w:r>
        <w:t xml:space="preserve">“</w:t>
      </w:r>
      <w:r>
        <w:t xml:space="preserve">Name</w:t>
      </w:r>
      <w:r>
        <w:t xml:space="preserve">”</w:t>
      </w:r>
      <w:r>
        <w:t xml:space="preserve">, which is a label for what kind of data is stored, but not data itself. Keep this in mind when answering questions about count.</w:t>
      </w:r>
    </w:p>
    <w:p>
      <w:pPr>
        <w:pStyle w:val="BodyText"/>
      </w:pPr>
      <w:r>
        <w:drawing>
          <wp:inline>
            <wp:extent cx="5334000" cy="3000375"/>
            <wp:effectExtent b="0" l="0" r="0" t="0"/>
            <wp:docPr descr="" title="" id="548" name="Picture"/>
            <a:graphic>
              <a:graphicData uri="http://schemas.openxmlformats.org/drawingml/2006/picture">
                <pic:pic>
                  <pic:nvPicPr>
                    <pic:cNvPr descr="resources_files/figure-docx//1ah82NLd1weER1SUEJ9aPFDWT2vLg5wK5JW6tjdVkf6o_g3b212331eba_0_16.png" id="549" name="Picture"/>
                    <pic:cNvPicPr>
                      <a:picLocks noChangeArrowheads="1" noChangeAspect="1"/>
                    </pic:cNvPicPr>
                  </pic:nvPicPr>
                  <pic:blipFill>
                    <a:blip r:embed="rId5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numerical data is detected, you can click on the field in the bottom right corner and toggle it to</w:t>
      </w:r>
      <w:r>
        <w:t xml:space="preserve"> </w:t>
      </w:r>
      <w:r>
        <w:rPr>
          <w:bCs/>
          <w:b/>
        </w:rPr>
        <w:t xml:space="preserve">display the sum, average, minimum, maximum, count value, and count value only including numbers</w:t>
      </w:r>
      <w:r>
        <w:t xml:space="preserve">.</w:t>
      </w:r>
    </w:p>
    <w:bookmarkEnd w:id="550"/>
    <w:bookmarkStart w:id="554" w:name="adding-data-to-cells"/>
    <w:p>
      <w:pPr>
        <w:pStyle w:val="Heading3"/>
      </w:pPr>
      <w:r>
        <w:rPr>
          <w:rStyle w:val="SectionNumber"/>
        </w:rPr>
        <w:t xml:space="preserve">12.0.4</w:t>
      </w:r>
      <w:r>
        <w:tab/>
      </w:r>
      <w:r>
        <w:t xml:space="preserve">Adding data to cells</w:t>
      </w:r>
    </w:p>
    <w:p>
      <w:pPr>
        <w:pStyle w:val="FirstParagraph"/>
      </w:pPr>
      <w:r>
        <w:t xml:space="preserve">To add data to a cell, click on the cell and enter your data. Confirm the entry with the</w:t>
      </w:r>
      <w:r>
        <w:t xml:space="preserve"> </w:t>
      </w:r>
      <w:r>
        <w:t xml:space="preserve">“</w:t>
      </w:r>
      <w:r>
        <w:t xml:space="preserve">Enter</w:t>
      </w:r>
      <w:r>
        <w:t xml:space="preserve">”</w:t>
      </w:r>
      <w:r>
        <w:t xml:space="preserve"> </w:t>
      </w:r>
      <w:r>
        <w:t xml:space="preserve">or</w:t>
      </w:r>
      <w:r>
        <w:t xml:space="preserve"> </w:t>
      </w:r>
      <w:r>
        <w:t xml:space="preserve">“</w:t>
      </w:r>
      <w:r>
        <w:t xml:space="preserve">Return</w:t>
      </w:r>
      <w:r>
        <w:t xml:space="preserve">”</w:t>
      </w:r>
      <w:r>
        <w:t xml:space="preserve"> </w:t>
      </w:r>
      <w:r>
        <w:t xml:space="preserve">key on your keyboard or by clicking or moving to another cell with the arrow keys.</w:t>
      </w:r>
    </w:p>
    <w:p>
      <w:pPr>
        <w:pStyle w:val="BodyText"/>
      </w:pPr>
      <w:r>
        <w:rPr>
          <w:bCs/>
          <w:b/>
        </w:rPr>
        <w:t xml:space="preserve">Notice: Above the columns there is a field where you can see what is in a selected cell.</w:t>
      </w:r>
    </w:p>
    <w:p>
      <w:pPr>
        <w:pStyle w:val="BodyText"/>
      </w:pPr>
      <w:r>
        <w:drawing>
          <wp:inline>
            <wp:extent cx="5334000" cy="3000375"/>
            <wp:effectExtent b="0" l="0" r="0" t="0"/>
            <wp:docPr descr="" title="" id="552" name="Picture"/>
            <a:graphic>
              <a:graphicData uri="http://schemas.openxmlformats.org/drawingml/2006/picture">
                <pic:pic>
                  <pic:nvPicPr>
                    <pic:cNvPr descr="resources_files/figure-docx//1ah82NLd1weER1SUEJ9aPFDWT2vLg5wK5JW6tjdVkf6o_g3b212331eba_0_19.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add calculations to a cell, use the = sign. Spreadsheet software will treat any cell with an = sign as a calculation, and it will treat any cell without an = sign as text. To do this, compare what happens when you have cells with the following.</w:t>
      </w:r>
    </w:p>
    <w:p>
      <w:pPr>
        <w:numPr>
          <w:ilvl w:val="0"/>
          <w:numId w:val="1254"/>
        </w:numPr>
        <w:pStyle w:val="Compact"/>
      </w:pPr>
      <w:r>
        <w:t xml:space="preserve">1+1</w:t>
      </w:r>
    </w:p>
    <w:p>
      <w:pPr>
        <w:numPr>
          <w:ilvl w:val="0"/>
          <w:numId w:val="1254"/>
        </w:numPr>
        <w:pStyle w:val="Compact"/>
      </w:pPr>
      <w:r>
        <w:t xml:space="preserve">= 1+1</w:t>
      </w:r>
    </w:p>
    <w:p>
      <w:pPr>
        <w:pStyle w:val="FirstParagraph"/>
      </w:pPr>
      <w:r>
        <w:t xml:space="preserve">1+1 will remain at 1+1, where as = 1+1 will cause the cell to calculate 2. We can see the original calculation we put into the cell above the columns. Calculations only work for numerical values. Cells with invalid calculations will cause a pop-up to warn you the cell is invalid.</w:t>
      </w:r>
    </w:p>
    <w:p>
      <w:pPr>
        <w:pStyle w:val="BodyText"/>
      </w:pPr>
      <w:r>
        <w:t xml:space="preserve">To add calculations based on cell values, the formula must contain the specific cell. We can manually type out the combination of column and row that refers to a cell (ex. D2, or:</w:t>
      </w:r>
    </w:p>
    <w:p>
      <w:pPr>
        <w:numPr>
          <w:ilvl w:val="0"/>
          <w:numId w:val="1255"/>
        </w:numPr>
        <w:pStyle w:val="Compact"/>
      </w:pPr>
      <w:r>
        <w:t xml:space="preserve">Type = into a cell</w:t>
      </w:r>
    </w:p>
    <w:p>
      <w:pPr>
        <w:numPr>
          <w:ilvl w:val="0"/>
          <w:numId w:val="1255"/>
        </w:numPr>
        <w:pStyle w:val="Compact"/>
      </w:pPr>
      <w:r>
        <w:t xml:space="preserve">Click on the cell you want to use in a calculation</w:t>
      </w:r>
    </w:p>
    <w:p>
      <w:pPr>
        <w:numPr>
          <w:ilvl w:val="0"/>
          <w:numId w:val="1255"/>
        </w:numPr>
        <w:pStyle w:val="Compact"/>
      </w:pPr>
      <w:r>
        <w:t xml:space="preserve">Complete the calculation formula.</w:t>
      </w:r>
    </w:p>
    <w:p>
      <w:pPr>
        <w:pStyle w:val="FirstParagraph"/>
      </w:pPr>
      <w:r>
        <w:rPr>
          <w:bCs/>
          <w:b/>
        </w:rPr>
        <w:t xml:space="preserve">Notice: The cell used has colored borders matching the formula.</w:t>
      </w:r>
      <w:r>
        <w:t xml:space="preserve"> </w:t>
      </w:r>
      <w:r>
        <w:t xml:space="preserve">You can interact with these borders to select different cells and find what is currently selected.</w:t>
      </w:r>
    </w:p>
    <w:bookmarkEnd w:id="554"/>
    <w:bookmarkStart w:id="558" w:name="applying-a-calculation-to-many-cells"/>
    <w:p>
      <w:pPr>
        <w:pStyle w:val="Heading3"/>
      </w:pPr>
      <w:r>
        <w:rPr>
          <w:rStyle w:val="SectionNumber"/>
        </w:rPr>
        <w:t xml:space="preserve">12.0.5</w:t>
      </w:r>
      <w:r>
        <w:tab/>
      </w:r>
      <w:r>
        <w:t xml:space="preserve">Applying a calculation to many cells</w:t>
      </w:r>
    </w:p>
    <w:p>
      <w:pPr>
        <w:pStyle w:val="FirstParagraph"/>
      </w:pPr>
      <w:r>
        <w:drawing>
          <wp:inline>
            <wp:extent cx="5334000" cy="3000375"/>
            <wp:effectExtent b="0" l="0" r="0" t="0"/>
            <wp:docPr descr="" title="" id="556" name="Picture"/>
            <a:graphic>
              <a:graphicData uri="http://schemas.openxmlformats.org/drawingml/2006/picture">
                <pic:pic>
                  <pic:nvPicPr>
                    <pic:cNvPr descr="resources_files/figure-docx//1ah82NLd1weER1SUEJ9aPFDWT2vLg5wK5JW6tjdVkf6o_g3b212331eba_0_22.png" id="557" name="Picture"/>
                    <pic:cNvPicPr>
                      <a:picLocks noChangeArrowheads="1" noChangeAspect="1"/>
                    </pic:cNvPicPr>
                  </pic:nvPicPr>
                  <pic:blipFill>
                    <a:blip r:embed="rId5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To use the calculation multiple times, we can do the following, all of which will copy the formula and carry down the selected cells so you don’t have to reselect the cells used for new rows and columns. Try the following below to see what we mean.</w:t>
      </w:r>
    </w:p>
    <w:p>
      <w:pPr>
        <w:pStyle w:val="BodyText"/>
      </w:pPr>
      <w:r>
        <w:rPr>
          <w:bCs/>
          <w:b/>
        </w:rPr>
        <w:t xml:space="preserve">Method 1)</w:t>
      </w:r>
      <w:r>
        <w:t xml:space="preserve"> </w:t>
      </w:r>
      <w:r>
        <w:t xml:space="preserve">Copy-paste the cell’s contents into new cells one by one. You can copy the cell with Ctrl+C or right clicking the cell and selecting copy. You can paste the calculation formula into new cells with Ctrl+V or right clicking the new cell and selecting paste.</w:t>
      </w:r>
    </w:p>
    <w:p>
      <w:pPr>
        <w:pStyle w:val="BodyText"/>
      </w:pPr>
      <w:r>
        <w:rPr>
          <w:bCs/>
          <w:b/>
        </w:rPr>
        <w:t xml:space="preserve">Method 2)</w:t>
      </w:r>
      <w:r>
        <w:t xml:space="preserve"> </w:t>
      </w:r>
      <w:r>
        <w:t xml:space="preserve">Paste into multiple cells at one time. If you have a calculation that needs to be applied many times, it can be inconvenient to paste a copied formula over and over. In this case, select multiple cells by holding down the shift key and paste into all of them at once.</w:t>
      </w:r>
    </w:p>
    <w:p>
      <w:pPr>
        <w:pStyle w:val="BodyText"/>
      </w:pPr>
      <w:r>
        <w:rPr>
          <w:bCs/>
          <w:b/>
        </w:rPr>
        <w:t xml:space="preserve">Method 3)</w:t>
      </w:r>
      <w:r>
        <w:t xml:space="preserve"> </w:t>
      </w:r>
      <w:r>
        <w:t xml:space="preserve">Drag the contents of the cell to copy the contents to new cells. When a cell is selected, a blue dot appears in the bottom right corner of the cell. Click and drag this dot and the formula will be applied to other cells</w:t>
      </w:r>
    </w:p>
    <w:bookmarkEnd w:id="558"/>
    <w:bookmarkStart w:id="562" w:name="manipulating-the-spreadsheet"/>
    <w:p>
      <w:pPr>
        <w:pStyle w:val="Heading3"/>
      </w:pPr>
      <w:r>
        <w:rPr>
          <w:rStyle w:val="SectionNumber"/>
        </w:rPr>
        <w:t xml:space="preserve">12.0.6</w:t>
      </w:r>
      <w:r>
        <w:tab/>
      </w:r>
      <w:r>
        <w:t xml:space="preserve">Manipulating the spreadsheet</w:t>
      </w:r>
    </w:p>
    <w:p>
      <w:pPr>
        <w:pStyle w:val="FirstParagraph"/>
      </w:pPr>
      <w:r>
        <w:drawing>
          <wp:inline>
            <wp:extent cx="5334000" cy="3000375"/>
            <wp:effectExtent b="0" l="0" r="0" t="0"/>
            <wp:docPr descr="" title="" id="560" name="Picture"/>
            <a:graphic>
              <a:graphicData uri="http://schemas.openxmlformats.org/drawingml/2006/picture">
                <pic:pic>
                  <pic:nvPicPr>
                    <pic:cNvPr descr="resources_files/figure-docx//1ah82NLd1weER1SUEJ9aPFDWT2vLg5wK5JW6tjdVkf6o_g3b212331eba_0_28.png" id="561" name="Picture"/>
                    <pic:cNvPicPr>
                      <a:picLocks noChangeArrowheads="1" noChangeAspect="1"/>
                    </pic:cNvPicPr>
                  </pic:nvPicPr>
                  <pic:blipFill>
                    <a:blip r:embed="rId5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Right clicking a column or row brings up a menu with options for adding or deleting columns/rows, filtering data, or sorting the spreadsheet.</w:t>
      </w:r>
    </w:p>
    <w:p>
      <w:pPr>
        <w:pStyle w:val="BodyText"/>
      </w:pPr>
      <w:r>
        <w:rPr>
          <w:bCs/>
          <w:b/>
        </w:rPr>
        <w:t xml:space="preserve">Add or delete columns/rows</w:t>
      </w:r>
      <w:r>
        <w:t xml:space="preserve">: Insert or delete a column or row.</w:t>
      </w:r>
    </w:p>
    <w:p>
      <w:pPr>
        <w:pStyle w:val="BodyText"/>
      </w:pPr>
      <w:r>
        <w:rPr>
          <w:bCs/>
          <w:b/>
        </w:rPr>
        <w:t xml:space="preserve">Filtering data</w:t>
      </w:r>
      <w:r>
        <w:t xml:space="preserve">: Filter data so that only rows that have a specific value are shown. In the above example, you could filter by species and retain only rows (pets) that are dogs.</w:t>
      </w:r>
    </w:p>
    <w:p>
      <w:pPr>
        <w:pStyle w:val="BodyText"/>
      </w:pPr>
      <w:r>
        <w:rPr>
          <w:bCs/>
          <w:b/>
        </w:rPr>
        <w:t xml:space="preserve">Sort the spreadsheet</w:t>
      </w:r>
      <w:r>
        <w:t xml:space="preserve">: Sort the spreadsheet based on the values in the selected column (does not work for rows): alphabetically (A to Z), reverse alphabetically Z to A), lowest to highest (A to Z), highest to lowest (Z to A).</w:t>
      </w:r>
    </w:p>
    <w:bookmarkEnd w:id="562"/>
    <w:bookmarkStart w:id="564" w:name="useful-formulas-in-google-sheets"/>
    <w:p>
      <w:pPr>
        <w:pStyle w:val="Heading3"/>
      </w:pPr>
      <w:r>
        <w:rPr>
          <w:rStyle w:val="SectionNumber"/>
        </w:rPr>
        <w:t xml:space="preserve">12.0.7</w:t>
      </w:r>
      <w:r>
        <w:tab/>
      </w:r>
      <w:r>
        <w:t xml:space="preserve">Useful formulas in Google Sheets</w:t>
      </w:r>
    </w:p>
    <w:tbl>
      <w:tblPr>
        <w:tblStyle w:val="Table"/>
        <w:tblW w:type="pct" w:w="5000"/>
        <w:tblLook w:firstRow="1" w:lastRow="0" w:firstColumn="0" w:lastColumn="0" w:noHBand="0" w:noVBand="0" w:val="0020"/>
        <w:jc w:val="start"/>
      </w:tblPr>
      <w:tblGrid>
        <w:gridCol w:w="1760"/>
        <w:gridCol w:w="6160"/>
      </w:tblGrid>
      <w:tr>
        <w:trPr>
          <w:tblHeader w:val="true"/>
        </w:trPr>
        <w:tc>
          <w:tcPr/>
          <w:p>
            <w:pPr>
              <w:pStyle w:val="Compact"/>
              <w:jc w:val="left"/>
            </w:pPr>
            <w:r>
              <w:t xml:space="preserve">Calculation</w:t>
            </w:r>
          </w:p>
        </w:tc>
        <w:tc>
          <w:tcPr/>
          <w:p>
            <w:pPr>
              <w:pStyle w:val="Compact"/>
              <w:jc w:val="left"/>
            </w:pPr>
            <w:r>
              <w:t xml:space="preserve">Formula</w:t>
            </w:r>
          </w:p>
        </w:tc>
      </w:tr>
      <w:tr>
        <w:tc>
          <w:tcPr/>
          <w:p>
            <w:pPr>
              <w:pStyle w:val="Compact"/>
              <w:jc w:val="left"/>
            </w:pPr>
            <w:r>
              <w:t xml:space="preserve">Sum</w:t>
            </w:r>
          </w:p>
        </w:tc>
        <w:tc>
          <w:tcPr/>
          <w:p>
            <w:pPr>
              <w:pStyle w:val="Compact"/>
              <w:jc w:val="left"/>
            </w:pPr>
            <w:r>
              <w:t xml:space="preserve">=sum(CELLS)</w:t>
            </w:r>
          </w:p>
        </w:tc>
      </w:tr>
      <w:tr>
        <w:tc>
          <w:tcPr/>
          <w:p>
            <w:pPr>
              <w:pStyle w:val="Compact"/>
              <w:jc w:val="left"/>
            </w:pPr>
            <w:r>
              <w:t xml:space="preserve">Average (Mean)</w:t>
            </w:r>
          </w:p>
        </w:tc>
        <w:tc>
          <w:tcPr/>
          <w:p>
            <w:pPr>
              <w:pStyle w:val="Compact"/>
              <w:jc w:val="left"/>
            </w:pPr>
            <w:r>
              <w:t xml:space="preserve">=average(CELLS)</w:t>
            </w:r>
          </w:p>
        </w:tc>
      </w:tr>
      <w:tr>
        <w:tc>
          <w:tcPr/>
          <w:p>
            <w:pPr>
              <w:pStyle w:val="Compact"/>
              <w:jc w:val="left"/>
            </w:pPr>
            <w:r>
              <w:t xml:space="preserve">Median</w:t>
            </w:r>
          </w:p>
        </w:tc>
        <w:tc>
          <w:tcPr/>
          <w:p>
            <w:pPr>
              <w:pStyle w:val="Compact"/>
              <w:jc w:val="left"/>
            </w:pPr>
            <w:r>
              <w:t xml:space="preserve">=median(CELLS)</w:t>
            </w:r>
          </w:p>
        </w:tc>
      </w:tr>
      <w:tr>
        <w:tc>
          <w:tcPr/>
          <w:p>
            <w:pPr>
              <w:pStyle w:val="Compact"/>
              <w:jc w:val="left"/>
            </w:pPr>
            <w:r>
              <w:t xml:space="preserve">Maximum</w:t>
            </w:r>
          </w:p>
        </w:tc>
        <w:tc>
          <w:tcPr/>
          <w:p>
            <w:pPr>
              <w:pStyle w:val="Compact"/>
              <w:jc w:val="left"/>
            </w:pPr>
            <w:r>
              <w:t xml:space="preserve">=max(CELLS)</w:t>
            </w:r>
          </w:p>
        </w:tc>
      </w:tr>
      <w:tr>
        <w:tc>
          <w:tcPr/>
          <w:p>
            <w:pPr>
              <w:pStyle w:val="Compact"/>
              <w:jc w:val="left"/>
            </w:pPr>
            <w:r>
              <w:t xml:space="preserve">Minimum</w:t>
            </w:r>
          </w:p>
        </w:tc>
        <w:tc>
          <w:tcPr/>
          <w:p>
            <w:pPr>
              <w:pStyle w:val="Compact"/>
              <w:jc w:val="left"/>
            </w:pPr>
            <w:r>
              <w:t xml:space="preserve">=min(CELLS)</w:t>
            </w:r>
          </w:p>
        </w:tc>
      </w:tr>
      <w:tr>
        <w:tc>
          <w:tcPr/>
          <w:p>
            <w:pPr>
              <w:pStyle w:val="Compact"/>
              <w:jc w:val="left"/>
            </w:pPr>
            <w:r>
              <w:t xml:space="preserve">Count cells that meet a certain condition</w:t>
            </w:r>
          </w:p>
        </w:tc>
        <w:tc>
          <w:tcPr/>
          <w:p>
            <w:pPr>
              <w:pStyle w:val="Compact"/>
              <w:jc w:val="left"/>
            </w:pPr>
            <w:r>
              <w:t xml:space="preserve">= COUNTIF(CELLS,</w:t>
            </w:r>
            <w:r>
              <w:t xml:space="preserve"> </w:t>
            </w:r>
            <w:r>
              <w:t xml:space="preserve">“</w:t>
            </w:r>
            <w:r>
              <w:t xml:space="preserve">condition, where if true, the cell will be counted</w:t>
            </w:r>
            <w:r>
              <w:t xml:space="preserve">”</w:t>
            </w:r>
            <w:r>
              <w:t xml:space="preserve">)</w:t>
            </w:r>
          </w:p>
        </w:tc>
      </w:tr>
      <w:tr>
        <w:tc>
          <w:tcPr/>
          <w:p>
            <w:pPr>
              <w:pStyle w:val="Compact"/>
              <w:jc w:val="left"/>
            </w:pPr>
            <w:r>
              <w:t xml:space="preserve">Variance within a sample</w:t>
            </w:r>
          </w:p>
        </w:tc>
        <w:tc>
          <w:tcPr/>
          <w:p>
            <w:pPr>
              <w:pStyle w:val="Compact"/>
              <w:jc w:val="left"/>
            </w:pPr>
            <w:r>
              <w:t xml:space="preserve">=var.s(CELLS)</w:t>
            </w:r>
          </w:p>
        </w:tc>
      </w:tr>
    </w:tbl>
    <w:bookmarkStart w:id="563" w:name="on-variance"/>
    <w:p>
      <w:pPr>
        <w:pStyle w:val="Heading4"/>
      </w:pPr>
      <w:r>
        <w:rPr>
          <w:rStyle w:val="SectionNumber"/>
        </w:rPr>
        <w:t xml:space="preserve">12.0.7.1</w:t>
      </w:r>
      <w:r>
        <w:tab/>
      </w:r>
      <w:r>
        <w:rPr>
          <w:bCs/>
          <w:b/>
        </w:rPr>
        <w:t xml:space="preserve">On variance</w:t>
      </w:r>
    </w:p>
    <w:bookmarkEnd w:id="563"/>
    <w:p>
      <w:pPr>
        <w:pStyle w:val="FirstParagraph"/>
      </w:pPr>
      <w:r>
        <w:t xml:space="preserve">Variance is a measure of how spread out or consistent a dataset is, and is similar in concept to the standard deviation of a dataset (although there are differences in how they are calculated). For both variance and standard deviation there are alternate formulas for datasets that comprise a sample - var.s (which is used above), and for datasets that comprise entire populations (var.p). We use the population version when our dataset encompasses the entire population that we are interested in. Make sure you select the right formula for the right question! The majority of times, var.s will be more appropriate. If you’re not sure what to use, ask your instructor.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End w:id="564"/>
    <w:bookmarkEnd w:id="565"/>
    <w:bookmarkStart w:id="580" w:name="figure-and-tables-guide"/>
    <w:p>
      <w:pPr>
        <w:pStyle w:val="Heading1"/>
      </w:pPr>
      <w:r>
        <w:rPr>
          <w:rStyle w:val="SectionNumber"/>
        </w:rPr>
        <w:t xml:space="preserve">13</w:t>
      </w:r>
      <w:r>
        <w:tab/>
      </w:r>
      <w:r>
        <w:t xml:space="preserve">Figure and tables guide</w:t>
      </w:r>
    </w:p>
    <w:p>
      <w:pPr>
        <w:pStyle w:val="FirstParagraph"/>
      </w:pPr>
      <w:r>
        <w:t xml:space="preserve">Figures and tables are found in all forms of scientific communication: posters, papers, and presentations. The information on this page is specific to posters and papers, although a good presentation will build off the materials here.</w:t>
      </w:r>
    </w:p>
    <w:bookmarkStart w:id="575" w:name="figures"/>
    <w:p>
      <w:pPr>
        <w:pStyle w:val="Heading3"/>
      </w:pPr>
      <w:r>
        <w:rPr>
          <w:rStyle w:val="SectionNumber"/>
        </w:rPr>
        <w:t xml:space="preserve">13.0.1</w:t>
      </w:r>
      <w:r>
        <w:tab/>
      </w:r>
      <w:r>
        <w:t xml:space="preserve">Figures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_files/figure-docx//1dI8-_iVqbkzNMf11M4dK85E8ZW3OyZECs_YwMKw5fhs_g3b458cb4825_0_4.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counts as a figure:</w:t>
      </w:r>
      <w:r>
        <w:t xml:space="preserve"> </w:t>
      </w:r>
      <w:r>
        <w:t xml:space="preserve">Pretty much everything that isn’t a table that contains graphical information: Photographs, charts/graphs, and diagrams (digital and traditional) all count as figures! If it’s an image, it probably belongs as a figure!</w:t>
      </w:r>
    </w:p>
    <w:p>
      <w:pPr>
        <w:pStyle w:val="BodyText"/>
      </w:pPr>
      <w:r>
        <w:rPr>
          <w:bCs/>
          <w:b/>
        </w:rPr>
        <w:t xml:space="preserve">Cleaning a figure:</w:t>
      </w:r>
      <w:r>
        <w:t xml:space="preserve"> </w:t>
      </w:r>
      <w:r>
        <w:t xml:space="preserve">Prepare the figure in a program like Google Slides or Powerpoint that will allow you to change the text size and fonts; you can do this with a creative use of cropping and text boxes with a solid white background. Add notes and adjustments where they would make the figure more easily understandable (ex. ordering samples by group and labeling their groups). The most important thing is that your figure is at a high enough quality and resolution that the pictures and text are not blurry!</w:t>
      </w:r>
    </w:p>
    <w:p>
      <w:pPr>
        <w:pStyle w:val="BodyText"/>
      </w:pPr>
      <w:r>
        <w:drawing>
          <wp:inline>
            <wp:extent cx="5334000" cy="3000375"/>
            <wp:effectExtent b="0" l="0" r="0" t="0"/>
            <wp:docPr descr="" title="" id="570" name="Picture"/>
            <a:graphic>
              <a:graphicData uri="http://schemas.openxmlformats.org/drawingml/2006/picture">
                <pic:pic>
                  <pic:nvPicPr>
                    <pic:cNvPr descr="resources_files/figure-docx//1dI8-_iVqbkzNMf11M4dK85E8ZW3OyZECs_YwMKw5fhs_g3b458cb4825_0_28.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Figure legends</w:t>
      </w:r>
      <w:r>
        <w:t xml:space="preserve">: Figure legends (also interchangably called figure captions) go underneath their figures. Figure legends should include the following (feel free to ask your peers or instructor to review your legends):</w:t>
      </w:r>
      <w:r>
        <w:t xml:space="preserve"> </w:t>
      </w:r>
      <w:r>
        <w:t xml:space="preserve">- A comprehensive title in bold that describes what the figure is about or the methods used to make the figure</w:t>
      </w:r>
      <w:r>
        <w:t xml:space="preserve"> </w:t>
      </w:r>
      <w:r>
        <w:t xml:space="preserve">- Text describing the main takeaway from the figure</w:t>
      </w:r>
      <w:r>
        <w:t xml:space="preserve"> </w:t>
      </w:r>
      <w:r>
        <w:t xml:space="preserve">- Text describing the methods used to generate the figure if needed</w:t>
      </w:r>
      <w:r>
        <w:t xml:space="preserve"> </w:t>
      </w:r>
      <w:r>
        <w:t xml:space="preserve">- Text detailing any other background information or methodology needed to understand the figure (ex. abbreviations, settings of a program, description of subsetted data)</w:t>
      </w:r>
      <w:r>
        <w:t xml:space="preserve"> </w:t>
      </w:r>
      <w:r>
        <w:t xml:space="preserve">- The legend/caption goes below the figure</w:t>
      </w:r>
    </w:p>
    <w:p>
      <w:pPr>
        <w:pStyle w:val="BodyText"/>
      </w:pPr>
      <w:r>
        <w:drawing>
          <wp:inline>
            <wp:extent cx="5334000" cy="3000375"/>
            <wp:effectExtent b="0" l="0" r="0" t="0"/>
            <wp:docPr descr="" title="" id="573" name="Picture"/>
            <a:graphic>
              <a:graphicData uri="http://schemas.openxmlformats.org/drawingml/2006/picture">
                <pic:pic>
                  <pic:nvPicPr>
                    <pic:cNvPr descr="resources_files/figure-docx//1dI8-_iVqbkzNMf11M4dK85E8ZW3OyZECs_YwMKw5fhs_g3b458cb4825_0_85.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Multi-panel figures:</w:t>
      </w:r>
      <w:r>
        <w:t xml:space="preserve"> </w:t>
      </w:r>
      <w:r>
        <w:t xml:space="preserve">You may encounter or want to make a figure with multiple panels. These figures are a collection of figures that are denoted alphabetically (ex. A, B, C, D…etc.). Multi-panel figures often are used to save space or group related figures together. In most published work you will see only figures in panels; your instructor may allow or encourage you to use tables in panels for your project.</w:t>
      </w:r>
    </w:p>
    <w:p>
      <w:pPr>
        <w:numPr>
          <w:ilvl w:val="0"/>
          <w:numId w:val="1256"/>
        </w:numPr>
        <w:pStyle w:val="Compact"/>
      </w:pPr>
      <w:r>
        <w:t xml:space="preserve">Each panel is denoted by a different letter.</w:t>
      </w:r>
    </w:p>
    <w:p>
      <w:pPr>
        <w:numPr>
          <w:ilvl w:val="0"/>
          <w:numId w:val="1256"/>
        </w:numPr>
        <w:pStyle w:val="Compact"/>
      </w:pPr>
      <w:r>
        <w:t xml:space="preserve">The title is comprehensive of both panels.</w:t>
      </w:r>
    </w:p>
    <w:p>
      <w:pPr>
        <w:numPr>
          <w:ilvl w:val="0"/>
          <w:numId w:val="1256"/>
        </w:numPr>
        <w:pStyle w:val="Compact"/>
      </w:pPr>
      <w:r>
        <w:t xml:space="preserve">Bolded letters draw the reader to the part of the legend specific to each panel.</w:t>
      </w:r>
    </w:p>
    <w:p>
      <w:pPr>
        <w:numPr>
          <w:ilvl w:val="0"/>
          <w:numId w:val="1256"/>
        </w:numPr>
        <w:pStyle w:val="Compact"/>
      </w:pPr>
      <w:r>
        <w:t xml:space="preserve">The standard information for the legend is included for each panel.</w:t>
      </w:r>
    </w:p>
    <w:bookmarkEnd w:id="575"/>
    <w:bookmarkStart w:id="579" w:name="tables"/>
    <w:p>
      <w:pPr>
        <w:pStyle w:val="Heading3"/>
      </w:pPr>
      <w:r>
        <w:rPr>
          <w:rStyle w:val="SectionNumber"/>
        </w:rPr>
        <w:t xml:space="preserve">13.0.2</w:t>
      </w:r>
      <w:r>
        <w:tab/>
      </w:r>
      <w:r>
        <w:t xml:space="preserve">Tables</w:t>
      </w:r>
    </w:p>
    <w:p>
      <w:pPr>
        <w:pStyle w:val="FirstParagraph"/>
      </w:pPr>
      <w:r>
        <w:drawing>
          <wp:inline>
            <wp:extent cx="5334000" cy="3000375"/>
            <wp:effectExtent b="0" l="0" r="0" t="0"/>
            <wp:docPr descr="" title="" id="577" name="Picture"/>
            <a:graphic>
              <a:graphicData uri="http://schemas.openxmlformats.org/drawingml/2006/picture">
                <pic:pic>
                  <pic:nvPicPr>
                    <pic:cNvPr descr="resources_files/figure-docx//1dI8-_iVqbkzNMf11M4dK85E8ZW3OyZECs_YwMKw5fhs_g3b458cb4825_0_60.png" id="578" name="Picture"/>
                    <pic:cNvPicPr>
                      <a:picLocks noChangeArrowheads="1" noChangeAspect="1"/>
                    </pic:cNvPicPr>
                  </pic:nvPicPr>
                  <pic:blipFill>
                    <a:blip r:embed="rId57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Tables contain information organized into rows and columns. Common examples of information that gets put in tables include: subject metadata (age, ethnicity, etc.) and sample sizes (how many samples of each condition) throughout the experiment. Tables generally stand alone and are not included in published multi-panel figures, though your instructor may allow or encourage you to do so for your project.</w:t>
      </w:r>
    </w:p>
    <w:p>
      <w:pPr>
        <w:pStyle w:val="BodyText"/>
      </w:pPr>
      <w:r>
        <w:rPr>
          <w:bCs/>
          <w:b/>
        </w:rPr>
        <w:t xml:space="preserve">Table legends</w:t>
      </w:r>
      <w:r>
        <w:t xml:space="preserve">:</w:t>
      </w:r>
      <w:r>
        <w:t xml:space="preserve"> </w:t>
      </w:r>
      <w:r>
        <w:t xml:space="preserve">- A title that describes the information contained in the table</w:t>
      </w:r>
      <w:r>
        <w:t xml:space="preserve"> </w:t>
      </w:r>
      <w:r>
        <w:t xml:space="preserve">- Any relevant background information including methods needed to understand the table. Examples: Abbreviations in the figure, settings used in a program, description of a subset of data used)</w:t>
      </w:r>
      <w:r>
        <w:t xml:space="preserve"> </w:t>
      </w:r>
      <w:r>
        <w:t xml:space="preserve">- Legend/caption goes above the table.</w:t>
      </w:r>
    </w:p>
    <w:bookmarkEnd w:id="579"/>
    <w:bookmarkEnd w:id="580"/>
    <w:bookmarkStart w:id="586" w:name="s-minicure-guide"/>
    <w:p>
      <w:pPr>
        <w:pStyle w:val="Heading1"/>
      </w:pPr>
      <w:r>
        <w:rPr>
          <w:rStyle w:val="SectionNumber"/>
        </w:rPr>
        <w:t xml:space="preserve">14</w:t>
      </w:r>
      <w:r>
        <w:tab/>
      </w:r>
      <w:r>
        <w:t xml:space="preserve">16S miniCURE Guide</w:t>
      </w:r>
    </w:p>
    <w:p>
      <w:pPr>
        <w:pStyle w:val="FirstParagraph"/>
      </w:pPr>
      <w:r>
        <w:drawing>
          <wp:inline>
            <wp:extent cx="5334000" cy="3000375"/>
            <wp:effectExtent b="0" l="0" r="0" t="0"/>
            <wp:docPr descr="" title="" id="582" name="Picture"/>
            <a:graphic>
              <a:graphicData uri="http://schemas.openxmlformats.org/drawingml/2006/picture">
                <pic:pic>
                  <pic:nvPicPr>
                    <pic:cNvPr descr="resources_files/figure-docx//1dEZtb0TgLbzhbr3HxQElwg8hENur2HMIzseg19OGd0g_g364010c1963_0_5.png" id="583" name="Picture"/>
                    <pic:cNvPicPr>
                      <a:picLocks noChangeArrowheads="1" noChangeAspect="1"/>
                    </pic:cNvPicPr>
                  </pic:nvPicPr>
                  <pic:blipFill>
                    <a:blip r:embed="rId5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have a</w:t>
      </w:r>
      <w:r>
        <w:t xml:space="preserve"> </w:t>
      </w:r>
      <w:hyperlink r:id="rId584">
        <w:r>
          <w:rPr>
            <w:rStyle w:val="Hyperlink"/>
          </w:rPr>
          <w:t xml:space="preserve">comprehensive guide for this miniCURE</w:t>
        </w:r>
      </w:hyperlink>
      <w:r>
        <w:t xml:space="preserve">!</w:t>
      </w:r>
    </w:p>
    <w:p>
      <w:pPr>
        <w:pStyle w:val="BodyText"/>
      </w:pPr>
      <w:r>
        <w:t xml:space="preserve">This guide is a complete packet that contains an overview of the learning objectives for ecah module, instructions for accessing modules on AnVIL, highlights of content, guided code blocks, and an overview of each dataset we have available for research projects!</w:t>
      </w:r>
    </w:p>
    <w:p>
      <w:pPr>
        <w:pStyle w:val="BodyText"/>
      </w:pPr>
      <w:r>
        <w:t xml:space="preserve">Download the PDF for a digital reference and print out selected sheets for use in the classroom!</w:t>
      </w:r>
    </w:p>
    <w:bookmarkStart w:id="585" w:name="footnotes-23"/>
    <w:p>
      <w:pPr>
        <w:pStyle w:val="Heading3"/>
      </w:pPr>
      <w:r>
        <w:rPr>
          <w:rStyle w:val="SectionNumber"/>
        </w:rPr>
        <w:t xml:space="preserve">14.0.1</w:t>
      </w:r>
      <w:r>
        <w:tab/>
      </w:r>
      <w:r>
        <w:t xml:space="preserve">Footnotes</w:t>
      </w:r>
    </w:p>
    <w:p>
      <w:pPr>
        <w:pStyle w:val="FirstParagraph"/>
      </w:pPr>
      <w:r>
        <w:rPr>
          <w:bCs/>
          <w:b/>
        </w:rPr>
        <w:t xml:space="preserve">Contributions and Affiliations</w:t>
      </w:r>
    </w:p>
    <w:p>
      <w:pPr>
        <w:numPr>
          <w:ilvl w:val="0"/>
          <w:numId w:val="1257"/>
        </w:numPr>
        <w:pStyle w:val="Compact"/>
      </w:pPr>
      <w:r>
        <w:t xml:space="preserve">Sayumi York, Notre Dame of Maryland University</w:t>
      </w:r>
    </w:p>
    <w:p>
      <w:pPr>
        <w:pStyle w:val="FirstParagraph"/>
      </w:pPr>
      <w:r>
        <w:t xml:space="preserve">Last Revised: August 2025</w:t>
      </w:r>
    </w:p>
    <w:bookmarkEnd w:id="585"/>
    <w:bookmarkEnd w:id="586"/>
    <w:bookmarkStart w:id="587" w:name="appendix"/>
    <w:p>
      <w:pPr>
        <w:pStyle w:val="Heading1"/>
      </w:pPr>
      <w:r>
        <w:t xml:space="preserve">Appendix</w:t>
      </w:r>
    </w:p>
    <w:bookmarkEnd w:id="587"/>
    <w:bookmarkStart w:id="589" w:name="competencies-table"/>
    <w:p>
      <w:pPr>
        <w:pStyle w:val="Heading1"/>
      </w:pPr>
      <w:r>
        <w:rPr>
          <w:rStyle w:val="SectionNumber"/>
        </w:rPr>
        <w:t xml:space="preserve">15</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258"/>
        </w:numPr>
        <w:pStyle w:val="Compact"/>
      </w:pPr>
      <w:hyperlink r:id="rId588">
        <w:r>
          <w:rPr>
            <w:rStyle w:val="Hyperlink"/>
          </w:rPr>
          <w:t xml:space="preserve">Vision and Change in Undergraduate Biology Education</w:t>
        </w:r>
      </w:hyperlink>
      <w:r>
        <w:t xml:space="preserve"> </w:t>
      </w:r>
      <w:r>
        <w:t xml:space="preserve">AAAS report</w:t>
      </w:r>
    </w:p>
    <w:p>
      <w:pPr>
        <w:numPr>
          <w:ilvl w:val="0"/>
          <w:numId w:val="1258"/>
        </w:numPr>
        <w:pStyle w:val="Compact"/>
      </w:pPr>
      <w:hyperlink r:id="rId27">
        <w:r>
          <w:rPr>
            <w:rStyle w:val="Hyperlink"/>
          </w:rPr>
          <w:t xml:space="preserve">Bioinformatics core competencies for undergraduate life sciences education</w:t>
        </w:r>
      </w:hyperlink>
      <w:r>
        <w:t xml:space="preserve"> </w:t>
      </w:r>
      <w:r>
        <w:t xml:space="preserve">by</w:t>
      </w:r>
      <w:r>
        <w:t xml:space="preserve"> </w:t>
      </w:r>
      <w:hyperlink r:id="rId28">
        <w:r>
          <w:rPr>
            <w:rStyle w:val="Hyperlink"/>
          </w:rPr>
          <w:t xml:space="preserve">NIBLSE</w:t>
        </w:r>
      </w:hyperlink>
    </w:p>
    <w:p>
      <w:pPr>
        <w:pStyle w:val="FirstParagraph"/>
      </w:pPr>
      <w:r>
        <w:t xml:space="preserve"> </w:t>
      </w:r>
    </w:p>
    <w:p>
      <w:pPr>
        <w:pStyle w:val="BodyText"/>
      </w:pPr>
      <w:r>
        <w:rPr>
          <w:bCs/>
          <w:b/>
        </w:rPr>
        <w:t xml:space="preserve">Vision and Change</w:t>
      </w:r>
    </w:p>
    <w:p>
      <w:pPr>
        <w:pStyle w:val="BodyText"/>
      </w:pPr>
      <w:r>
        <w:t xml:space="preserve">Concepts</w:t>
      </w:r>
    </w:p>
    <w:p>
      <w:pPr>
        <w:pStyle w:val="BodyText"/>
      </w:pPr>
      <w:r>
        <w:rPr>
          <w:bCs/>
          <w:b/>
        </w:rPr>
        <w:t xml:space="preserve">5</w:t>
      </w:r>
      <w:r>
        <w:t xml:space="preserve">: SYSTEMS: Living systems are interconnected and interacting.</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4</w:t>
      </w:r>
      <w:r>
        <w:t xml:space="preserve">: Ability to tap into the interdisciplinary nature of science</w:t>
      </w:r>
    </w:p>
    <w:p>
      <w:pPr>
        <w:pStyle w:val="BodyText"/>
      </w:pPr>
      <w:r>
        <w:rPr>
          <w:bCs/>
          <w:b/>
        </w:rPr>
        <w:t xml:space="preserve">5</w:t>
      </w:r>
      <w:r>
        <w:t xml:space="preserve">: Ability to communicate and collaborate with other disciplines</w:t>
      </w:r>
    </w:p>
    <w:p>
      <w:pPr>
        <w:pStyle w:val="BodyText"/>
      </w:pPr>
      <w:r>
        <w:rPr>
          <w:bCs/>
          <w:b/>
        </w:rPr>
        <w:t xml:space="preserve">6</w:t>
      </w:r>
      <w:r>
        <w:t xml:space="preserve">: Ability to understand the relationship between science and society</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C3</w:t>
      </w:r>
      <w:r>
        <w:t xml:space="preserve">: Apply statistical concepts used in bioinformatics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589"/>
    <w:bookmarkStart w:id="597" w:name="about-the-authors"/>
    <w:p>
      <w:pPr>
        <w:pStyle w:val="Heading1"/>
      </w:pPr>
      <w:r>
        <w:t xml:space="preserve">About the Authors</w:t>
      </w:r>
    </w:p>
    <w:p>
      <w:pPr>
        <w:pStyle w:val="FirstParagraph"/>
      </w:pPr>
      <w:r>
        <w:t xml:space="preserve">These credits are based on our</w:t>
      </w:r>
      <w:r>
        <w:t xml:space="preserve"> </w:t>
      </w:r>
      <w:hyperlink r:id="rId5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9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92">
              <w:r>
                <w:rPr>
                  <w:rStyle w:val="Hyperlink"/>
                </w:rPr>
                <w:t xml:space="preserve">Candace Savonen</w:t>
              </w:r>
            </w:hyperlink>
            <w:r>
              <w:t xml:space="preserve">,</w:t>
            </w:r>
            <w:r>
              <w:t xml:space="preserve"> </w:t>
            </w:r>
            <w:hyperlink r:id="rId593">
              <w:r>
                <w:rPr>
                  <w:rStyle w:val="Hyperlink"/>
                </w:rPr>
                <w:t xml:space="preserve">Carrie Wright</w:t>
              </w:r>
            </w:hyperlink>
            <w:r>
              <w:t xml:space="preserve">,</w:t>
            </w:r>
            <w:r>
              <w:t xml:space="preserve"> </w:t>
            </w:r>
            <w:hyperlink r:id="rId59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9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93">
              <w:r>
                <w:rPr>
                  <w:rStyle w:val="Hyperlink"/>
                </w:rPr>
                <w:t xml:space="preserve">Carrie Wright</w:t>
              </w:r>
            </w:hyperlink>
            <w:r>
              <w:t xml:space="preserve">,</w:t>
            </w:r>
            <w:r>
              <w:t xml:space="preserve"> </w:t>
            </w:r>
            <w:hyperlink r:id="rId594">
              <w:r>
                <w:rPr>
                  <w:rStyle w:val="Hyperlink"/>
                </w:rPr>
                <w:t xml:space="preserve">Ava Hoffman</w:t>
              </w:r>
            </w:hyperlink>
            <w:r>
              <w:t xml:space="preserve">,</w:t>
            </w:r>
            <w:r>
              <w:t xml:space="preserve"> </w:t>
            </w:r>
            <w:hyperlink r:id="rId592">
              <w:r>
                <w:rPr>
                  <w:rStyle w:val="Hyperlink"/>
                </w:rPr>
                <w:t xml:space="preserve">Candace Savonen</w:t>
              </w:r>
            </w:hyperlink>
          </w:p>
        </w:tc>
      </w:tr>
      <w:tr>
        <w:tc>
          <w:tcPr/>
          <w:p>
            <w:pPr>
              <w:pStyle w:val="Compact"/>
              <w:jc w:val="left"/>
            </w:pPr>
            <w:r>
              <w:t xml:space="preserve">Package Developers (</w:t>
            </w:r>
            <w:hyperlink r:id="rId595">
              <w:r>
                <w:rPr>
                  <w:rStyle w:val="Hyperlink"/>
                </w:rPr>
                <w:t xml:space="preserve">ottrpal</w:t>
              </w:r>
            </w:hyperlink>
            <w:r>
              <w:t xml:space="preserve">)</w:t>
            </w:r>
            <w:r>
              <w:t xml:space="preserve"> </w:t>
            </w:r>
            <w:hyperlink r:id="rId592">
              <w:r>
                <w:rPr>
                  <w:rStyle w:val="Hyperlink"/>
                </w:rPr>
                <w:t xml:space="preserve">Candace Savonen</w:t>
              </w:r>
            </w:hyperlink>
            <w:r>
              <w:t xml:space="preserve">,</w:t>
            </w:r>
            <w:r>
              <w:t xml:space="preserve"> </w:t>
            </w:r>
            <w:hyperlink r:id="rId596">
              <w:r>
                <w:rPr>
                  <w:rStyle w:val="Hyperlink"/>
                </w:rPr>
                <w:t xml:space="preserve">John Muschelli</w:t>
              </w:r>
            </w:hyperlink>
            <w:r>
              <w:t xml:space="preserve">,</w:t>
            </w:r>
            <w:r>
              <w:t xml:space="preserve"> </w:t>
            </w:r>
            <w:hyperlink r:id="rId59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2026-06-06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597"/>
    <w:bookmarkStart w:id="598" w:name="references-1"/>
    <w:p>
      <w:pPr>
        <w:pStyle w:val="Heading1"/>
      </w:pPr>
      <w:r>
        <w:t xml:space="preserve">References</w:t>
      </w:r>
    </w:p>
    <w:bookmarkEnd w:id="5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1"/>
  </w:num>
  <w:num w:numId="12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1"/>
  </w:num>
  <w:num w:numId="123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376" Target="media/rId376.png" /><Relationship Type="http://schemas.openxmlformats.org/officeDocument/2006/relationships/image" Id="rId371" Target="media/rId371.png" /><Relationship Type="http://schemas.openxmlformats.org/officeDocument/2006/relationships/image" Id="rId312" Target="media/rId312.png" /><Relationship Type="http://schemas.openxmlformats.org/officeDocument/2006/relationships/image" Id="rId440" Target="media/rId440.png" /><Relationship Type="http://schemas.openxmlformats.org/officeDocument/2006/relationships/image" Id="rId468" Target="media/rId468.png" /><Relationship Type="http://schemas.openxmlformats.org/officeDocument/2006/relationships/image" Id="rId386" Target="media/rId386.png" /><Relationship Type="http://schemas.openxmlformats.org/officeDocument/2006/relationships/image" Id="rId402" Target="media/rId402.png" /><Relationship Type="http://schemas.openxmlformats.org/officeDocument/2006/relationships/image" Id="rId427" Target="media/rId427.png" /><Relationship Type="http://schemas.openxmlformats.org/officeDocument/2006/relationships/image" Id="rId417" Target="media/rId417.png" /><Relationship Type="http://schemas.openxmlformats.org/officeDocument/2006/relationships/image" Id="rId421" Target="media/rId421.png" /><Relationship Type="http://schemas.openxmlformats.org/officeDocument/2006/relationships/image" Id="rId503" Target="media/rId503.png" /><Relationship Type="http://schemas.openxmlformats.org/officeDocument/2006/relationships/image" Id="rId510" Target="media/rId510.png" /><Relationship Type="http://schemas.openxmlformats.org/officeDocument/2006/relationships/image" Id="rId494" Target="media/rId494.png" /><Relationship Type="http://schemas.openxmlformats.org/officeDocument/2006/relationships/image" Id="rId398" Target="media/rId398.png" /><Relationship Type="http://schemas.openxmlformats.org/officeDocument/2006/relationships/image" Id="rId531" Target="media/rId531.png" /><Relationship Type="http://schemas.openxmlformats.org/officeDocument/2006/relationships/image" Id="rId522" Target="media/rId522.png" /><Relationship Type="http://schemas.openxmlformats.org/officeDocument/2006/relationships/image" Id="rId528" Target="media/rId528.png" /><Relationship Type="http://schemas.openxmlformats.org/officeDocument/2006/relationships/image" Id="rId525" Target="media/rId525.png" /><Relationship Type="http://schemas.openxmlformats.org/officeDocument/2006/relationships/image" Id="rId405" Target="media/rId405.png" /><Relationship Type="http://schemas.openxmlformats.org/officeDocument/2006/relationships/image" Id="rId413" Target="media/rId413.png" /><Relationship Type="http://schemas.openxmlformats.org/officeDocument/2006/relationships/image" Id="rId394" Target="media/rId394.png" /><Relationship Type="http://schemas.openxmlformats.org/officeDocument/2006/relationships/image" Id="rId409" Target="media/rId409.png" /><Relationship Type="http://schemas.openxmlformats.org/officeDocument/2006/relationships/image" Id="rId465" Target="media/rId465.png" /><Relationship Type="http://schemas.openxmlformats.org/officeDocument/2006/relationships/image" Id="rId255" Target="media/rId255.png" /><Relationship Type="http://schemas.openxmlformats.org/officeDocument/2006/relationships/image" Id="rId58" Target="media/rId58.jpg" /><Relationship Type="http://schemas.openxmlformats.org/officeDocument/2006/relationships/image" Id="rId20" Target="media/rId20.png" /><Relationship Type="http://schemas.openxmlformats.org/officeDocument/2006/relationships/image" Id="rId126" Target="media/rId126.png" /><Relationship Type="http://schemas.openxmlformats.org/officeDocument/2006/relationships/image" Id="rId140" Target="media/rId140.png" /><Relationship Type="http://schemas.openxmlformats.org/officeDocument/2006/relationships/image" Id="rId157" Target="media/rId157.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88" Target="media/rId88.png" /><Relationship Type="http://schemas.openxmlformats.org/officeDocument/2006/relationships/image" Id="rId99" Target="media/rId99.png" /><Relationship Type="http://schemas.openxmlformats.org/officeDocument/2006/relationships/image" Id="rId91" Target="media/rId91.png" /><Relationship Type="http://schemas.openxmlformats.org/officeDocument/2006/relationships/image" Id="rId69" Target="media/rId69.png" /><Relationship Type="http://schemas.openxmlformats.org/officeDocument/2006/relationships/image" Id="rId49" Target="media/rId49.png" /><Relationship Type="http://schemas.openxmlformats.org/officeDocument/2006/relationships/image" Id="rId118" Target="media/rId118.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544" Target="media/rId544.png" /><Relationship Type="http://schemas.openxmlformats.org/officeDocument/2006/relationships/image" Id="rId547" Target="media/rId547.png" /><Relationship Type="http://schemas.openxmlformats.org/officeDocument/2006/relationships/image" Id="rId551" Target="media/rId551.png" /><Relationship Type="http://schemas.openxmlformats.org/officeDocument/2006/relationships/image" Id="rId555" Target="media/rId555.png" /><Relationship Type="http://schemas.openxmlformats.org/officeDocument/2006/relationships/image" Id="rId536" Target="media/rId536.png" /><Relationship Type="http://schemas.openxmlformats.org/officeDocument/2006/relationships/image" Id="rId559" Target="media/rId559.png" /><Relationship Type="http://schemas.openxmlformats.org/officeDocument/2006/relationships/image" Id="rId540" Target="media/rId540.png" /><Relationship Type="http://schemas.openxmlformats.org/officeDocument/2006/relationships/image" Id="rId581" Target="media/rId581.png" /><Relationship Type="http://schemas.openxmlformats.org/officeDocument/2006/relationships/image" Id="rId569" Target="media/rId569.png" /><Relationship Type="http://schemas.openxmlformats.org/officeDocument/2006/relationships/image" Id="rId566" Target="media/rId566.png" /><Relationship Type="http://schemas.openxmlformats.org/officeDocument/2006/relationships/image" Id="rId576" Target="media/rId576.png" /><Relationship Type="http://schemas.openxmlformats.org/officeDocument/2006/relationships/image" Id="rId572" Target="media/rId572.png" /><Relationship Type="http://schemas.openxmlformats.org/officeDocument/2006/relationships/image" Id="rId167" Target="media/rId167.png" /><Relationship Type="http://schemas.openxmlformats.org/officeDocument/2006/relationships/image" Id="rId181" Target="media/rId181.png" /><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13" Target="biodigs.org" TargetMode="External" /><Relationship Type="http://schemas.openxmlformats.org/officeDocument/2006/relationships/hyperlink" Id="rId424" Target="doi:10.1261/rna.2000810" TargetMode="External" /><Relationship Type="http://schemas.openxmlformats.org/officeDocument/2006/relationships/hyperlink" Id="rId425" Target="doi:10.7554/eLife.00886" TargetMode="External" /><Relationship Type="http://schemas.openxmlformats.org/officeDocument/2006/relationships/hyperlink" Id="rId499" Target="help.c-moor.org" TargetMode="External" /><Relationship Type="http://schemas.openxmlformats.org/officeDocument/2006/relationships/hyperlink" Id="rId35" Target="https://anvil.terra.bio/" TargetMode="External" /><Relationship Type="http://schemas.openxmlformats.org/officeDocument/2006/relationships/hyperlink" Id="rId521" Target="https://biodigs.org/#home" TargetMode="External" /><Relationship Type="http://schemas.openxmlformats.org/officeDocument/2006/relationships/hyperlink" Id="rId484" Target="https://bsky.app/search?q=metagenomics" TargetMode="External" /><Relationship Type="http://schemas.openxmlformats.org/officeDocument/2006/relationships/hyperlink" Id="rId593" Target="https://carriewright11.github.io/" TargetMode="External" /><Relationship Type="http://schemas.openxmlformats.org/officeDocument/2006/relationships/hyperlink" Id="rId488" Target="https://docs.google.com/document/d/11gEndv8IaqVKuq53rMzltsUQSvyLNjczRTZAD_xt_do/edit?usp=sharing" TargetMode="External" /><Relationship Type="http://schemas.openxmlformats.org/officeDocument/2006/relationships/hyperlink" Id="rId248" Target="https://docs.google.com/document/d/12pKSIwcVXisaf6dniyoG_AGdCQh1dG1dDwZ5s1cz92c/edit?usp=sharing" TargetMode="External" /><Relationship Type="http://schemas.openxmlformats.org/officeDocument/2006/relationships/hyperlink" Id="rId434" Target="https://docs.google.com/document/d/13eB1fwHEB1I00JHBUQLZIJsi-iQZYaWaXThPqCTU17g/edit?usp=sharing" TargetMode="External" /><Relationship Type="http://schemas.openxmlformats.org/officeDocument/2006/relationships/hyperlink" Id="rId38" Target="https://docs.google.com/document/d/1Aq4wVqO6S-PbKuV-rBiiRySVor_FLaRHp_CPuWBJPm4/edit?usp=sharing" TargetMode="External" /><Relationship Type="http://schemas.openxmlformats.org/officeDocument/2006/relationships/hyperlink" Id="rId197" Target="https://docs.google.com/document/d/1Mg9DGVk0EsSfYwl8VsRHb-_QdtZqiBmhWvbhUWkQERc/edit?usp=sharing" TargetMode="External" /><Relationship Type="http://schemas.openxmlformats.org/officeDocument/2006/relationships/hyperlink" Id="rId327" Target="https://docs.google.com/document/d/1OWgUwaT2MlSd-qq7wSlB3BnM-cq_GTxEyy38HV5ajoU/edit?usp=sharing" TargetMode="External" /><Relationship Type="http://schemas.openxmlformats.org/officeDocument/2006/relationships/hyperlink" Id="rId461" Target="https://docs.google.com/document/d/1OvMwNIsB019EVZukYG-8JXg7P4no4WmEc2w4ryvKz4k/edit?usp=sharing" TargetMode="External" /><Relationship Type="http://schemas.openxmlformats.org/officeDocument/2006/relationships/hyperlink" Id="rId176" Target="https://docs.google.com/document/d/1Uzw-dPwx4kxrcDKLTM7hjxN09oFkTQWg/edit?usp=sharing&amp;ouid=117014088395158370475&amp;rtpof=true&amp;sd=true" TargetMode="External" /><Relationship Type="http://schemas.openxmlformats.org/officeDocument/2006/relationships/hyperlink" Id="rId37" Target="https://docs.google.com/document/d/1WxlN2XG5_VEDN0u-JpAO7dJQrG8P0YG6Svm-eEvagxY/edit?usp=sharing" TargetMode="External" /><Relationship Type="http://schemas.openxmlformats.org/officeDocument/2006/relationships/hyperlink" Id="rId270" Target="https://docs.google.com/document/d/1d1co_BVzZ1P5RuUYnPWrkB-Lvo7f4lYvahXhoCOjvIg/edit?usp=sharing" TargetMode="External" /><Relationship Type="http://schemas.openxmlformats.org/officeDocument/2006/relationships/hyperlink" Id="rId271" Target="https://docs.google.com/document/d/1pYTq_U-e3Fath5yB6N9b5ic-cMynUtclkEgdojkAXwE/edit?usp=sharing" TargetMode="External" /><Relationship Type="http://schemas.openxmlformats.org/officeDocument/2006/relationships/hyperlink" Id="rId500" Target="https://docs.google.com/forms/d/1GJDpfG28k2utCVVcRXQraE-1coLS_GCX83irUyio9KE/edit" TargetMode="External" /><Relationship Type="http://schemas.openxmlformats.org/officeDocument/2006/relationships/hyperlink" Id="rId497" Target="https://docs.google.com/forms/d/1GJDpfG28k2utCVVcRXQraE-1coLS_GCX83irUyio9KE/viewform?edit_requested=true" TargetMode="External" /><Relationship Type="http://schemas.openxmlformats.org/officeDocument/2006/relationships/hyperlink" Id="rId229" Target="https://docs.google.com/presentation/d/14E26SbzaLEDJxAaZ1qjaZcJehAI8q2GHuTokNPKKDTc/edit?usp=sharing" TargetMode="External" /><Relationship Type="http://schemas.openxmlformats.org/officeDocument/2006/relationships/hyperlink" Id="rId258" Target="https://docs.google.com/presentation/d/15tv_IS177gF_px3JYKcQZmOsJg2d-GkjVXi7a-Skgs8/edit?usp=sharing" TargetMode="External" /><Relationship Type="http://schemas.openxmlformats.org/officeDocument/2006/relationships/hyperlink" Id="rId87" Target="https://docs.google.com/presentation/d/1Oaq8RzhaDANxkNh-tTKwme7e095pGgoiq5iZHbt7PLg" TargetMode="External" /><Relationship Type="http://schemas.openxmlformats.org/officeDocument/2006/relationships/hyperlink" Id="rId315" Target="https://docs.google.com/presentation/d/1QZbSBPOGkBeizh1L45C6EaktOxl6pqrTDGNIncHQ5lY/edit?usp=sharing" TargetMode="External" /><Relationship Type="http://schemas.openxmlformats.org/officeDocument/2006/relationships/hyperlink" Id="rId471" Target="https://docs.google.com/presentation/d/1cH7vm_lAxe_JUlr1H_M5Ujas-pTUY8qPBthTcSOiIXA/edit?usp=sharing" TargetMode="External" /><Relationship Type="http://schemas.openxmlformats.org/officeDocument/2006/relationships/hyperlink" Id="rId392" Target="https://docs.google.com/presentation/d/1chz02nzYklAEjOtHrPsJZccGy1sFUZvqdlfcUyfj3I4/edit?usp=sharing" TargetMode="External" /><Relationship Type="http://schemas.openxmlformats.org/officeDocument/2006/relationships/hyperlink" Id="rId443" Target="https://docs.google.com/presentation/d/1coAc4GY1CkpiBcamCYsEemjOsa6zTWiK6kd2C1iAaKA/edit?usp=sharing" TargetMode="External" /><Relationship Type="http://schemas.openxmlformats.org/officeDocument/2006/relationships/hyperlink" Id="rId77" Target="https://docs.google.com/presentation/d/1codot9UeUO7l0EDcEre7dJgyXurD_xyxpw6IJL_aEjM" TargetMode="External" /><Relationship Type="http://schemas.openxmlformats.org/officeDocument/2006/relationships/hyperlink" Id="rId36" Target="https://docs.google.com/presentation/d/1ic09dhbt6WLEAgBTOqfT_tveknFF936BPVC2JhjutmY/edit?usp=sharing" TargetMode="External" /><Relationship Type="http://schemas.openxmlformats.org/officeDocument/2006/relationships/hyperlink" Id="rId67" Target="https://docs.google.com/presentation/d/1kxbnBLoRsdPW4ZkjwNsAHS1XFPuJpQZ8I1aVqyZISW0" TargetMode="External" /><Relationship Type="http://schemas.openxmlformats.org/officeDocument/2006/relationships/hyperlink" Id="rId184" Target="https://docs.google.com/presentation/d/1mibD1XUpgRZcDPbYj5XOMUASuScuJoUBVV7RkT5nnSc/edit?usp=sharing" TargetMode="External" /><Relationship Type="http://schemas.openxmlformats.org/officeDocument/2006/relationships/hyperlink" Id="rId584" Target="https://docs.google.com/presentation/d/1uipJ2uS2g8svKtWX-mN3MGvWYLWL9C0Pmv2nK6FjbCo/edit?usp=sharing" TargetMode="External" /><Relationship Type="http://schemas.openxmlformats.org/officeDocument/2006/relationships/hyperlink" Id="rId114" Target="https://docs.google.com/presentation/d/1uwlG7uaTOnItdpd4Ll6nNQiBJKBivsvR-erupicAwJM/edit?usp=sharing" TargetMode="External" /><Relationship Type="http://schemas.openxmlformats.org/officeDocument/2006/relationships/hyperlink" Id="rId62" Target="https://docs.google.com/presentation/d/1zWWdJcJUgp1mXoTE7d0V-7T9ft_Y1EmV0P3VEzWsAXs" TargetMode="External" /><Relationship Type="http://schemas.openxmlformats.org/officeDocument/2006/relationships/hyperlink" Id="rId243" Target="https://docs.google.com/spreadsheets/d/1SXPLeaHAbxjOBkdVsyldp-bdGG7fQgReKlh4sjG5AKI/edit?usp=sharing" TargetMode="External" /><Relationship Type="http://schemas.openxmlformats.org/officeDocument/2006/relationships/hyperlink" Id="rId235" Target="https://docs.google.com/spreadsheets/d/1hpSyjO0H8sXq6C1xM_oGMyv9vCY2qTvfYHVdqO9ZVhk/edit?usp=sharing" TargetMode="External" /><Relationship Type="http://schemas.openxmlformats.org/officeDocument/2006/relationships/hyperlink" Id="rId238" Target="https://docs.google.com/spreadsheets/d/1vD0wbxgYuDlfKA0DF2Km-N4GHL2gRoUaEN_oCrSb2jU/edit?usp=sharing" TargetMode="External" /><Relationship Type="http://schemas.openxmlformats.org/officeDocument/2006/relationships/hyperlink" Id="rId27" Target="https://doi.org/10.1371/journal.pone.0196878" TargetMode="External" /><Relationship Type="http://schemas.openxmlformats.org/officeDocument/2006/relationships/hyperlink" Id="rId390" Target="https://drive.google.com/file/d/1kK6FBBLbHiAAsTUgxwzHRlK1qCo__eCy/view?usp=sharing" TargetMode="External" /><Relationship Type="http://schemas.openxmlformats.org/officeDocument/2006/relationships/hyperlink" Id="rId435" Target="https://fourwaves.com/blog/abstract-vs-introduction/" TargetMode="External" /><Relationship Type="http://schemas.openxmlformats.org/officeDocument/2006/relationships/hyperlink" Id="rId595" Target="https://github.com/jhudsl/ottrpal" TargetMode="External" /><Relationship Type="http://schemas.openxmlformats.org/officeDocument/2006/relationships/hyperlink" Id="rId54" Target="https://hbr.org/2012/10/data-scientist-the-sexiest-job-of-the-21st-century" TargetMode="External" /><Relationship Type="http://schemas.openxmlformats.org/officeDocument/2006/relationships/hyperlink" Id="rId520" Target="https://help.anvilproject.org" TargetMode="External" /><Relationship Type="http://schemas.openxmlformats.org/officeDocument/2006/relationships/hyperlink" Id="rId517" Target="https://help.c-moor.org" TargetMode="External" /><Relationship Type="http://schemas.openxmlformats.org/officeDocument/2006/relationships/hyperlink" Id="rId32" Target="https://help.c-moor.org/" TargetMode="External" /><Relationship Type="http://schemas.openxmlformats.org/officeDocument/2006/relationships/hyperlink" Id="rId94" Target="https://help.c-moor.org/c/help/" TargetMode="External" /><Relationship Type="http://schemas.openxmlformats.org/officeDocument/2006/relationships/hyperlink" Id="rId389" Target="https://help.c-moor.org/c/look-at-this/" TargetMode="External" /><Relationship Type="http://schemas.openxmlformats.org/officeDocument/2006/relationships/hyperlink" Id="rId52" Target="https://help.c-moor.org/c/look-at-this/8" TargetMode="External" /><Relationship Type="http://schemas.openxmlformats.org/officeDocument/2006/relationships/hyperlink" Id="rId518" Target="https://help.galaxyproject.org" TargetMode="External" /><Relationship Type="http://schemas.openxmlformats.org/officeDocument/2006/relationships/hyperlink" Id="rId596" Target="https://johnmuschelli.com/" TargetMode="External" /><Relationship Type="http://schemas.openxmlformats.org/officeDocument/2006/relationships/hyperlink" Id="rId379" Target="https://journals.sagepub.com/doi/abs/10.3233/JAD-180176" TargetMode="External" /><Relationship Type="http://schemas.openxmlformats.org/officeDocument/2006/relationships/hyperlink" Id="rId66" Target="https://link.c-moor.org/video-join-sciserver" TargetMode="External" /><Relationship Type="http://schemas.openxmlformats.org/officeDocument/2006/relationships/hyperlink" Id="rId76" Target="https://link.c-moor.org/video-join-sciserver-group" TargetMode="External" /><Relationship Type="http://schemas.openxmlformats.org/officeDocument/2006/relationships/hyperlink" Id="rId86" Target="https://link.c-moor.org/video-sciserver-create-learnr-container" TargetMode="External" /><Relationship Type="http://schemas.openxmlformats.org/officeDocument/2006/relationships/hyperlink" Id="rId436" Target="https://onlinelibrary.wiley.com/doi/10.1111/j.1475-6773.2006.00588.x" TargetMode="External" /><Relationship Type="http://schemas.openxmlformats.org/officeDocument/2006/relationships/hyperlink" Id="rId23" Target="https://openstax.org/books/biology-2e/pages/22-introduction" TargetMode="External" /><Relationship Type="http://schemas.openxmlformats.org/officeDocument/2006/relationships/hyperlink" Id="rId172" Target="https://pmc.ncbi.nlm.nih.gov/articles/PMC6790402/" TargetMode="External" /><Relationship Type="http://schemas.openxmlformats.org/officeDocument/2006/relationships/hyperlink" Id="rId516" Target="https://pubmed.gov/35858750" TargetMode="External" /><Relationship Type="http://schemas.openxmlformats.org/officeDocument/2006/relationships/hyperlink" Id="rId28" Target="https://qubeshub.org/community/groups/niblse" TargetMode="External" /><Relationship Type="http://schemas.openxmlformats.org/officeDocument/2006/relationships/hyperlink" Id="rId44" Target="https://science.c-moor.org/miniCURE-16S-Microbiome/analyzing-16s-rrna-data-with-phyloseq.html" TargetMode="External" /><Relationship Type="http://schemas.openxmlformats.org/officeDocument/2006/relationships/hyperlink" Id="rId43" Target="https://science.c-moor.org/miniCURE-16S-Microbiome/exploring-16s-rrna-data-with-phyloseq.html" TargetMode="External" /><Relationship Type="http://schemas.openxmlformats.org/officeDocument/2006/relationships/hyperlink" Id="rId40" Target="https://science.c-moor.org/miniCURE-16S-Microbiome/introduction.html" TargetMode="External" /><Relationship Type="http://schemas.openxmlformats.org/officeDocument/2006/relationships/hyperlink" Id="rId45" Target="https://science.c-moor.org/miniCURE-16S-Microbiome/kickstart-project-work.html" TargetMode="External" /><Relationship Type="http://schemas.openxmlformats.org/officeDocument/2006/relationships/hyperlink" Id="rId365" Target="https://science.c-moor.org/miniCURE-16S-Microbiome/s-minicure-guide.html" TargetMode="External" /><Relationship Type="http://schemas.openxmlformats.org/officeDocument/2006/relationships/hyperlink" Id="rId42" Target="https://science.c-moor.org/miniCURE-16S-Microbiome/s-rrna-data-in-spreadsheets.html" TargetMode="External" /><Relationship Type="http://schemas.openxmlformats.org/officeDocument/2006/relationships/hyperlink" Id="rId41" Target="https://science.c-moor.org/miniCURE-16S-Microbiome/scientific-literature.html" TargetMode="External" /><Relationship Type="http://schemas.openxmlformats.org/officeDocument/2006/relationships/hyperlink" Id="rId231" Target="https://science.c-moor.org/miniCURE-16S-Microbiome/spreadsheets-101.html" TargetMode="External" /><Relationship Type="http://schemas.openxmlformats.org/officeDocument/2006/relationships/hyperlink" Id="rId519" Target="https://support.bioconductor.org" TargetMode="External" /><Relationship Type="http://schemas.openxmlformats.org/officeDocument/2006/relationships/hyperlink" Id="rId121" Target="https://support.google.com/chrome/answer/188842" TargetMode="External" /><Relationship Type="http://schemas.openxmlformats.org/officeDocument/2006/relationships/hyperlink" Id="rId122" Target="https://support.terra.bio/hc/en-us" TargetMode="External" /><Relationship Type="http://schemas.openxmlformats.org/officeDocument/2006/relationships/hyperlink" Id="rId63" Target="https://undsci.berkeley.edu/understanding-science-101/how-science-works/exploration-and-discovery" TargetMode="External" /><Relationship Type="http://schemas.openxmlformats.org/officeDocument/2006/relationships/hyperlink" Id="rId446" Target="https://ur.umbc.edu/poster-presentation-examples" TargetMode="External" /><Relationship Type="http://schemas.openxmlformats.org/officeDocument/2006/relationships/hyperlink" Id="rId445" Target="https://ur.umbc.edu/urcad/resources/posters-guidelines" TargetMode="External" /><Relationship Type="http://schemas.openxmlformats.org/officeDocument/2006/relationships/hyperlink" Id="rId26" Target="https://visionandchange.org/" TargetMode="External" /><Relationship Type="http://schemas.openxmlformats.org/officeDocument/2006/relationships/hyperlink" Id="rId588" Target="https://www.aaas.org/resources/vision-change-undergraduate-biology-education-call-action" TargetMode="External" /><Relationship Type="http://schemas.openxmlformats.org/officeDocument/2006/relationships/hyperlink" Id="rId594" Target="https://www.avahoffman.com/" TargetMode="External" /><Relationship Type="http://schemas.openxmlformats.org/officeDocument/2006/relationships/hyperlink" Id="rId481" Target="https://www.biostars.org" TargetMode="External" /><Relationship Type="http://schemas.openxmlformats.org/officeDocument/2006/relationships/hyperlink" Id="rId592" Target="https://www.cansavvy.com/" TargetMode="External" /><Relationship Type="http://schemas.openxmlformats.org/officeDocument/2006/relationships/hyperlink" Id="rId370" Target="https://www.cell.com/cell/fulltext/S0092-8674(21)00754-6?ref=podcastdisclosed.com" TargetMode="External" /><Relationship Type="http://schemas.openxmlformats.org/officeDocument/2006/relationships/hyperlink" Id="rId498" Target="https://www.cloviscollege.edu/alumni-and-community/c-moor/c-moor-scholars.html" TargetMode="External" /><Relationship Type="http://schemas.openxmlformats.org/officeDocument/2006/relationships/hyperlink" Id="rId46" Target="https://www.cloviscollege.edu/landing/stem-research-symposium-2023.html" TargetMode="External" /><Relationship Type="http://schemas.openxmlformats.org/officeDocument/2006/relationships/hyperlink" Id="rId506" Target="https://www.nsf.gov/funding/initiatives/reu" TargetMode="External" /><Relationship Type="http://schemas.openxmlformats.org/officeDocument/2006/relationships/hyperlink" Id="rId477" Target="https://www.nsf.gov/funding/initiatives/reu/search" TargetMode="External" /><Relationship Type="http://schemas.openxmlformats.org/officeDocument/2006/relationships/hyperlink" Id="rId476" Target="https://www.nsf.gov/funding/initiatives/reu/students" TargetMode="External" /><Relationship Type="http://schemas.openxmlformats.org/officeDocument/2006/relationships/hyperlink" Id="rId590" Target="https://www.ottrproject.org/more_features.html#giving-credits-to-contributors" TargetMode="External" /><Relationship Type="http://schemas.openxmlformats.org/officeDocument/2006/relationships/hyperlink" Id="rId447" Target="https://www.pacb.com/wp-content/uploads/PAG-Portik.pdf" TargetMode="External" /><Relationship Type="http://schemas.openxmlformats.org/officeDocument/2006/relationships/hyperlink" Id="rId482" Target="https://www.reddit.com/r/metagenomics" TargetMode="External" /><Relationship Type="http://schemas.openxmlformats.org/officeDocument/2006/relationships/hyperlink" Id="rId34" Target="https://www.sciserver.org/" TargetMode="External" /><Relationship Type="http://schemas.openxmlformats.org/officeDocument/2006/relationships/hyperlink" Id="rId480" Target="https://www.seqanswers.com" TargetMode="External" /><Relationship Type="http://schemas.openxmlformats.org/officeDocument/2006/relationships/hyperlink" Id="rId61" Target="https://www.youtube.com/watch?v=5kcAc20Bus8" TargetMode="External" /><Relationship Type="http://schemas.openxmlformats.org/officeDocument/2006/relationships/hyperlink" Id="rId483" Target="https://x.com/search?q=%23metagenomics" TargetMode="External" /><Relationship Type="http://schemas.openxmlformats.org/officeDocument/2006/relationships/hyperlink" Id="rId591"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miniCURE: Human Gut 16S rRNA</dc:title>
  <dc:creator/>
  <dc:description>Description about Course/Book.</dc:description>
  <cp:keywords/>
  <dcterms:created xsi:type="dcterms:W3CDTF">2026-06-06T03:26:49Z</dcterms:created>
  <dcterms:modified xsi:type="dcterms:W3CDTF">2026-06-06T03:26:49Z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06,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