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png" ContentType="image/png"/>
  <Override PartName="/word/media/rId217.png" ContentType="image/png"/>
  <Override PartName="/word/media/rId214.png" ContentType="image/png"/>
  <Override PartName="/word/media/rId203.png" ContentType="image/png"/>
  <Override PartName="/word/media/rId207.png" ContentType="image/png"/>
  <Override PartName="/word/media/rId376.png" ContentType="image/png"/>
  <Override PartName="/word/media/rId371.png" ContentType="image/png"/>
  <Override PartName="/word/media/rId312.png" ContentType="image/png"/>
  <Override PartName="/word/media/rId440.png" ContentType="image/png"/>
  <Override PartName="/word/media/rId468.png" ContentType="image/png"/>
  <Override PartName="/word/media/rId386.png" ContentType="image/png"/>
  <Override PartName="/word/media/rId402.png" ContentType="image/png"/>
  <Override PartName="/word/media/rId427.png" ContentType="image/png"/>
  <Override PartName="/word/media/rId417.png" ContentType="image/png"/>
  <Override PartName="/word/media/rId421.png" ContentType="image/png"/>
  <Override PartName="/word/media/rId503.png" ContentType="image/png"/>
  <Override PartName="/word/media/rId510.png" ContentType="image/png"/>
  <Override PartName="/word/media/rId494.png" ContentType="image/png"/>
  <Override PartName="/word/media/rId398.png" ContentType="image/png"/>
  <Override PartName="/word/media/rId531.png" ContentType="image/png"/>
  <Override PartName="/word/media/rId522.png" ContentType="image/png"/>
  <Override PartName="/word/media/rId528.png" ContentType="image/png"/>
  <Override PartName="/word/media/rId525.png" ContentType="image/png"/>
  <Override PartName="/word/media/rId405.png" ContentType="image/png"/>
  <Override PartName="/word/media/rId413.png" ContentType="image/png"/>
  <Override PartName="/word/media/rId394.png" ContentType="image/png"/>
  <Override PartName="/word/media/rId409.png" ContentType="image/png"/>
  <Override PartName="/word/media/rId465.png" ContentType="image/png"/>
  <Override PartName="/word/media/rId255.png" ContentType="image/png"/>
  <Override PartName="/word/media/rId58.jpg" ContentType="image/jpeg"/>
  <Override PartName="/word/media/rId20.png" ContentType="image/png"/>
  <Override PartName="/word/media/rId126.png" ContentType="image/png"/>
  <Override PartName="/word/media/rId140.png" ContentType="image/png"/>
  <Override PartName="/word/media/rId157.png" ContentType="image/png"/>
  <Override PartName="/word/media/rId134.png" ContentType="image/png"/>
  <Override PartName="/word/media/rId137.png" ContentType="image/png"/>
  <Override PartName="/word/media/rId143.png" ContentType="image/png"/>
  <Override PartName="/word/media/rId146.png" ContentType="image/png"/>
  <Override PartName="/word/media/rId149.png" ContentType="image/png"/>
  <Override PartName="/word/media/rId152.png" ContentType="image/png"/>
  <Override PartName="/word/media/rId88.png" ContentType="image/png"/>
  <Override PartName="/word/media/rId99.png" ContentType="image/png"/>
  <Override PartName="/word/media/rId91.png" ContentType="image/png"/>
  <Override PartName="/word/media/rId69.png" ContentType="image/png"/>
  <Override PartName="/word/media/rId49.png" ContentType="image/png"/>
  <Override PartName="/word/media/rId118.png" ContentType="image/png"/>
  <Override PartName="/word/media/rId110.png" ContentType="image/png"/>
  <Override PartName="/word/media/rId115.png" ContentType="image/png"/>
  <Override PartName="/word/media/rId544.png" ContentType="image/png"/>
  <Override PartName="/word/media/rId547.png" ContentType="image/png"/>
  <Override PartName="/word/media/rId551.png" ContentType="image/png"/>
  <Override PartName="/word/media/rId555.png" ContentType="image/png"/>
  <Override PartName="/word/media/rId536.png" ContentType="image/png"/>
  <Override PartName="/word/media/rId559.png" ContentType="image/png"/>
  <Override PartName="/word/media/rId540.png" ContentType="image/png"/>
  <Override PartName="/word/media/rId581.png" ContentType="image/png"/>
  <Override PartName="/word/media/rId569.png" ContentType="image/png"/>
  <Override PartName="/word/media/rId566.png" ContentType="image/png"/>
  <Override PartName="/word/media/rId576.png" ContentType="image/png"/>
  <Override PartName="/word/media/rId572.png" ContentType="image/png"/>
  <Override PartName="/word/media/rId167.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miniCURE:</w:t>
      </w:r>
      <w:r>
        <w:t xml:space="preserve"> </w:t>
      </w:r>
      <w:r>
        <w:t xml:space="preserve">Human</w:t>
      </w:r>
      <w:r>
        <w:t xml:space="preserve"> </w:t>
      </w:r>
      <w:r>
        <w:t xml:space="preserve">Gut</w:t>
      </w:r>
      <w:r>
        <w:t xml:space="preserve"> </w:t>
      </w:r>
      <w:r>
        <w:t xml:space="preserve">16S</w:t>
      </w:r>
      <w:r>
        <w:t xml:space="preserve"> </w:t>
      </w:r>
      <w:r>
        <w:t xml:space="preserve">rRNA</w:t>
      </w:r>
    </w:p>
    <w:p>
      <w:pPr>
        <w:pStyle w:val="Date"/>
      </w:pPr>
      <w:r>
        <w:t xml:space="preserve">July</w:t>
      </w:r>
      <w:r>
        <w:t xml:space="preserve"> </w:t>
      </w:r>
      <w:r>
        <w:t xml:space="preserve">02,</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this-course"/>
    <w:p>
      <w:pPr>
        <w:pStyle w:val="Heading1"/>
      </w:pPr>
      <w:r>
        <w:t xml:space="preserve">About this Course</w:t>
      </w:r>
    </w:p>
    <w:p>
      <w:pPr>
        <w:pStyle w:val="FirstParagraph"/>
      </w:pPr>
      <w:r>
        <w:t xml:space="preserve">This miniCURE has students design an independent research project around a question relating to the human gut microbiome. As they build their project, students will describe microbes using different taxonomic ranks, find and read scientific literature, and think about how community composition, biodiversity, and specific microbes can differ between samples. Finally, students will practice the scientific process to test their own question about the gut microbiome from their chosen dataset.</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dEZtb0TgLbzhbr3HxQElwg8hENur2HMIzseg19OGd0g_g363ea5c3bfa_0_43.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Foundational understanding of</w:t>
      </w:r>
      <w:r>
        <w:t xml:space="preserve"> </w:t>
      </w:r>
      <w:hyperlink r:id="rId23">
        <w:r>
          <w:rPr>
            <w:rStyle w:val="Hyperlink"/>
          </w:rPr>
          <w:t xml:space="preserve">prokaryotes and their relationships with hosts</w:t>
        </w:r>
      </w:hyperlink>
    </w:p>
    <w:p>
      <w:pPr>
        <w:pStyle w:val="BodyText"/>
      </w:pPr>
      <w:r>
        <w:rPr>
          <w:iCs/>
          <w:i/>
        </w:rPr>
        <w:t xml:space="preserve">Programming skills</w:t>
      </w:r>
      <w:r>
        <w:br/>
      </w:r>
      <w:r>
        <w:rPr>
          <w:bCs/>
          <w:b/>
        </w:rPr>
        <w:t xml:space="preserve">Novice</w:t>
      </w:r>
      <w:r>
        <w:t xml:space="preserve">: No programming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Find and read scientific literature</w:t>
      </w:r>
      <w:r>
        <w:t xml:space="preserve"> </w:t>
      </w:r>
      <w:r>
        <w:t xml:space="preserve">to interact with the greater scientific community and build an epistemological identity</w:t>
      </w:r>
    </w:p>
    <w:p>
      <w:pPr>
        <w:numPr>
          <w:ilvl w:val="0"/>
          <w:numId w:val="1001"/>
        </w:numPr>
        <w:pStyle w:val="Compact"/>
      </w:pPr>
      <w:r>
        <w:rPr>
          <w:bCs/>
          <w:b/>
        </w:rPr>
        <w:t xml:space="preserve">Analyze data (i.e. create and interpret plots)</w:t>
      </w:r>
      <w:r>
        <w:t xml:space="preserve"> </w:t>
      </w:r>
      <w:r>
        <w:t xml:space="preserve">to generate novel conclusions and new lines of inquiry based on previous findings.</w:t>
      </w:r>
    </w:p>
    <w:p>
      <w:pPr>
        <w:numPr>
          <w:ilvl w:val="0"/>
          <w:numId w:val="1001"/>
        </w:numPr>
        <w:pStyle w:val="Compact"/>
      </w:pPr>
      <w:r>
        <w:rPr>
          <w:bCs/>
          <w:b/>
        </w:rPr>
        <w:t xml:space="preserve">Cultivate an</w:t>
      </w:r>
      <w:r>
        <w:rPr>
          <w:bCs/>
          <w:b/>
        </w:rPr>
        <w:t xml:space="preserve"> </w:t>
      </w:r>
      <w:r>
        <w:rPr>
          <w:bCs/>
          <w:b/>
        </w:rPr>
        <w:t xml:space="preserve">“</w:t>
      </w:r>
      <w:r>
        <w:rPr>
          <w:bCs/>
          <w:b/>
        </w:rPr>
        <w:t xml:space="preserve">-omics</w:t>
      </w:r>
      <w:r>
        <w:rPr>
          <w:bCs/>
          <w:b/>
        </w:rPr>
        <w:t xml:space="preserve">”</w:t>
      </w:r>
      <w:r>
        <w:rPr>
          <w:bCs/>
          <w:b/>
        </w:rPr>
        <w:t xml:space="preserve"> </w:t>
      </w:r>
      <w:r>
        <w:rPr>
          <w:bCs/>
          <w:b/>
        </w:rPr>
        <w:t xml:space="preserve">perspective</w:t>
      </w:r>
      <w:r>
        <w:t xml:space="preserve">, to identify the advantages of genomic science for large datasets and connect findings to biological insights</w:t>
      </w:r>
    </w:p>
    <w:p>
      <w:pPr>
        <w:numPr>
          <w:ilvl w:val="0"/>
          <w:numId w:val="1001"/>
        </w:numPr>
        <w:pStyle w:val="Compact"/>
      </w:pPr>
      <w:r>
        <w:rPr>
          <w:bCs/>
          <w:b/>
        </w:rPr>
        <w:t xml:space="preserve">Practice the scientific process</w:t>
      </w:r>
      <w:r>
        <w:t xml:space="preserve">, identifying avenues for research, designing experiments, analyzing data, and integrating results into the broader scientific discourse.</w:t>
      </w:r>
    </w:p>
    <w:bookmarkEnd w:id="25"/>
    <w:bookmarkStart w:id="29" w:name="core-competencies"/>
    <w:p>
      <w:pPr>
        <w:pStyle w:val="Heading3"/>
      </w:pPr>
      <w:r>
        <w:t xml:space="preserve">Core Competencies</w:t>
      </w:r>
    </w:p>
    <w:p>
      <w:pPr>
        <w:pStyle w:val="FirstParagraph"/>
      </w:pPr>
      <w:r>
        <w:t xml:space="preserve">This activity addresses several core concepts and competencies from the following sources:</w:t>
      </w:r>
    </w:p>
    <w:p>
      <w:pPr>
        <w:numPr>
          <w:ilvl w:val="0"/>
          <w:numId w:val="1002"/>
        </w:numPr>
        <w:pStyle w:val="Compact"/>
      </w:pPr>
      <w:hyperlink r:id="rId26">
        <w:r>
          <w:rPr>
            <w:rStyle w:val="Hyperlink"/>
          </w:rPr>
          <w:t xml:space="preserve">Vision and Change in Undergraduate Biology Education</w:t>
        </w:r>
      </w:hyperlink>
      <w:r>
        <w:t xml:space="preserve"> </w:t>
      </w:r>
      <w:r>
        <w:t xml:space="preserve">AAAS report</w:t>
      </w:r>
    </w:p>
    <w:p>
      <w:pPr>
        <w:numPr>
          <w:ilvl w:val="0"/>
          <w:numId w:val="1002"/>
        </w:numPr>
        <w:pStyle w:val="Compact"/>
      </w:pPr>
      <w:hyperlink r:id="rId27">
        <w:r>
          <w:rPr>
            <w:rStyle w:val="Hyperlink"/>
          </w:rPr>
          <w:t xml:space="preserve">Bioinformatics core competencies for undergraduate life sciences education</w:t>
        </w:r>
      </w:hyperlink>
      <w:r>
        <w:t xml:space="preserve"> </w:t>
      </w:r>
      <w:r>
        <w:t xml:space="preserve">by</w:t>
      </w:r>
      <w:r>
        <w:t xml:space="preserve"> </w:t>
      </w:r>
      <w:hyperlink r:id="rId28">
        <w:r>
          <w:rPr>
            <w:rStyle w:val="Hyperlink"/>
          </w:rPr>
          <w:t xml:space="preserve">NIBLSE</w:t>
        </w:r>
      </w:hyperlink>
    </w:p>
    <w:p>
      <w:pPr>
        <w:pStyle w:val="FirstParagraph"/>
      </w:pPr>
      <w:r>
        <w:t xml:space="preserve">See</w:t>
      </w:r>
      <w:r>
        <w:t xml:space="preserve"> </w:t>
      </w:r>
      <w:hyperlink w:anchor="competencies-table">
        <w:r>
          <w:rPr>
            <w:rStyle w:val="Hyperlink"/>
          </w:rPr>
          <w:t xml:space="preserve">Appendix</w:t>
        </w:r>
      </w:hyperlink>
      <w:r>
        <w:t xml:space="preserve"> </w:t>
      </w:r>
      <w:r>
        <w:t xml:space="preserve">for details.</w:t>
      </w:r>
    </w:p>
    <w:bookmarkEnd w:id="29"/>
    <w:bookmarkEnd w:id="30"/>
    <w:bookmarkStart w:id="48" w:name="instructor-guide"/>
    <w:p>
      <w:pPr>
        <w:pStyle w:val="Heading1"/>
      </w:pPr>
      <w:r>
        <w:t xml:space="preserve">Instructor Guide</w:t>
      </w:r>
    </w:p>
    <w:bookmarkStart w:id="31" w:name="for-instructors"/>
    <w:p>
      <w:pPr>
        <w:pStyle w:val="Heading3"/>
      </w:pPr>
      <w:r>
        <w:t xml:space="preserve">For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p>
      <w:pPr>
        <w:pStyle w:val="BodyText"/>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31"/>
    <w:bookmarkStart w:id="33" w:name="how-c-moor-supports-you"/>
    <w:p>
      <w:pPr>
        <w:pStyle w:val="Heading3"/>
      </w:pP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03"/>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32">
        <w:r>
          <w:rPr>
            <w:rStyle w:val="Hyperlink"/>
          </w:rPr>
          <w:t xml:space="preserve">C-MOOR Academy Discussion Forum</w:t>
        </w:r>
      </w:hyperlink>
      <w:r>
        <w:t xml:space="preserve">. Someone will assist you as soon as you are available.</w:t>
      </w:r>
    </w:p>
    <w:p>
      <w:pPr>
        <w:numPr>
          <w:ilvl w:val="0"/>
          <w:numId w:val="1003"/>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03"/>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33"/>
    <w:bookmarkStart w:id="39" w:name="new-instructor-to-do-list"/>
    <w:p>
      <w:pPr>
        <w:pStyle w:val="Heading3"/>
      </w:pP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04"/>
        </w:numPr>
        <w:pStyle w:val="Compact"/>
      </w:pPr>
      <w:r>
        <w:rPr>
          <w:bCs/>
          <w:b/>
        </w:rPr>
        <w:t xml:space="preserve">Make an introductory post on the</w:t>
      </w:r>
      <w:r>
        <w:rPr>
          <w:bCs/>
          <w:b/>
        </w:rPr>
        <w:t xml:space="preserve"> </w:t>
      </w:r>
      <w:hyperlink r:id="rId32">
        <w:r>
          <w:rPr>
            <w:rStyle w:val="Hyperlink"/>
            <w:bCs/>
            <w:b/>
          </w:rPr>
          <w:t xml:space="preserve">C-MOOR Academy Discussion Forum</w:t>
        </w:r>
      </w:hyperlink>
      <w:r>
        <w:t xml:space="preserve"> </w:t>
      </w:r>
      <w:r>
        <w:t xml:space="preserve">in the general category. We recommend including:</w:t>
      </w:r>
    </w:p>
    <w:p>
      <w:pPr>
        <w:numPr>
          <w:ilvl w:val="0"/>
          <w:numId w:val="1005"/>
        </w:numPr>
        <w:pStyle w:val="Compact"/>
      </w:pPr>
      <w:r>
        <w:t xml:space="preserve">Your name</w:t>
      </w:r>
    </w:p>
    <w:p>
      <w:pPr>
        <w:numPr>
          <w:ilvl w:val="0"/>
          <w:numId w:val="1005"/>
        </w:numPr>
        <w:pStyle w:val="Compact"/>
      </w:pPr>
      <w:r>
        <w:t xml:space="preserve">Your institution</w:t>
      </w:r>
    </w:p>
    <w:p>
      <w:pPr>
        <w:numPr>
          <w:ilvl w:val="0"/>
          <w:numId w:val="1005"/>
        </w:numPr>
        <w:pStyle w:val="Compact"/>
      </w:pPr>
      <w:r>
        <w:t xml:space="preserve">The class you’re teaching that uses C-MOOR modules</w:t>
      </w:r>
    </w:p>
    <w:p>
      <w:pPr>
        <w:numPr>
          <w:ilvl w:val="0"/>
          <w:numId w:val="1005"/>
        </w:numPr>
        <w:pStyle w:val="Compact"/>
      </w:pPr>
      <w:r>
        <w:t xml:space="preserve">Your area of research expertise</w:t>
      </w:r>
    </w:p>
    <w:p>
      <w:pPr>
        <w:numPr>
          <w:ilvl w:val="0"/>
          <w:numId w:val="1005"/>
        </w:numPr>
        <w:pStyle w:val="Compact"/>
      </w:pPr>
      <w:r>
        <w:t xml:space="preserve">Any previous experience with bioinformatics</w:t>
      </w:r>
    </w:p>
    <w:p>
      <w:pPr>
        <w:numPr>
          <w:ilvl w:val="0"/>
          <w:numId w:val="1005"/>
        </w:numPr>
        <w:pStyle w:val="Compact"/>
      </w:pPr>
      <w:r>
        <w:t xml:space="preserve">The cloud platform you will be using to teach (see next item)</w:t>
      </w:r>
    </w:p>
    <w:p>
      <w:pPr>
        <w:numPr>
          <w:ilvl w:val="0"/>
          <w:numId w:val="1006"/>
        </w:numPr>
      </w:pPr>
      <w:r>
        <w:rPr>
          <w:bCs/>
          <w:b/>
        </w:rPr>
        <w:t xml:space="preserve">Set up on a cloud platform</w:t>
      </w:r>
      <w:r>
        <w:t xml:space="preserve">: C-MOOR uses either</w:t>
      </w:r>
      <w:r>
        <w:t xml:space="preserve"> </w:t>
      </w:r>
      <w:hyperlink r:id="rId34">
        <w:r>
          <w:rPr>
            <w:rStyle w:val="Hyperlink"/>
          </w:rPr>
          <w:t xml:space="preserve">SciServer</w:t>
        </w:r>
      </w:hyperlink>
      <w:r>
        <w:t xml:space="preserve"> </w:t>
      </w:r>
      <w:r>
        <w:t xml:space="preserve">or</w:t>
      </w:r>
      <w:r>
        <w:t xml:space="preserve"> </w:t>
      </w:r>
      <w:hyperlink r:id="rId35">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necessary components and provides you easier access to updates. Using a cloud platform will also grant your students access to computing resources beyond their local device.</w:t>
      </w:r>
    </w:p>
    <w:p>
      <w:pPr>
        <w:numPr>
          <w:ilvl w:val="0"/>
          <w:numId w:val="1006"/>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36">
        <w:r>
          <w:rPr>
            <w:rStyle w:val="Hyperlink"/>
          </w:rPr>
          <w:t xml:space="preserve">C-MOOR RNA-seq guide</w:t>
        </w:r>
      </w:hyperlink>
      <w:r>
        <w:t xml:space="preserve"> </w:t>
      </w:r>
      <w:r>
        <w:t xml:space="preserve">and our student made</w:t>
      </w:r>
      <w:r>
        <w:t xml:space="preserve"> </w:t>
      </w:r>
      <w:hyperlink r:id="rId37">
        <w:r>
          <w:rPr>
            <w:rStyle w:val="Hyperlink"/>
          </w:rPr>
          <w:t xml:space="preserve">How To Get Started With Your C-MOOR Project Guide</w:t>
        </w:r>
      </w:hyperlink>
      <w:r>
        <w:t xml:space="preserve">.</w:t>
      </w:r>
    </w:p>
    <w:p>
      <w:pPr>
        <w:numPr>
          <w:ilvl w:val="0"/>
          <w:numId w:val="1006"/>
        </w:numPr>
      </w:pPr>
      <w:r>
        <w:rPr>
          <w:bCs/>
          <w:b/>
        </w:rPr>
        <w:t xml:space="preserve">Look over our generic</w:t>
      </w:r>
      <w:r>
        <w:rPr>
          <w:bCs/>
          <w:b/>
        </w:rPr>
        <w:t xml:space="preserve"> </w:t>
      </w:r>
      <w:hyperlink r:id="rId38">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06"/>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06"/>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39"/>
    <w:bookmarkStart w:id="47" w:name="content-overview"/>
    <w:p>
      <w:pPr>
        <w:pStyle w:val="Heading3"/>
      </w:pPr>
      <w:r>
        <w:t xml:space="preserve">Content overview</w:t>
      </w:r>
    </w:p>
    <w:tbl>
      <w:tblPr>
        <w:tblStyle w:val="Table"/>
        <w:tblW w:type="pct" w:w="5000"/>
        <w:tblLook w:firstRow="1" w:lastRow="0" w:firstColumn="0" w:lastColumn="0" w:noHBand="0" w:noVBand="0" w:val="0020"/>
        <w:jc w:val="start"/>
      </w:tblPr>
      <w:tblGrid>
        <w:gridCol w:w="2262"/>
        <w:gridCol w:w="2828"/>
        <w:gridCol w:w="2828"/>
      </w:tblGrid>
      <w:tr>
        <w:trPr>
          <w:tblHeader w:val="true"/>
        </w:trPr>
        <w:tc>
          <w:tcPr/>
          <w:p>
            <w:pPr>
              <w:pStyle w:val="Compact"/>
              <w:jc w:val="left"/>
            </w:pPr>
            <w:r>
              <w:rPr>
                <w:bCs/>
                <w:b/>
              </w:rPr>
              <w:t xml:space="preserve">Name</w:t>
            </w:r>
          </w:p>
        </w:tc>
        <w:tc>
          <w:tcPr/>
          <w:p>
            <w:pPr>
              <w:pStyle w:val="Compact"/>
              <w:jc w:val="center"/>
            </w:pPr>
            <w:r>
              <w:rPr>
                <w:bCs/>
                <w:b/>
              </w:rPr>
              <w:t xml:space="preserve">Length</w:t>
            </w:r>
          </w:p>
        </w:tc>
        <w:tc>
          <w:tcPr/>
          <w:p>
            <w:pPr>
              <w:pStyle w:val="Compact"/>
              <w:jc w:val="center"/>
            </w:pPr>
            <w:r>
              <w:rPr>
                <w:bCs/>
                <w:b/>
              </w:rPr>
              <w:t xml:space="preserve">Notes</w:t>
            </w:r>
          </w:p>
        </w:tc>
      </w:tr>
      <w:tr>
        <w:tc>
          <w:tcPr/>
          <w:p>
            <w:pPr>
              <w:pStyle w:val="Compact"/>
              <w:jc w:val="left"/>
            </w:pPr>
            <w:hyperlink r:id="rId40">
              <w:r>
                <w:rPr>
                  <w:rStyle w:val="Hyperlink"/>
                </w:rPr>
                <w:t xml:space="preserve">Overview / Scientific Process</w:t>
              </w:r>
            </w:hyperlink>
          </w:p>
        </w:tc>
        <w:tc>
          <w:tcPr/>
          <w:p>
            <w:pPr>
              <w:pStyle w:val="Compact"/>
              <w:jc w:val="center"/>
            </w:pPr>
            <w:r>
              <w:t xml:space="preserve">1 hr</w:t>
            </w:r>
          </w:p>
        </w:tc>
        <w:tc>
          <w:tcPr/>
          <w:p>
            <w:pPr>
              <w:pStyle w:val="Compact"/>
            </w:pPr>
          </w:p>
        </w:tc>
      </w:tr>
      <w:tr>
        <w:tc>
          <w:tcPr/>
          <w:p>
            <w:pPr>
              <w:pStyle w:val="Compact"/>
              <w:jc w:val="left"/>
            </w:pPr>
            <w:hyperlink r:id="rId41">
              <w:r>
                <w:rPr>
                  <w:rStyle w:val="Hyperlink"/>
                </w:rPr>
                <w:t xml:space="preserve">#1: Scientific Literature</w:t>
              </w:r>
            </w:hyperlink>
          </w:p>
        </w:tc>
        <w:tc>
          <w:tcPr/>
          <w:p>
            <w:pPr>
              <w:pStyle w:val="Compact"/>
              <w:jc w:val="center"/>
            </w:pPr>
            <w:r>
              <w:t xml:space="preserve">Full lab</w:t>
            </w:r>
          </w:p>
        </w:tc>
        <w:tc>
          <w:tcPr/>
          <w:p>
            <w:pPr>
              <w:pStyle w:val="Compact"/>
              <w:jc w:val="center"/>
            </w:pPr>
            <w:r>
              <w:t xml:space="preserve">Pre-lab: Scientific Literature</w:t>
            </w:r>
          </w:p>
        </w:tc>
      </w:tr>
      <w:tr>
        <w:tc>
          <w:tcPr/>
          <w:p>
            <w:pPr>
              <w:pStyle w:val="Compact"/>
              <w:jc w:val="left"/>
            </w:pPr>
            <w:hyperlink r:id="rId42">
              <w:r>
                <w:rPr>
                  <w:rStyle w:val="Hyperlink"/>
                </w:rPr>
                <w:t xml:space="preserve">#2: 16S rRNA Data in spreadsheets</w:t>
              </w:r>
            </w:hyperlink>
          </w:p>
        </w:tc>
        <w:tc>
          <w:tcPr/>
          <w:p>
            <w:pPr>
              <w:pStyle w:val="Compact"/>
              <w:jc w:val="center"/>
            </w:pPr>
            <w:r>
              <w:t xml:space="preserve">Full lab</w:t>
            </w:r>
          </w:p>
        </w:tc>
        <w:tc>
          <w:tcPr/>
          <w:p>
            <w:pPr>
              <w:pStyle w:val="Compact"/>
            </w:pPr>
          </w:p>
        </w:tc>
      </w:tr>
      <w:tr>
        <w:tc>
          <w:tcPr/>
          <w:p>
            <w:pPr>
              <w:pStyle w:val="Compact"/>
              <w:jc w:val="left"/>
            </w:pPr>
            <w:hyperlink r:id="rId43">
              <w:r>
                <w:rPr>
                  <w:rStyle w:val="Hyperlink"/>
                </w:rPr>
                <w:t xml:space="preserve">#3: Exploring 16S rRNA Data with Phyloseq</w:t>
              </w:r>
            </w:hyperlink>
          </w:p>
        </w:tc>
        <w:tc>
          <w:tcPr/>
          <w:p>
            <w:pPr>
              <w:pStyle w:val="Compact"/>
              <w:jc w:val="center"/>
            </w:pPr>
            <w:r>
              <w:t xml:space="preserve">Full lab</w:t>
            </w:r>
          </w:p>
        </w:tc>
        <w:tc>
          <w:tcPr/>
          <w:p>
            <w:pPr>
              <w:pStyle w:val="Compact"/>
            </w:pPr>
          </w:p>
        </w:tc>
      </w:tr>
      <w:tr>
        <w:tc>
          <w:tcPr/>
          <w:p>
            <w:pPr>
              <w:pStyle w:val="Compact"/>
              <w:jc w:val="left"/>
            </w:pPr>
            <w:hyperlink r:id="rId44">
              <w:r>
                <w:rPr>
                  <w:rStyle w:val="Hyperlink"/>
                </w:rPr>
                <w:t xml:space="preserve">#4: Analyzing 16S rRNA Data with Phyloseq</w:t>
              </w:r>
            </w:hyperlink>
          </w:p>
        </w:tc>
        <w:tc>
          <w:tcPr/>
          <w:p>
            <w:pPr>
              <w:pStyle w:val="Compact"/>
              <w:jc w:val="center"/>
            </w:pPr>
            <w:r>
              <w:t xml:space="preserve">Full lab</w:t>
            </w:r>
          </w:p>
        </w:tc>
        <w:tc>
          <w:tcPr/>
          <w:p>
            <w:pPr>
              <w:pStyle w:val="Compact"/>
            </w:pPr>
          </w:p>
        </w:tc>
      </w:tr>
      <w:tr>
        <w:tc>
          <w:tcPr/>
          <w:p>
            <w:pPr>
              <w:pStyle w:val="Compact"/>
              <w:jc w:val="left"/>
            </w:pPr>
            <w:hyperlink r:id="rId45">
              <w:r>
                <w:rPr>
                  <w:rStyle w:val="Hyperlink"/>
                </w:rPr>
                <w:t xml:space="preserve">#5: Kickstart Project Work</w:t>
              </w:r>
            </w:hyperlink>
          </w:p>
        </w:tc>
        <w:tc>
          <w:tcPr/>
          <w:p>
            <w:pPr>
              <w:pStyle w:val="Compact"/>
              <w:jc w:val="center"/>
            </w:pPr>
            <w:r>
              <w:t xml:space="preserve">Flexible</w:t>
            </w:r>
          </w:p>
        </w:tc>
        <w:tc>
          <w:tcPr/>
          <w:p>
            <w:pPr>
              <w:pStyle w:val="Compact"/>
            </w:pPr>
          </w:p>
        </w:tc>
      </w:tr>
      <w:tr>
        <w:tc>
          <w:tcPr/>
          <w:p>
            <w:pPr>
              <w:pStyle w:val="Compact"/>
              <w:jc w:val="left"/>
            </w:pPr>
            <w:hyperlink r:id="rId46">
              <w:r>
                <w:rPr>
                  <w:rStyle w:val="Hyperlink"/>
                </w:rPr>
                <w:t xml:space="preserve">Poster presentation</w:t>
              </w:r>
            </w:hyperlink>
          </w:p>
        </w:tc>
        <w:tc>
          <w:tcPr/>
          <w:p>
            <w:pPr>
              <w:pStyle w:val="Compact"/>
              <w:jc w:val="center"/>
            </w:pPr>
            <w:r>
              <w:t xml:space="preserve">Flexible</w:t>
            </w:r>
          </w:p>
        </w:tc>
        <w:tc>
          <w:tcPr/>
          <w:p>
            <w:pPr>
              <w:pStyle w:val="Compact"/>
              <w:jc w:val="center"/>
            </w:pPr>
            <w:r>
              <w:t xml:space="preserve">Optional</w:t>
            </w:r>
          </w:p>
        </w:tc>
      </w:tr>
    </w:tbl>
    <w:bookmarkEnd w:id="47"/>
    <w:bookmarkEnd w:id="48"/>
    <w:bookmarkStart w:id="166" w:name="introduction"/>
    <w:p>
      <w:pPr>
        <w:pStyle w:val="Heading1"/>
      </w:pPr>
      <w:r>
        <w:rPr>
          <w:rStyle w:val="SectionNumber"/>
        </w:rPr>
        <w:t xml:space="preserve">1</w:t>
      </w:r>
      <w:r>
        <w:tab/>
      </w:r>
      <w:r>
        <w:t xml:space="preserve">Introduction</w:t>
      </w:r>
    </w:p>
    <w:bookmarkStart w:id="57" w:name="c-moor-minicure-overview"/>
    <w:p>
      <w:pPr>
        <w:pStyle w:val="Heading2"/>
      </w:pPr>
      <w:r>
        <w:rPr>
          <w:rStyle w:val="SectionNumber"/>
        </w:rPr>
        <w:t xml:space="preserve">1.1</w:t>
      </w:r>
      <w:r>
        <w:tab/>
      </w:r>
      <w:r>
        <w:t xml:space="preserve">C-MOOR miniCURE Overview</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Start w:id="53" w:name="what-is-c-moor"/>
    <w:p>
      <w:pPr>
        <w:pStyle w:val="Heading3"/>
      </w:pPr>
      <w:r>
        <w:rPr>
          <w:rStyle w:val="SectionNumber"/>
        </w:rPr>
        <w:t xml:space="preserve">1.1.1</w:t>
      </w:r>
      <w:r>
        <w:tab/>
      </w:r>
      <w:r>
        <w:t xml:space="preserve">What is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50" name="Picture"/>
            <a:graphic>
              <a:graphicData uri="http://schemas.openxmlformats.org/drawingml/2006/picture">
                <pic:pic>
                  <pic:nvPicPr>
                    <pic:cNvPr descr="introduction_files/figure-docx//1dI8-_iVqbkzNMf11M4dK85E8ZW3OyZECs_YwMKw5fhs_g365128907e6_0_158.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7"/>
        </w:numPr>
        <w:pStyle w:val="Compact"/>
      </w:pPr>
      <w:r>
        <w:rPr>
          <w:bCs/>
          <w:b/>
        </w:rPr>
        <w:t xml:space="preserve">Students taught:</w:t>
      </w:r>
      <w:r>
        <w:t xml:space="preserve"> </w:t>
      </w:r>
      <w:r>
        <w:t xml:space="preserve">950+.</w:t>
      </w:r>
    </w:p>
    <w:p>
      <w:pPr>
        <w:numPr>
          <w:ilvl w:val="0"/>
          <w:numId w:val="1007"/>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7"/>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52">
        <w:r>
          <w:rPr>
            <w:rStyle w:val="Hyperlink"/>
          </w:rPr>
          <w:t xml:space="preserve">here</w:t>
        </w:r>
      </w:hyperlink>
      <w:r>
        <w:t xml:space="preserve">!</w:t>
      </w:r>
    </w:p>
    <w:p>
      <w:pPr>
        <w:numPr>
          <w:ilvl w:val="0"/>
          <w:numId w:val="1007"/>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53"/>
    <w:bookmarkStart w:id="55" w:name="why-data-science"/>
    <w:p>
      <w:pPr>
        <w:pStyle w:val="Heading3"/>
      </w:pPr>
      <w:r>
        <w:rPr>
          <w:rStyle w:val="SectionNumber"/>
        </w:rPr>
        <w:t xml:space="preserve">1.1.2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54">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55"/>
    <w:bookmarkStart w:id="56" w:name="learning-goals-1"/>
    <w:p>
      <w:pPr>
        <w:pStyle w:val="Heading3"/>
      </w:pPr>
      <w:r>
        <w:rPr>
          <w:rStyle w:val="SectionNumber"/>
        </w:rPr>
        <w:t xml:space="preserve">1.1.3</w:t>
      </w:r>
      <w:r>
        <w:tab/>
      </w:r>
      <w:r>
        <w:t xml:space="preserve">Learning Goals</w:t>
      </w:r>
    </w:p>
    <w:p>
      <w:pPr>
        <w:numPr>
          <w:ilvl w:val="0"/>
          <w:numId w:val="1008"/>
        </w:numPr>
        <w:pStyle w:val="Compact"/>
      </w:pPr>
      <w:r>
        <w:t xml:space="preserve">Engage with real and current scientific data</w:t>
      </w:r>
    </w:p>
    <w:p>
      <w:pPr>
        <w:numPr>
          <w:ilvl w:val="0"/>
          <w:numId w:val="1008"/>
        </w:numPr>
        <w:pStyle w:val="Compact"/>
      </w:pPr>
      <w:r>
        <w:t xml:space="preserve">Explore available research resources online</w:t>
      </w:r>
    </w:p>
    <w:p>
      <w:pPr>
        <w:numPr>
          <w:ilvl w:val="0"/>
          <w:numId w:val="1008"/>
        </w:numPr>
        <w:pStyle w:val="Compact"/>
      </w:pPr>
      <w:r>
        <w:t xml:space="preserve">Recognize the interdisciplinary nature of biological sciences</w:t>
      </w:r>
    </w:p>
    <w:p>
      <w:pPr>
        <w:numPr>
          <w:ilvl w:val="0"/>
          <w:numId w:val="1008"/>
        </w:numPr>
        <w:pStyle w:val="Compact"/>
      </w:pPr>
      <w:r>
        <w:t xml:space="preserve">Synthesize findings from scientific literature</w:t>
      </w:r>
    </w:p>
    <w:p>
      <w:pPr>
        <w:numPr>
          <w:ilvl w:val="0"/>
          <w:numId w:val="1008"/>
        </w:numPr>
        <w:pStyle w:val="Compact"/>
      </w:pPr>
      <w:r>
        <w:t xml:space="preserve">Summarize findings and discuss results with your peers</w:t>
      </w:r>
    </w:p>
    <w:p>
      <w:pPr>
        <w:numPr>
          <w:ilvl w:val="0"/>
          <w:numId w:val="1008"/>
        </w:numPr>
        <w:pStyle w:val="Compact"/>
      </w:pPr>
      <w:r>
        <w:t xml:space="preserve">Collaborate with peers on a data exploration activity</w:t>
      </w:r>
    </w:p>
    <w:bookmarkEnd w:id="56"/>
    <w:bookmarkEnd w:id="57"/>
    <w:bookmarkStart w:id="64" w:name="the-scientific-process"/>
    <w:p>
      <w:pPr>
        <w:pStyle w:val="Heading2"/>
      </w:pPr>
      <w:r>
        <w:rPr>
          <w:rStyle w:val="SectionNumber"/>
        </w:rPr>
        <w:t xml:space="preserve">1.2</w:t>
      </w:r>
      <w:r>
        <w:tab/>
      </w:r>
      <w:r>
        <w:t xml:space="preserve">The Scientific Process</w:t>
      </w:r>
    </w:p>
    <w:p>
      <w:pPr>
        <w:pStyle w:val="FirstParagraph"/>
      </w:pPr>
      <w:r>
        <w:rPr>
          <w:iCs/>
          <w:i/>
        </w:rPr>
        <w:t xml:space="preserve">Estimated time: 30 min</w:t>
      </w:r>
    </w:p>
    <w:p>
      <w:pPr>
        <w:pStyle w:val="BodyText"/>
      </w:pPr>
      <w:r>
        <w:t xml:space="preserve">Watch this 10 min video and answer the questions below.</w:t>
      </w:r>
    </w:p>
    <w:p>
      <w:pPr>
        <w:pStyle w:val="BodyText"/>
      </w:pPr>
      <w:r>
        <w:drawing>
          <wp:inline>
            <wp:extent cx="5334000" cy="4000500"/>
            <wp:effectExtent b="0" l="0" r="0" t="0"/>
            <wp:docPr descr="" title="" id="59" name="Picture"/>
            <a:graphic>
              <a:graphicData uri="http://schemas.openxmlformats.org/drawingml/2006/picture">
                <pic:pic>
                  <pic:nvPicPr>
                    <pic:cNvPr descr="https://img.youtube.com/vi/5kcAc20Bus8/0.jpg" id="60" name="Picture"/>
                    <pic:cNvPicPr>
                      <a:picLocks noChangeArrowheads="1" noChangeAspect="1"/>
                    </pic:cNvPicPr>
                  </pic:nvPicPr>
                  <pic:blipFill>
                    <a:blip r:embed="rId5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t>
      </w:r>
      <w:hyperlink r:id="rId61">
        <w:r>
          <w:rPr>
            <w:rStyle w:val="Hyperlink"/>
          </w:rPr>
          <w:t xml:space="preserve">video</w:t>
        </w:r>
      </w:hyperlink>
      <w:r>
        <w:t xml:space="preserve">][</w:t>
      </w:r>
      <w:hyperlink r:id="rId62">
        <w:r>
          <w:rPr>
            <w:rStyle w:val="Hyperlink"/>
          </w:rPr>
          <w:t xml:space="preserve">slides</w:t>
        </w:r>
      </w:hyperlink>
      <w:r>
        <w:t xml:space="preserve">]</w:t>
      </w:r>
    </w:p>
    <w:p>
      <w:pPr>
        <w:pStyle w:val="BodyText"/>
      </w:pPr>
      <w:r>
        <w:t xml:space="preserve">Describe the key aspects of each of the following elements of the scientific process:</w:t>
      </w:r>
    </w:p>
    <w:p>
      <w:pPr>
        <w:numPr>
          <w:ilvl w:val="0"/>
          <w:numId w:val="1009"/>
        </w:numPr>
        <w:pStyle w:val="Compact"/>
      </w:pPr>
      <w:r>
        <w:t xml:space="preserve">Exploration and Discovery</w:t>
      </w:r>
    </w:p>
    <w:p>
      <w:pPr>
        <w:numPr>
          <w:ilvl w:val="0"/>
          <w:numId w:val="1009"/>
        </w:numPr>
        <w:pStyle w:val="Compact"/>
      </w:pPr>
      <w:r>
        <w:t xml:space="preserve">Testing Ideas</w:t>
      </w:r>
    </w:p>
    <w:p>
      <w:pPr>
        <w:numPr>
          <w:ilvl w:val="0"/>
          <w:numId w:val="1009"/>
        </w:numPr>
        <w:pStyle w:val="Compact"/>
      </w:pPr>
      <w:r>
        <w:t xml:space="preserve">Community Analysis and Feedback</w:t>
      </w:r>
    </w:p>
    <w:p>
      <w:pPr>
        <w:numPr>
          <w:ilvl w:val="0"/>
          <w:numId w:val="1009"/>
        </w:numPr>
        <w:pStyle w:val="Compact"/>
      </w:pPr>
      <w:r>
        <w:t xml:space="preserve">Benefits and Outcomes</w:t>
      </w:r>
    </w:p>
    <w:p>
      <w:pPr>
        <w:pStyle w:val="FirstParagraph"/>
      </w:pPr>
      <w:r>
        <w:t xml:space="preserve">Learn more at</w:t>
      </w:r>
      <w:r>
        <w:t xml:space="preserve"> </w:t>
      </w:r>
      <w:hyperlink r:id="rId63">
        <w:r>
          <w:rPr>
            <w:rStyle w:val="Hyperlink"/>
          </w:rPr>
          <w:t xml:space="preserve">Understanding Science 101</w:t>
        </w:r>
      </w:hyperlink>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64"/>
    <w:bookmarkStart w:id="107" w:name="sciserver-onboarding"/>
    <w:p>
      <w:pPr>
        <w:pStyle w:val="Heading2"/>
      </w:pPr>
      <w:r>
        <w:rPr>
          <w:rStyle w:val="SectionNumber"/>
        </w:rPr>
        <w:t xml:space="preserve">1.3</w:t>
      </w:r>
      <w:r>
        <w:tab/>
      </w:r>
      <w:r>
        <w:t xml:space="preserve">SciServer Onboarding</w:t>
      </w:r>
    </w:p>
    <w:bookmarkStart w:id="82" w:name="join-sciserver"/>
    <w:p>
      <w:pPr>
        <w:pStyle w:val="Heading3"/>
      </w:pPr>
      <w:r>
        <w:rPr>
          <w:rStyle w:val="SectionNumber"/>
        </w:rPr>
        <w:t xml:space="preserve">1.3.1</w:t>
      </w:r>
      <w:r>
        <w:tab/>
      </w:r>
      <w:r>
        <w:t xml:space="preserve">Join SciServer</w:t>
      </w:r>
    </w:p>
    <w:bookmarkStart w:id="65" w:name="purpose"/>
    <w:p>
      <w:pPr>
        <w:pStyle w:val="Heading4"/>
      </w:pPr>
      <w:r>
        <w:rPr>
          <w:rStyle w:val="SectionNumber"/>
        </w:rPr>
        <w:t xml:space="preserve">1.3.1.1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65"/>
    <w:bookmarkStart w:id="68" w:name="learning-objectives"/>
    <w:p>
      <w:pPr>
        <w:pStyle w:val="Heading4"/>
      </w:pPr>
      <w:r>
        <w:rPr>
          <w:rStyle w:val="SectionNumber"/>
        </w:rPr>
        <w:t xml:space="preserve">1.3.1.2</w:t>
      </w:r>
      <w:r>
        <w:tab/>
      </w:r>
      <w:r>
        <w:t xml:space="preserve">Learning Objectives</w:t>
      </w:r>
    </w:p>
    <w:p>
      <w:pPr>
        <w:numPr>
          <w:ilvl w:val="0"/>
          <w:numId w:val="1010"/>
        </w:numPr>
        <w:pStyle w:val="Compact"/>
      </w:pPr>
      <w:r>
        <w:t xml:space="preserve">Create an account on SciServer</w:t>
      </w:r>
    </w:p>
    <w:p>
      <w:pPr>
        <w:numPr>
          <w:ilvl w:val="0"/>
          <w:numId w:val="1010"/>
        </w:numPr>
        <w:pStyle w:val="Compact"/>
      </w:pPr>
      <w:r>
        <w:t xml:space="preserve">Confirm your email address</w:t>
      </w:r>
    </w:p>
    <w:p>
      <w:pPr>
        <w:numPr>
          <w:ilvl w:val="0"/>
          <w:numId w:val="1010"/>
        </w:numPr>
        <w:pStyle w:val="Compact"/>
      </w:pPr>
      <w:r>
        <w:t xml:space="preserve">Share your username with your instructor</w:t>
      </w:r>
    </w:p>
    <w:p>
      <w:pPr>
        <w:numPr>
          <w:ilvl w:val="0"/>
          <w:numId w:val="1010"/>
        </w:numPr>
        <w:pStyle w:val="Compact"/>
      </w:pPr>
      <w:r>
        <w:t xml:space="preserve">Confirm your access to class materials on SciServer</w:t>
      </w:r>
    </w:p>
    <w:p>
      <w:pPr>
        <w:pStyle w:val="FirstParagraph"/>
      </w:pPr>
      <w:r>
        <w:t xml:space="preserve">This video (</w:t>
      </w:r>
      <w:hyperlink r:id="rId66">
        <w:r>
          <w:rPr>
            <w:rStyle w:val="Hyperlink"/>
          </w:rPr>
          <w:t xml:space="preserve">video</w:t>
        </w:r>
      </w:hyperlink>
      <w:r>
        <w:t xml:space="preserve">)(</w:t>
      </w:r>
      <w:hyperlink r:id="rId67">
        <w:r>
          <w:rPr>
            <w:rStyle w:val="Hyperlink"/>
          </w:rPr>
          <w:t xml:space="preserve">slides</w:t>
        </w:r>
      </w:hyperlink>
      <w:r>
        <w:t xml:space="preserve">) shows you how to create a SciServer account. You can follow along with the video, or follow the steps below.</w:t>
      </w:r>
    </w:p>
    <w:bookmarkEnd w:id="68"/>
    <w:bookmarkStart w:id="72" w:name="introduction-1"/>
    <w:p>
      <w:pPr>
        <w:pStyle w:val="Heading4"/>
      </w:pPr>
      <w:r>
        <w:rPr>
          <w:rStyle w:val="SectionNumber"/>
        </w:rPr>
        <w:t xml:space="preserve">1.3.1.3</w:t>
      </w:r>
      <w:r>
        <w:tab/>
      </w:r>
      <w:r>
        <w:t xml:space="preserve">Introduction</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0" name="Picture"/>
            <a:graphic>
              <a:graphicData uri="http://schemas.openxmlformats.org/drawingml/2006/picture">
                <pic:pic>
                  <pic:nvPicPr>
                    <pic:cNvPr descr="introduction_files/figure-docx//1Q_U1qCEqpwknpOUG4gcuN_-w7ytPCtyfwCF5CGe5bAM_g344f6de1efa_0_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bookmarkEnd w:id="72"/>
    <w:bookmarkStart w:id="73" w:name="part-1-create-an-account-on-sciserver"/>
    <w:p>
      <w:pPr>
        <w:pStyle w:val="Heading4"/>
      </w:pPr>
      <w:r>
        <w:rPr>
          <w:rStyle w:val="SectionNumber"/>
        </w:rPr>
        <w:t xml:space="preserve">1.3.1.4</w:t>
      </w:r>
      <w:r>
        <w:tab/>
      </w:r>
      <w:r>
        <w:t xml:space="preserve">Part 1 – Create an account on SciServer</w:t>
      </w:r>
    </w:p>
    <w:p>
      <w:pPr>
        <w:numPr>
          <w:ilvl w:val="0"/>
          <w:numId w:val="1011"/>
        </w:numPr>
        <w:pStyle w:val="Compact"/>
      </w:pPr>
      <w:r>
        <w:t xml:space="preserve">Open</w:t>
      </w:r>
      <w:r>
        <w:t xml:space="preserve"> </w:t>
      </w:r>
      <w:hyperlink r:id="rId34">
        <w:r>
          <w:rPr>
            <w:rStyle w:val="Hyperlink"/>
          </w:rPr>
          <w:t xml:space="preserve">sciserver.org</w:t>
        </w:r>
      </w:hyperlink>
      <w:r>
        <w:t xml:space="preserve"> </w:t>
      </w:r>
      <w:r>
        <w:t xml:space="preserve">in a web browser</w:t>
      </w:r>
    </w:p>
    <w:p>
      <w:pPr>
        <w:numPr>
          <w:ilvl w:val="1"/>
          <w:numId w:val="1012"/>
        </w:numPr>
        <w:pStyle w:val="Compact"/>
      </w:pPr>
      <w:r>
        <w:t xml:space="preserve">It is a good idea to bookmark this page so that you can easily access it throughout the course.</w:t>
      </w:r>
    </w:p>
    <w:p>
      <w:pPr>
        <w:numPr>
          <w:ilvl w:val="0"/>
          <w:numId w:val="1011"/>
        </w:numPr>
        <w:pStyle w:val="Compact"/>
      </w:pPr>
      <w:r>
        <w:t xml:space="preserve">Click</w:t>
      </w:r>
      <w:r>
        <w:t xml:space="preserve"> </w:t>
      </w:r>
      <w:r>
        <w:t xml:space="preserve">“</w:t>
      </w:r>
      <w:r>
        <w:t xml:space="preserve">Login to SciServer</w:t>
      </w:r>
      <w:r>
        <w:t xml:space="preserve">”</w:t>
      </w:r>
    </w:p>
    <w:p>
      <w:pPr>
        <w:numPr>
          <w:ilvl w:val="0"/>
          <w:numId w:val="1011"/>
        </w:numPr>
        <w:pStyle w:val="Compact"/>
      </w:pPr>
      <w:r>
        <w:t xml:space="preserve">Click</w:t>
      </w:r>
      <w:r>
        <w:t xml:space="preserve"> </w:t>
      </w:r>
      <w:r>
        <w:t xml:space="preserve">“</w:t>
      </w:r>
      <w:r>
        <w:t xml:space="preserve">Create a new account</w:t>
      </w:r>
      <w:r>
        <w:t xml:space="preserve">”</w:t>
      </w:r>
    </w:p>
    <w:p>
      <w:pPr>
        <w:numPr>
          <w:ilvl w:val="0"/>
          <w:numId w:val="1011"/>
        </w:numPr>
        <w:pStyle w:val="Compact"/>
      </w:pPr>
      <w:r>
        <w:t xml:space="preserve">Enter a User name, Email, etc. and click</w:t>
      </w:r>
      <w:r>
        <w:t xml:space="preserve"> </w:t>
      </w:r>
      <w:r>
        <w:t xml:space="preserve">“</w:t>
      </w:r>
      <w:r>
        <w:t xml:space="preserve">Create account</w:t>
      </w:r>
      <w:r>
        <w:t xml:space="preserve">”</w:t>
      </w:r>
    </w:p>
    <w:p>
      <w:pPr>
        <w:numPr>
          <w:ilvl w:val="1"/>
          <w:numId w:val="1013"/>
        </w:numPr>
        <w:pStyle w:val="Compact"/>
      </w:pPr>
      <w:r>
        <w:t xml:space="preserve">Note that you cannot change your username once you have made your account</w:t>
      </w:r>
    </w:p>
    <w:bookmarkEnd w:id="73"/>
    <w:bookmarkStart w:id="74" w:name="part-2-confirm-your-email-address"/>
    <w:p>
      <w:pPr>
        <w:pStyle w:val="Heading4"/>
      </w:pPr>
      <w:r>
        <w:rPr>
          <w:rStyle w:val="SectionNumber"/>
        </w:rPr>
        <w:t xml:space="preserve">1.3.1.5</w:t>
      </w:r>
      <w:r>
        <w:tab/>
      </w:r>
      <w:r>
        <w:t xml:space="preserve">Part 2 – Confirm your email address</w:t>
      </w:r>
    </w:p>
    <w:p>
      <w:pPr>
        <w:numPr>
          <w:ilvl w:val="0"/>
          <w:numId w:val="1014"/>
        </w:numPr>
        <w:pStyle w:val="Compact"/>
      </w:pPr>
      <w:r>
        <w:rPr>
          <w:bCs/>
          <w:b/>
        </w:rPr>
        <w:t xml:space="preserve">Important!</w:t>
      </w:r>
      <w:r>
        <w:t xml:space="preserve">: Click the verification link in your email inbox.</w:t>
      </w:r>
    </w:p>
    <w:p>
      <w:pPr>
        <w:numPr>
          <w:ilvl w:val="1"/>
          <w:numId w:val="1015"/>
        </w:numPr>
        <w:pStyle w:val="Compact"/>
      </w:pPr>
      <w:r>
        <w:t xml:space="preserve">If you do not verify your account you will get locked out and will need to contact your instructor to unlock your account.</w:t>
      </w:r>
    </w:p>
    <w:p>
      <w:pPr>
        <w:numPr>
          <w:ilvl w:val="1"/>
          <w:numId w:val="1015"/>
        </w:numPr>
        <w:pStyle w:val="Compact"/>
      </w:pPr>
      <w:r>
        <w:t xml:space="preserve">If you do not see an email, try checking your spam folder.</w:t>
      </w:r>
    </w:p>
    <w:p>
      <w:pPr>
        <w:numPr>
          <w:ilvl w:val="0"/>
          <w:numId w:val="1014"/>
        </w:numPr>
        <w:pStyle w:val="Compact"/>
      </w:pPr>
      <w:r>
        <w:t xml:space="preserve">After clicking the verification link, confirm that your username appears in the upper right hand corner.</w:t>
      </w:r>
    </w:p>
    <w:bookmarkEnd w:id="74"/>
    <w:bookmarkStart w:id="75" w:name="X82523b5844014ad1632b826f46c76ed45d12fd3"/>
    <w:p>
      <w:pPr>
        <w:pStyle w:val="Heading4"/>
      </w:pPr>
      <w:r>
        <w:rPr>
          <w:rStyle w:val="SectionNumber"/>
        </w:rPr>
        <w:t xml:space="preserve">1.3.1.6</w:t>
      </w:r>
      <w:r>
        <w:tab/>
      </w:r>
      <w:r>
        <w:t xml:space="preserve">Part 3 – 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16"/>
        </w:numPr>
        <w:pStyle w:val="Compact"/>
      </w:pPr>
      <w:r>
        <w:t xml:space="preserve">Share your username with you instructor and await invitation to the SciServer group</w:t>
      </w:r>
    </w:p>
    <w:bookmarkEnd w:id="75"/>
    <w:bookmarkStart w:id="78" w:name="X7c6ee95bc1a39054b9caf62ecd5f695dabe5e87"/>
    <w:p>
      <w:pPr>
        <w:pStyle w:val="Heading4"/>
      </w:pPr>
      <w:r>
        <w:rPr>
          <w:rStyle w:val="SectionNumber"/>
        </w:rPr>
        <w:t xml:space="preserve">1.3.1.7</w:t>
      </w:r>
      <w:r>
        <w:tab/>
      </w:r>
      <w:r>
        <w:t xml:space="preserve">Part 4 – Accept the invitation to join a SciServer group</w:t>
      </w:r>
    </w:p>
    <w:p>
      <w:pPr>
        <w:pStyle w:val="FirstParagraph"/>
      </w:pPr>
      <w:r>
        <w:t xml:space="preserve">This video (</w:t>
      </w:r>
      <w:hyperlink r:id="rId76">
        <w:r>
          <w:rPr>
            <w:rStyle w:val="Hyperlink"/>
          </w:rPr>
          <w:t xml:space="preserve">video</w:t>
        </w:r>
      </w:hyperlink>
      <w:r>
        <w:t xml:space="preserve">)(</w:t>
      </w:r>
      <w:hyperlink r:id="rId77">
        <w:r>
          <w:rPr>
            <w:rStyle w:val="Hyperlink"/>
          </w:rPr>
          <w:t xml:space="preserve">slides</w:t>
        </w:r>
      </w:hyperlink>
      <w:r>
        <w:t xml:space="preserve">) shows you how to join a SciServer group. You can follow along with the video, or follow the steps below.</w:t>
      </w:r>
    </w:p>
    <w:p>
      <w:pPr>
        <w:numPr>
          <w:ilvl w:val="0"/>
          <w:numId w:val="1017"/>
        </w:numPr>
        <w:pStyle w:val="Compact"/>
      </w:pPr>
      <w:r>
        <w:t xml:space="preserve">Open</w:t>
      </w:r>
      <w:r>
        <w:t xml:space="preserve"> </w:t>
      </w:r>
      <w:hyperlink r:id="rId34">
        <w:r>
          <w:rPr>
            <w:rStyle w:val="Hyperlink"/>
          </w:rPr>
          <w:t xml:space="preserve">sciserver.org</w:t>
        </w:r>
      </w:hyperlink>
      <w:r>
        <w:t xml:space="preserve"> </w:t>
      </w:r>
      <w:r>
        <w:t xml:space="preserve">in a web browser and log in to your account.</w:t>
      </w:r>
    </w:p>
    <w:p>
      <w:pPr>
        <w:numPr>
          <w:ilvl w:val="0"/>
          <w:numId w:val="1017"/>
        </w:numPr>
        <w:pStyle w:val="Compact"/>
      </w:pPr>
      <w:r>
        <w:t xml:space="preserve">Click</w:t>
      </w:r>
      <w:r>
        <w:t xml:space="preserve"> </w:t>
      </w:r>
      <w:r>
        <w:t xml:space="preserve">“</w:t>
      </w:r>
      <w:r>
        <w:t xml:space="preserve">Groups</w:t>
      </w:r>
      <w:r>
        <w:t xml:space="preserve">”</w:t>
      </w:r>
    </w:p>
    <w:p>
      <w:pPr>
        <w:numPr>
          <w:ilvl w:val="0"/>
          <w:numId w:val="1017"/>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18"/>
        </w:numPr>
        <w:pStyle w:val="Compact"/>
      </w:pPr>
      <w:r>
        <w:t xml:space="preserve">Your instructor must have your username to invite you to the group. If you do not see an invitation, contact your instructor with your SciServer username.</w:t>
      </w:r>
    </w:p>
    <w:p>
      <w:pPr>
        <w:numPr>
          <w:ilvl w:val="0"/>
          <w:numId w:val="1017"/>
        </w:numPr>
        <w:pStyle w:val="Compact"/>
      </w:pPr>
      <w:r>
        <w:t xml:space="preserve">Confirm that you can access course data</w:t>
      </w:r>
    </w:p>
    <w:p>
      <w:pPr>
        <w:numPr>
          <w:ilvl w:val="1"/>
          <w:numId w:val="1019"/>
        </w:numPr>
        <w:pStyle w:val="Compact"/>
      </w:pPr>
      <w:r>
        <w:t xml:space="preserve">On the top menu bar, click</w:t>
      </w:r>
      <w:r>
        <w:t xml:space="preserve"> </w:t>
      </w:r>
      <w:r>
        <w:t xml:space="preserve">“</w:t>
      </w:r>
      <w:r>
        <w:t xml:space="preserve">Files</w:t>
      </w:r>
      <w:r>
        <w:t xml:space="preserve">”</w:t>
      </w:r>
    </w:p>
    <w:p>
      <w:pPr>
        <w:numPr>
          <w:ilvl w:val="1"/>
          <w:numId w:val="1019"/>
        </w:numPr>
        <w:pStyle w:val="Compact"/>
      </w:pPr>
      <w:r>
        <w:t xml:space="preserve">On the left-hand menu, click</w:t>
      </w:r>
      <w:r>
        <w:t xml:space="preserve"> </w:t>
      </w:r>
      <w:r>
        <w:t xml:space="preserve">“</w:t>
      </w:r>
      <w:r>
        <w:t xml:space="preserve">Data Volumes</w:t>
      </w:r>
      <w:r>
        <w:t xml:space="preserve">”</w:t>
      </w:r>
    </w:p>
    <w:p>
      <w:pPr>
        <w:numPr>
          <w:ilvl w:val="1"/>
          <w:numId w:val="1019"/>
        </w:numPr>
        <w:pStyle w:val="Compact"/>
      </w:pPr>
      <w:r>
        <w:t xml:space="preserve">Confirm that you see</w:t>
      </w:r>
      <w:r>
        <w:t xml:space="preserve"> </w:t>
      </w:r>
      <w:r>
        <w:t xml:space="preserve">“</w:t>
      </w:r>
      <w:r>
        <w:t xml:space="preserve">C-MOOR-Data</w:t>
      </w:r>
      <w:r>
        <w:t xml:space="preserve">”</w:t>
      </w:r>
    </w:p>
    <w:p>
      <w:pPr>
        <w:numPr>
          <w:ilvl w:val="0"/>
          <w:numId w:val="1017"/>
        </w:numPr>
        <w:pStyle w:val="Compact"/>
      </w:pPr>
      <w:r>
        <w:t xml:space="preserve">Confirm that you can access course computing resources</w:t>
      </w:r>
    </w:p>
    <w:p>
      <w:pPr>
        <w:numPr>
          <w:ilvl w:val="1"/>
          <w:numId w:val="1020"/>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0"/>
        </w:numPr>
        <w:pStyle w:val="Compact"/>
      </w:pPr>
      <w:r>
        <w:t xml:space="preserve">Scroll down to the second set of boxes and click</w:t>
      </w:r>
      <w:r>
        <w:t xml:space="preserve"> </w:t>
      </w:r>
      <w:r>
        <w:t xml:space="preserve">“</w:t>
      </w:r>
      <w:r>
        <w:t xml:space="preserve">Compute</w:t>
      </w:r>
      <w:r>
        <w:t xml:space="preserve">”</w:t>
      </w:r>
    </w:p>
    <w:p>
      <w:pPr>
        <w:numPr>
          <w:ilvl w:val="1"/>
          <w:numId w:val="1020"/>
        </w:numPr>
        <w:pStyle w:val="Compact"/>
      </w:pPr>
      <w:r>
        <w:t xml:space="preserve">Click</w:t>
      </w:r>
      <w:r>
        <w:t xml:space="preserve"> </w:t>
      </w:r>
      <w:r>
        <w:t xml:space="preserve">“</w:t>
      </w:r>
      <w:r>
        <w:t xml:space="preserve">Create container</w:t>
      </w:r>
      <w:r>
        <w:t xml:space="preserve">”</w:t>
      </w:r>
    </w:p>
    <w:p>
      <w:pPr>
        <w:numPr>
          <w:ilvl w:val="1"/>
          <w:numId w:val="1020"/>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0"/>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0"/>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End w:id="78"/>
    <w:bookmarkStart w:id="79" w:name="troubleshooting"/>
    <w:p>
      <w:pPr>
        <w:pStyle w:val="Heading4"/>
      </w:pPr>
      <w:r>
        <w:rPr>
          <w:rStyle w:val="SectionNumber"/>
        </w:rPr>
        <w:t xml:space="preserve">1.3.1.8</w:t>
      </w:r>
      <w:r>
        <w:tab/>
      </w:r>
      <w:r>
        <w:t xml:space="preserve">Troubleshooting</w:t>
      </w:r>
    </w:p>
    <w:p>
      <w:pPr>
        <w:numPr>
          <w:ilvl w:val="0"/>
          <w:numId w:val="1021"/>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79"/>
    <w:bookmarkStart w:id="81" w:name="footnotes"/>
    <w:p>
      <w:pPr>
        <w:pStyle w:val="Heading4"/>
      </w:pPr>
      <w:r>
        <w:rPr>
          <w:rStyle w:val="SectionNumber"/>
        </w:rPr>
        <w:t xml:space="preserve">1.3.1.9</w:t>
      </w:r>
      <w:r>
        <w:tab/>
      </w:r>
      <w:r>
        <w:t xml:space="preserve">Footnotes</w:t>
      </w:r>
    </w:p>
    <w:bookmarkStart w:id="80" w:name="contributions-and-affiliations"/>
    <w:p>
      <w:pPr>
        <w:pStyle w:val="Heading5"/>
      </w:pPr>
      <w:r>
        <w:rPr>
          <w:rStyle w:val="SectionNumber"/>
        </w:rPr>
        <w:t xml:space="preserve">1.3.1.9.1</w:t>
      </w:r>
      <w:r>
        <w:tab/>
      </w:r>
      <w:r>
        <w:t xml:space="preserve">Contributions and Affiliations</w:t>
      </w:r>
    </w:p>
    <w:p>
      <w:pPr>
        <w:numPr>
          <w:ilvl w:val="0"/>
          <w:numId w:val="1022"/>
        </w:numPr>
        <w:pStyle w:val="Compact"/>
      </w:pPr>
      <w:r>
        <w:t xml:space="preserve">Katherine Cox, Johns Hopkins University</w:t>
      </w:r>
    </w:p>
    <w:p>
      <w:pPr>
        <w:numPr>
          <w:ilvl w:val="0"/>
          <w:numId w:val="1022"/>
        </w:numPr>
        <w:pStyle w:val="Compact"/>
      </w:pPr>
      <w:r>
        <w:t xml:space="preserve">Frederick Tan, Carnegie Institution</w:t>
      </w:r>
    </w:p>
    <w:p>
      <w:pPr>
        <w:numPr>
          <w:ilvl w:val="0"/>
          <w:numId w:val="1022"/>
        </w:numPr>
        <w:pStyle w:val="Compact"/>
      </w:pPr>
      <w:r>
        <w:t xml:space="preserve">Sayumi York, Notre Dame of Maryland University</w:t>
      </w:r>
    </w:p>
    <w:p>
      <w:pPr>
        <w:pStyle w:val="FirstParagraph"/>
      </w:pPr>
      <w:r>
        <w:t xml:space="preserve">Last Revised: June 5, 2026</w:t>
      </w:r>
    </w:p>
    <w:bookmarkEnd w:id="80"/>
    <w:bookmarkEnd w:id="81"/>
    <w:bookmarkEnd w:id="82"/>
    <w:bookmarkStart w:id="106" w:name="running-modules-on-sciserver"/>
    <w:p>
      <w:pPr>
        <w:pStyle w:val="Heading3"/>
      </w:pPr>
      <w:r>
        <w:rPr>
          <w:rStyle w:val="SectionNumber"/>
        </w:rPr>
        <w:t xml:space="preserve">1.3.2</w:t>
      </w:r>
      <w:r>
        <w:tab/>
      </w:r>
      <w:r>
        <w:t xml:space="preserve">Running modules on SciServer</w:t>
      </w:r>
    </w:p>
    <w:bookmarkStart w:id="83" w:name="purpose-1"/>
    <w:p>
      <w:pPr>
        <w:pStyle w:val="Heading4"/>
      </w:pPr>
      <w:r>
        <w:rPr>
          <w:rStyle w:val="SectionNumber"/>
        </w:rPr>
        <w:t xml:space="preserve">1.3.2.1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83"/>
    <w:bookmarkStart w:id="84" w:name="learning-objectives-1"/>
    <w:p>
      <w:pPr>
        <w:pStyle w:val="Heading4"/>
      </w:pPr>
      <w:r>
        <w:rPr>
          <w:rStyle w:val="SectionNumber"/>
        </w:rPr>
        <w:t xml:space="preserve">1.3.2.2</w:t>
      </w:r>
      <w:r>
        <w:tab/>
      </w:r>
      <w:r>
        <w:t xml:space="preserve">Learning Objectives</w:t>
      </w:r>
    </w:p>
    <w:p>
      <w:pPr>
        <w:numPr>
          <w:ilvl w:val="0"/>
          <w:numId w:val="1023"/>
        </w:numPr>
        <w:pStyle w:val="Compact"/>
      </w:pPr>
      <w:r>
        <w:t xml:space="preserve">Start up a C-MOOR LearnR compute container</w:t>
      </w:r>
    </w:p>
    <w:p>
      <w:pPr>
        <w:numPr>
          <w:ilvl w:val="0"/>
          <w:numId w:val="1023"/>
        </w:numPr>
        <w:pStyle w:val="Compact"/>
      </w:pPr>
      <w:r>
        <w:t xml:space="preserve">Access a C-MOOR module</w:t>
      </w:r>
    </w:p>
    <w:p>
      <w:pPr>
        <w:numPr>
          <w:ilvl w:val="0"/>
          <w:numId w:val="1023"/>
        </w:numPr>
        <w:pStyle w:val="Compact"/>
      </w:pPr>
      <w:r>
        <w:t xml:space="preserve">Delete your C-MOOR LearnR compute container when finished</w:t>
      </w:r>
    </w:p>
    <w:bookmarkEnd w:id="84"/>
    <w:bookmarkStart w:id="85" w:name="introduction-2"/>
    <w:p>
      <w:pPr>
        <w:pStyle w:val="Heading4"/>
      </w:pPr>
      <w:r>
        <w:rPr>
          <w:rStyle w:val="SectionNumber"/>
        </w:rPr>
        <w:t xml:space="preserve">1.3.2.3</w:t>
      </w:r>
      <w:r>
        <w:tab/>
      </w:r>
      <w:r>
        <w:t xml:space="preserve">Introduction</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85"/>
    <w:bookmarkStart w:id="96" w:name="X73108a710564994b4207391838868f09d4b406a"/>
    <w:p>
      <w:pPr>
        <w:pStyle w:val="Heading4"/>
      </w:pPr>
      <w:r>
        <w:rPr>
          <w:rStyle w:val="SectionNumber"/>
        </w:rPr>
        <w:t xml:space="preserve">1.3.2.4</w:t>
      </w:r>
      <w:r>
        <w:tab/>
      </w:r>
      <w:r>
        <w:t xml:space="preserve">Part 1 – 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4"/>
        </w:numPr>
        <w:pStyle w:val="Compact"/>
      </w:pPr>
      <w:r>
        <w:t xml:space="preserve">Open</w:t>
      </w:r>
      <w:r>
        <w:t xml:space="preserve"> </w:t>
      </w:r>
      <w:hyperlink r:id="rId34">
        <w:r>
          <w:rPr>
            <w:rStyle w:val="Hyperlink"/>
          </w:rPr>
          <w:t xml:space="preserve">sciserver.org</w:t>
        </w:r>
      </w:hyperlink>
      <w:r>
        <w:t xml:space="preserve"> </w:t>
      </w:r>
      <w:r>
        <w:t xml:space="preserve">in a web browser and log in to your account.</w:t>
      </w:r>
    </w:p>
    <w:p>
      <w:pPr>
        <w:numPr>
          <w:ilvl w:val="1"/>
          <w:numId w:val="1025"/>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4"/>
        </w:numPr>
        <w:pStyle w:val="Compact"/>
      </w:pPr>
      <w:r>
        <w:t xml:space="preserve">Scroll down to the second set of boxes and click</w:t>
      </w:r>
      <w:r>
        <w:t xml:space="preserve"> </w:t>
      </w:r>
      <w:r>
        <w:t xml:space="preserve">“</w:t>
      </w:r>
      <w:r>
        <w:t xml:space="preserve">Compute</w:t>
      </w:r>
      <w:r>
        <w:t xml:space="preserve">”</w:t>
      </w:r>
    </w:p>
    <w:p>
      <w:pPr>
        <w:numPr>
          <w:ilvl w:val="0"/>
          <w:numId w:val="1024"/>
        </w:numPr>
        <w:pStyle w:val="Compact"/>
      </w:pPr>
      <w:r>
        <w:t xml:space="preserve">Click</w:t>
      </w:r>
      <w:r>
        <w:t xml:space="preserve"> </w:t>
      </w:r>
      <w:r>
        <w:t xml:space="preserve">“</w:t>
      </w:r>
      <w:r>
        <w:t xml:space="preserve">Create container</w:t>
      </w:r>
      <w:r>
        <w:t xml:space="preserve">”</w:t>
      </w:r>
    </w:p>
    <w:p>
      <w:pPr>
        <w:numPr>
          <w:ilvl w:val="1"/>
          <w:numId w:val="1026"/>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26"/>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26"/>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26"/>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4"/>
        </w:numPr>
        <w:pStyle w:val="Compact"/>
      </w:pPr>
      <w:r>
        <w:t xml:space="preserve">You should now see a new entry in your list of containers</w:t>
      </w:r>
    </w:p>
    <w:p>
      <w:pPr>
        <w:numPr>
          <w:ilvl w:val="1"/>
          <w:numId w:val="1027"/>
        </w:numPr>
        <w:pStyle w:val="Compact"/>
      </w:pPr>
      <w:r>
        <w:t xml:space="preserve">“</w:t>
      </w:r>
      <w:r>
        <w:t xml:space="preserve">Created At</w:t>
      </w:r>
      <w:r>
        <w:t xml:space="preserve">”</w:t>
      </w:r>
      <w:r>
        <w:t xml:space="preserve"> </w:t>
      </w:r>
      <w:r>
        <w:t xml:space="preserve">should be a few moments ago.</w:t>
      </w:r>
    </w:p>
    <w:p>
      <w:pPr>
        <w:numPr>
          <w:ilvl w:val="1"/>
          <w:numId w:val="1027"/>
        </w:numPr>
        <w:pStyle w:val="Compact"/>
      </w:pPr>
      <w:r>
        <w:t xml:space="preserve">“</w:t>
      </w:r>
      <w:r>
        <w:t xml:space="preserve">Name</w:t>
      </w:r>
      <w:r>
        <w:t xml:space="preserve">”</w:t>
      </w:r>
      <w:r>
        <w:t xml:space="preserve"> </w:t>
      </w:r>
      <w:r>
        <w:t xml:space="preserve">should be the name you chose</w:t>
      </w:r>
    </w:p>
    <w:p>
      <w:pPr>
        <w:numPr>
          <w:ilvl w:val="1"/>
          <w:numId w:val="1027"/>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4"/>
        </w:numPr>
        <w:pStyle w:val="Compact"/>
      </w:pPr>
      <w:r>
        <w:t xml:space="preserve">Start your C-MOOR LearnR container by clicking on its name (whatever name you chose when you created it). This will open in a new tab.</w:t>
      </w:r>
    </w:p>
    <w:p>
      <w:pPr>
        <w:numPr>
          <w:ilvl w:val="1"/>
          <w:numId w:val="1028"/>
        </w:numPr>
        <w:pStyle w:val="Compact"/>
      </w:pPr>
      <w:r>
        <w:t xml:space="preserve">You should see a list of tutorials, organized by topic.</w:t>
      </w:r>
    </w:p>
    <w:p>
      <w:pPr>
        <w:pStyle w:val="FirstParagraph"/>
      </w:pPr>
      <w:r>
        <w:drawing>
          <wp:inline>
            <wp:extent cx="5334000" cy="3000375"/>
            <wp:effectExtent b="0" l="0" r="0" t="0"/>
            <wp:docPr descr="" title="" id="89" name="Picture"/>
            <a:graphic>
              <a:graphicData uri="http://schemas.openxmlformats.org/drawingml/2006/picture">
                <pic:pic>
                  <pic:nvPicPr>
                    <pic:cNvPr descr="introduction_files/figure-docx//1JxgfeibZU1HssPKzz_kItZImDA23ZNq1m2zpQDCx3Q4_g344f6de1efa_0_40.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29"/>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2" name="Picture"/>
            <a:graphic>
              <a:graphicData uri="http://schemas.openxmlformats.org/drawingml/2006/picture">
                <pic:pic>
                  <pic:nvPicPr>
                    <pic:cNvPr descr="introduction_files/figure-docx//1JxgfeibZU1HssPKzz_kItZImDA23ZNq1m2zpQDCx3Q4_g344f6de1efa_0_5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0"/>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Start w:id="95" w:name="resources"/>
    <w:p>
      <w:pPr>
        <w:pStyle w:val="Heading5"/>
      </w:pPr>
      <w:r>
        <w:rPr>
          <w:rStyle w:val="SectionNumber"/>
        </w:rPr>
        <w:t xml:space="preserve">1.3.2.4.1</w:t>
      </w:r>
      <w:r>
        <w:tab/>
      </w:r>
      <w:r>
        <w:t xml:space="preserve">Resources</w:t>
      </w:r>
    </w:p>
    <w:p>
      <w:pPr>
        <w:numPr>
          <w:ilvl w:val="0"/>
          <w:numId w:val="1031"/>
        </w:numPr>
        <w:pStyle w:val="Compact"/>
      </w:pPr>
      <w:hyperlink r:id="rId34">
        <w:r>
          <w:rPr>
            <w:rStyle w:val="Hyperlink"/>
          </w:rPr>
          <w:t xml:space="preserve">sciserver.org</w:t>
        </w:r>
      </w:hyperlink>
    </w:p>
    <w:p>
      <w:pPr>
        <w:numPr>
          <w:ilvl w:val="0"/>
          <w:numId w:val="1031"/>
        </w:numPr>
        <w:pStyle w:val="Compact"/>
      </w:pPr>
      <w:hyperlink r:id="rId94">
        <w:r>
          <w:rPr>
            <w:rStyle w:val="Hyperlink"/>
          </w:rPr>
          <w:t xml:space="preserve">Get help with SciServer on the C-MOOR Discourse</w:t>
        </w:r>
      </w:hyperlink>
    </w:p>
    <w:bookmarkEnd w:id="95"/>
    <w:bookmarkEnd w:id="96"/>
    <w:bookmarkStart w:id="98" w:name="part-2-opening-c-moor-modules"/>
    <w:p>
      <w:pPr>
        <w:pStyle w:val="Heading4"/>
      </w:pPr>
      <w:r>
        <w:rPr>
          <w:rStyle w:val="SectionNumber"/>
        </w:rPr>
        <w:t xml:space="preserve">1.3.2.5</w:t>
      </w:r>
      <w:r>
        <w:tab/>
      </w:r>
      <w:r>
        <w:t xml:space="preserve">Part 2 – Opening C-MOOR modules</w:t>
      </w:r>
    </w:p>
    <w:p>
      <w:pPr>
        <w:numPr>
          <w:ilvl w:val="0"/>
          <w:numId w:val="1032"/>
        </w:numPr>
        <w:pStyle w:val="Compact"/>
      </w:pPr>
      <w:r>
        <w:t xml:space="preserve">If you’re not there already, go to the SciServer compute page and start up the C-MOOR LearnR container.</w:t>
      </w:r>
    </w:p>
    <w:p>
      <w:pPr>
        <w:numPr>
          <w:ilvl w:val="1"/>
          <w:numId w:val="1033"/>
        </w:numPr>
        <w:pStyle w:val="Compact"/>
      </w:pPr>
      <w:r>
        <w:t xml:space="preserve">Open</w:t>
      </w:r>
      <w:r>
        <w:t xml:space="preserve"> </w:t>
      </w:r>
      <w:hyperlink r:id="rId34">
        <w:r>
          <w:rPr>
            <w:rStyle w:val="Hyperlink"/>
          </w:rPr>
          <w:t xml:space="preserve">sciserver.org</w:t>
        </w:r>
      </w:hyperlink>
      <w:r>
        <w:t xml:space="preserve"> </w:t>
      </w:r>
      <w:r>
        <w:t xml:space="preserve">in a web browser and log in to your account.</w:t>
      </w:r>
    </w:p>
    <w:p>
      <w:pPr>
        <w:numPr>
          <w:ilvl w:val="1"/>
          <w:numId w:val="1033"/>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3"/>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3"/>
        </w:numPr>
        <w:pStyle w:val="Compact"/>
      </w:pPr>
      <w:r>
        <w:t xml:space="preserve">Start your C-MOOR LearnR container by clicking on its name.</w:t>
      </w:r>
    </w:p>
    <w:p>
      <w:pPr>
        <w:numPr>
          <w:ilvl w:val="0"/>
          <w:numId w:val="1032"/>
        </w:numPr>
        <w:pStyle w:val="Compact"/>
      </w:pPr>
      <w:r>
        <w:t xml:space="preserve">Click on the module chosen by your instructor. The tutorial will open in a new tab.</w:t>
      </w:r>
    </w:p>
    <w:p>
      <w:pPr>
        <w:numPr>
          <w:ilvl w:val="0"/>
          <w:numId w:val="1032"/>
        </w:numPr>
        <w:pStyle w:val="Compact"/>
      </w:pPr>
      <w:r>
        <w:t xml:space="preserve">Complete the tutorial.</w:t>
      </w:r>
    </w:p>
    <w:bookmarkStart w:id="97" w:name="resources-1"/>
    <w:p>
      <w:pPr>
        <w:pStyle w:val="Heading5"/>
      </w:pPr>
      <w:r>
        <w:rPr>
          <w:rStyle w:val="SectionNumber"/>
        </w:rPr>
        <w:t xml:space="preserve">1.3.2.5.1</w:t>
      </w:r>
      <w:r>
        <w:tab/>
      </w:r>
      <w:r>
        <w:t xml:space="preserve">Resources</w:t>
      </w:r>
    </w:p>
    <w:p>
      <w:pPr>
        <w:numPr>
          <w:ilvl w:val="0"/>
          <w:numId w:val="1034"/>
        </w:numPr>
        <w:pStyle w:val="Compact"/>
      </w:pPr>
      <w:hyperlink r:id="rId34">
        <w:r>
          <w:rPr>
            <w:rStyle w:val="Hyperlink"/>
          </w:rPr>
          <w:t xml:space="preserve">sciserver.org</w:t>
        </w:r>
      </w:hyperlink>
    </w:p>
    <w:p>
      <w:pPr>
        <w:numPr>
          <w:ilvl w:val="0"/>
          <w:numId w:val="1034"/>
        </w:numPr>
        <w:pStyle w:val="Compact"/>
      </w:pPr>
      <w:hyperlink r:id="rId94">
        <w:r>
          <w:rPr>
            <w:rStyle w:val="Hyperlink"/>
          </w:rPr>
          <w:t xml:space="preserve">Get help with SciServer on the C-MOOR Discourse</w:t>
        </w:r>
      </w:hyperlink>
    </w:p>
    <w:bookmarkEnd w:id="97"/>
    <w:bookmarkEnd w:id="98"/>
    <w:bookmarkStart w:id="103" w:name="X20e76d3e2b8661b8d39170c94a9d157f9325836"/>
    <w:p>
      <w:pPr>
        <w:pStyle w:val="Heading4"/>
      </w:pPr>
      <w:r>
        <w:rPr>
          <w:rStyle w:val="SectionNumber"/>
        </w:rPr>
        <w:t xml:space="preserve">1.3.2.6</w:t>
      </w:r>
      <w:r>
        <w:tab/>
      </w:r>
      <w:r>
        <w:t xml:space="preserve">Part 3 – 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5"/>
        </w:numPr>
        <w:pStyle w:val="Compact"/>
      </w:pPr>
      <w:r>
        <w:t xml:space="preserve">If you’re not there already, go to the SciServer compute page.</w:t>
      </w:r>
    </w:p>
    <w:p>
      <w:pPr>
        <w:numPr>
          <w:ilvl w:val="1"/>
          <w:numId w:val="1036"/>
        </w:numPr>
        <w:pStyle w:val="Compact"/>
      </w:pPr>
      <w:r>
        <w:t xml:space="preserve">Open</w:t>
      </w:r>
      <w:r>
        <w:t xml:space="preserve"> </w:t>
      </w:r>
      <w:hyperlink r:id="rId34">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5"/>
        </w:numPr>
        <w:pStyle w:val="Compact"/>
      </w:pPr>
      <w:r>
        <w:t xml:space="preserve">Find the container you want to delete.</w:t>
      </w:r>
    </w:p>
    <w:p>
      <w:pPr>
        <w:numPr>
          <w:ilvl w:val="0"/>
          <w:numId w:val="1035"/>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0" name="Picture"/>
            <a:graphic>
              <a:graphicData uri="http://schemas.openxmlformats.org/drawingml/2006/picture">
                <pic:pic>
                  <pic:nvPicPr>
                    <pic:cNvPr descr="introduction_files/figure-docx//1JxgfeibZU1HssPKzz_kItZImDA23ZNq1m2zpQDCx3Q4_g344f6de1efa_0_45.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bookmarkStart w:id="102" w:name="resources-2"/>
    <w:p>
      <w:pPr>
        <w:pStyle w:val="Heading5"/>
      </w:pPr>
      <w:r>
        <w:rPr>
          <w:rStyle w:val="SectionNumber"/>
        </w:rPr>
        <w:t xml:space="preserve">1.3.2.6.1</w:t>
      </w:r>
      <w:r>
        <w:tab/>
      </w:r>
      <w:r>
        <w:t xml:space="preserve">Resources</w:t>
      </w:r>
    </w:p>
    <w:p>
      <w:pPr>
        <w:numPr>
          <w:ilvl w:val="0"/>
          <w:numId w:val="1037"/>
        </w:numPr>
        <w:pStyle w:val="Compact"/>
      </w:pPr>
      <w:hyperlink r:id="rId34">
        <w:r>
          <w:rPr>
            <w:rStyle w:val="Hyperlink"/>
          </w:rPr>
          <w:t xml:space="preserve">sciserver.org</w:t>
        </w:r>
      </w:hyperlink>
    </w:p>
    <w:p>
      <w:pPr>
        <w:numPr>
          <w:ilvl w:val="0"/>
          <w:numId w:val="1037"/>
        </w:numPr>
        <w:pStyle w:val="Compact"/>
      </w:pPr>
      <w:hyperlink r:id="rId94">
        <w:r>
          <w:rPr>
            <w:rStyle w:val="Hyperlink"/>
          </w:rPr>
          <w:t xml:space="preserve">Get help with SciServer on the C-MOOR Discourse</w:t>
        </w:r>
      </w:hyperlink>
    </w:p>
    <w:bookmarkEnd w:id="102"/>
    <w:bookmarkEnd w:id="103"/>
    <w:bookmarkStart w:id="105" w:name="footnotes-1"/>
    <w:p>
      <w:pPr>
        <w:pStyle w:val="Heading4"/>
      </w:pPr>
      <w:r>
        <w:rPr>
          <w:rStyle w:val="SectionNumber"/>
        </w:rPr>
        <w:t xml:space="preserve">1.3.2.7</w:t>
      </w:r>
      <w:r>
        <w:tab/>
      </w:r>
      <w:r>
        <w:t xml:space="preserve">Footnotes</w:t>
      </w:r>
    </w:p>
    <w:bookmarkStart w:id="104" w:name="contributions-and-affiliations-1"/>
    <w:p>
      <w:pPr>
        <w:pStyle w:val="Heading5"/>
      </w:pPr>
      <w:r>
        <w:rPr>
          <w:rStyle w:val="SectionNumber"/>
        </w:rPr>
        <w:t xml:space="preserve">1.3.2.7.1</w:t>
      </w:r>
      <w:r>
        <w:tab/>
      </w:r>
      <w:r>
        <w:t xml:space="preserve">Contributions and Affiliations</w:t>
      </w:r>
    </w:p>
    <w:p>
      <w:pPr>
        <w:numPr>
          <w:ilvl w:val="0"/>
          <w:numId w:val="1038"/>
        </w:numPr>
        <w:pStyle w:val="Compact"/>
      </w:pPr>
      <w:r>
        <w:t xml:space="preserve">Katherine Cox, Johns Hopkins University</w:t>
      </w:r>
    </w:p>
    <w:p>
      <w:pPr>
        <w:numPr>
          <w:ilvl w:val="0"/>
          <w:numId w:val="1038"/>
        </w:numPr>
        <w:pStyle w:val="Compact"/>
      </w:pPr>
      <w:r>
        <w:t xml:space="preserve">Frederick Tan, Carnegie Institution</w:t>
      </w:r>
    </w:p>
    <w:p>
      <w:pPr>
        <w:numPr>
          <w:ilvl w:val="0"/>
          <w:numId w:val="1038"/>
        </w:numPr>
        <w:pStyle w:val="Compact"/>
      </w:pPr>
      <w:r>
        <w:t xml:space="preserve">Sayumi York, Notre Dame of Maryland University</w:t>
      </w:r>
    </w:p>
    <w:p>
      <w:pPr>
        <w:pStyle w:val="FirstParagraph"/>
      </w:pPr>
      <w:r>
        <w:t xml:space="preserve">Last Revised: June 5, 2026</w:t>
      </w:r>
      <w:r>
        <w:t xml:space="preserve"> </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104"/>
    <w:bookmarkEnd w:id="105"/>
    <w:bookmarkEnd w:id="106"/>
    <w:bookmarkEnd w:id="107"/>
    <w:bookmarkStart w:id="165" w:name="anvil-onboarding"/>
    <w:p>
      <w:pPr>
        <w:pStyle w:val="Heading2"/>
      </w:pPr>
      <w:r>
        <w:rPr>
          <w:rStyle w:val="SectionNumber"/>
        </w:rPr>
        <w:t xml:space="preserve">1.4</w:t>
      </w:r>
      <w:r>
        <w:tab/>
      </w:r>
      <w:r>
        <w:t xml:space="preserve">AnVIL Onboarding</w:t>
      </w:r>
    </w:p>
    <w:bookmarkStart w:id="125" w:name="join-anvil"/>
    <w:p>
      <w:pPr>
        <w:pStyle w:val="Heading3"/>
      </w:pPr>
      <w:r>
        <w:rPr>
          <w:rStyle w:val="SectionNumber"/>
        </w:rPr>
        <w:t xml:space="preserve">1.4.1</w:t>
      </w:r>
      <w:r>
        <w:tab/>
      </w:r>
      <w:r>
        <w:t xml:space="preserve">Join AnVIL</w:t>
      </w:r>
    </w:p>
    <w:bookmarkStart w:id="108" w:name="purpose-2"/>
    <w:p>
      <w:pPr>
        <w:pStyle w:val="Heading4"/>
      </w:pPr>
      <w:r>
        <w:rPr>
          <w:rStyle w:val="SectionNumber"/>
        </w:rPr>
        <w:t xml:space="preserve">1.4.1.1</w:t>
      </w:r>
      <w:r>
        <w:tab/>
      </w:r>
      <w:r>
        <w:t xml:space="preserve">Purpose</w:t>
      </w:r>
    </w:p>
    <w:p>
      <w:pPr>
        <w:pStyle w:val="FirstParagraph"/>
      </w:pPr>
      <w:r>
        <w:t xml:space="preserve">You will need an account on AnVIL in order to use the platform. In this section we’ll go over the specifics of account creation.</w:t>
      </w:r>
    </w:p>
    <w:bookmarkEnd w:id="108"/>
    <w:bookmarkStart w:id="109" w:name="learning-objectives-2"/>
    <w:p>
      <w:pPr>
        <w:pStyle w:val="Heading4"/>
      </w:pPr>
      <w:r>
        <w:rPr>
          <w:rStyle w:val="SectionNumber"/>
        </w:rPr>
        <w:t xml:space="preserve">1.4.1.2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09"/>
    <w:bookmarkStart w:id="113" w:name="introduction-3"/>
    <w:p>
      <w:pPr>
        <w:pStyle w:val="Heading4"/>
      </w:pPr>
      <w:r>
        <w:rPr>
          <w:rStyle w:val="SectionNumber"/>
        </w:rPr>
        <w:t xml:space="preserve">1.4.1.3</w:t>
      </w:r>
      <w:r>
        <w:tab/>
      </w:r>
      <w:r>
        <w:t xml:space="preserve">Introduction</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p>
      <w:pPr>
        <w:pStyle w:val="BodyText"/>
      </w:pPr>
      <w:r>
        <w:drawing>
          <wp:inline>
            <wp:extent cx="5334000" cy="3000375"/>
            <wp:effectExtent b="0" l="0" r="0" t="0"/>
            <wp:docPr descr="" title="" id="111" name="Picture"/>
            <a:graphic>
              <a:graphicData uri="http://schemas.openxmlformats.org/drawingml/2006/picture">
                <pic:pic>
                  <pic:nvPicPr>
                    <pic:cNvPr descr="introduction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End w:id="113"/>
    <w:bookmarkStart w:id="124" w:name="part-1-create-an-account-on-anvil"/>
    <w:p>
      <w:pPr>
        <w:pStyle w:val="Heading4"/>
      </w:pPr>
      <w:r>
        <w:rPr>
          <w:rStyle w:val="SectionNumber"/>
        </w:rPr>
        <w:t xml:space="preserve">1.4.1.4</w:t>
      </w:r>
      <w:r>
        <w:tab/>
      </w:r>
      <w:r>
        <w:t xml:space="preserve">Part 1 – Create an account on AnVIL</w:t>
      </w:r>
    </w:p>
    <w:p>
      <w:pPr>
        <w:pStyle w:val="FirstParagraph"/>
      </w:pPr>
      <w:r>
        <w:t xml:space="preserve">Follow the written steps below or refer to the</w:t>
      </w:r>
      <w:r>
        <w:t xml:space="preserve"> </w:t>
      </w:r>
      <w:hyperlink r:id="rId114">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6" name="Picture"/>
            <a:graphic>
              <a:graphicData uri="http://schemas.openxmlformats.org/drawingml/2006/picture">
                <pic:pic>
                  <pic:nvPicPr>
                    <pic:cNvPr descr="introduction_files/figure-docx//1uwlG7uaTOnItdpd4Ll6nNQiBJKBivsvR-erupicAwJM_g3709d9ac459_0_299.png" id="117" name="Picture"/>
                    <pic:cNvPicPr>
                      <a:picLocks noChangeArrowheads="1" noChangeAspect="1"/>
                    </pic:cNvPicPr>
                  </pic:nvPicPr>
                  <pic:blipFill>
                    <a:blip r:embed="rId11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35">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1"/>
        </w:numPr>
        <w:pStyle w:val="Compact"/>
      </w:pPr>
      <w:r>
        <w:t xml:space="preserve">Tip: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19" name="Picture"/>
            <a:graphic>
              <a:graphicData uri="http://schemas.openxmlformats.org/drawingml/2006/picture">
                <pic:pic>
                  <pic:nvPicPr>
                    <pic:cNvPr descr="introduction_files/figure-docx//1uwlG7uaTOnItdpd4Ll6nNQiBJKBivsvR-erupicAwJM_g36368ab83bf_0_2.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Start w:id="123" w:name="resources-3"/>
    <w:p>
      <w:pPr>
        <w:pStyle w:val="Heading5"/>
      </w:pPr>
      <w:r>
        <w:rPr>
          <w:rStyle w:val="SectionNumber"/>
        </w:rPr>
        <w:t xml:space="preserve">1.4.1.4.1</w:t>
      </w:r>
      <w:r>
        <w:tab/>
      </w:r>
      <w:r>
        <w:t xml:space="preserve">Resources</w:t>
      </w:r>
    </w:p>
    <w:p>
      <w:pPr>
        <w:numPr>
          <w:ilvl w:val="0"/>
          <w:numId w:val="1043"/>
        </w:numPr>
        <w:pStyle w:val="Compact"/>
      </w:pPr>
      <w:hyperlink r:id="rId35">
        <w:r>
          <w:rPr>
            <w:rStyle w:val="Hyperlink"/>
          </w:rPr>
          <w:t xml:space="preserve">AnVIL</w:t>
        </w:r>
      </w:hyperlink>
    </w:p>
    <w:p>
      <w:pPr>
        <w:numPr>
          <w:ilvl w:val="0"/>
          <w:numId w:val="1043"/>
        </w:numPr>
        <w:pStyle w:val="Compact"/>
      </w:pPr>
      <w:hyperlink r:id="rId121">
        <w:r>
          <w:rPr>
            <w:rStyle w:val="Hyperlink"/>
          </w:rPr>
          <w:t xml:space="preserve">How to add a bookmark in Chrome</w:t>
        </w:r>
      </w:hyperlink>
    </w:p>
    <w:p>
      <w:pPr>
        <w:numPr>
          <w:ilvl w:val="0"/>
          <w:numId w:val="1043"/>
        </w:numPr>
        <w:pStyle w:val="Compact"/>
      </w:pPr>
      <w:hyperlink r:id="rId122">
        <w:r>
          <w:rPr>
            <w:rStyle w:val="Hyperlink"/>
          </w:rPr>
          <w:t xml:space="preserve">AnVIL support home</w:t>
        </w:r>
      </w:hyperlink>
    </w:p>
    <w:bookmarkEnd w:id="123"/>
    <w:bookmarkEnd w:id="124"/>
    <w:bookmarkEnd w:id="125"/>
    <w:bookmarkStart w:id="164" w:name="running-a-module-on-anvil"/>
    <w:p>
      <w:pPr>
        <w:pStyle w:val="Heading3"/>
      </w:pPr>
      <w:r>
        <w:rPr>
          <w:rStyle w:val="SectionNumber"/>
        </w:rPr>
        <w:t xml:space="preserve">1.4.2</w:t>
      </w:r>
      <w:r>
        <w:tab/>
      </w:r>
      <w:r>
        <w:t xml:space="preserve">Running a module on AnVIL</w:t>
      </w:r>
    </w:p>
    <w:p>
      <w:pPr>
        <w:pStyle w:val="FirstParagraph"/>
      </w:pPr>
      <w:r>
        <w:drawing>
          <wp:inline>
            <wp:extent cx="5334000" cy="3000375"/>
            <wp:effectExtent b="0" l="0" r="0" t="0"/>
            <wp:docPr descr="" title="" id="127" name="Picture"/>
            <a:graphic>
              <a:graphicData uri="http://schemas.openxmlformats.org/drawingml/2006/picture">
                <pic:pic>
                  <pic:nvPicPr>
                    <pic:cNvPr descr="introduction_files/figure-docx//11wb3b7i9SwrDX_WO3mWNAycd2mbY4Moy8SuT0X3XvXo_g3709d9ac459_0_250.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bookmarkStart w:id="129" w:name="purpose-3"/>
    <w:p>
      <w:pPr>
        <w:pStyle w:val="Heading4"/>
      </w:pPr>
      <w:r>
        <w:rPr>
          <w:rStyle w:val="SectionNumber"/>
        </w:rPr>
        <w:t xml:space="preserve">1.4.2.1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29"/>
    <w:bookmarkStart w:id="130" w:name="learning-objectives-3"/>
    <w:p>
      <w:pPr>
        <w:pStyle w:val="Heading4"/>
      </w:pPr>
      <w:r>
        <w:rPr>
          <w:rStyle w:val="SectionNumber"/>
        </w:rPr>
        <w:t xml:space="preserve">1.4.2.2</w:t>
      </w:r>
      <w:r>
        <w:tab/>
      </w:r>
      <w:r>
        <w:t xml:space="preserve">Learning Objectives</w:t>
      </w:r>
    </w:p>
    <w:p>
      <w:pPr>
        <w:numPr>
          <w:ilvl w:val="0"/>
          <w:numId w:val="1044"/>
        </w:numPr>
        <w:pStyle w:val="Compact"/>
      </w:pPr>
      <w:r>
        <w:t xml:space="preserve">Launch a module through the cloned workspace</w:t>
      </w:r>
    </w:p>
    <w:p>
      <w:pPr>
        <w:numPr>
          <w:ilvl w:val="0"/>
          <w:numId w:val="1044"/>
        </w:numPr>
        <w:pStyle w:val="Compact"/>
      </w:pPr>
      <w:r>
        <w:t xml:space="preserve">Close out a session on AnVIL properly to prevent runaway costs</w:t>
      </w:r>
    </w:p>
    <w:bookmarkEnd w:id="130"/>
    <w:bookmarkStart w:id="131" w:name="introduction-4"/>
    <w:p>
      <w:pPr>
        <w:pStyle w:val="Heading4"/>
      </w:pPr>
      <w:r>
        <w:rPr>
          <w:rStyle w:val="SectionNumber"/>
        </w:rPr>
        <w:t xml:space="preserve">1.4.2.3</w:t>
      </w:r>
      <w:r>
        <w:tab/>
      </w:r>
      <w:r>
        <w:t xml:space="preserve">Introduction</w:t>
      </w:r>
    </w:p>
    <w:p>
      <w:pPr>
        <w:pStyle w:val="FirstParagraph"/>
      </w:pPr>
      <w:r>
        <w:t xml:space="preserve">Before beginning this assignment, you should have already created an AnVIL account and submitted the email you used to sign up for AnVIL to your instructor. In this assignment you will learn how to setup an RStudio environment on AnVIL. This environment is analogous to preparing a lab space for a physical lab. You have to have the right equipment and reagents to be able to do the activity.</w:t>
      </w:r>
    </w:p>
    <w:p>
      <w:pPr>
        <w:pStyle w:val="BodyText"/>
      </w:pPr>
      <w:r>
        <w:t xml:space="preserve">This assignment shows you how to set up the RStudio environment and start up your first C-MOOR tutorial.</w:t>
      </w:r>
    </w:p>
    <w:bookmarkEnd w:id="131"/>
    <w:bookmarkStart w:id="133" w:name="X72ee8a5ec0424a5edc24ab0295ed7fca9da6118"/>
    <w:p>
      <w:pPr>
        <w:pStyle w:val="Heading4"/>
      </w:pPr>
      <w:r>
        <w:rPr>
          <w:rStyle w:val="SectionNumber"/>
        </w:rPr>
        <w:t xml:space="preserve">1.4.2.4</w:t>
      </w:r>
      <w:r>
        <w:tab/>
      </w:r>
      <w:r>
        <w:t xml:space="preserve">Part 1 – Confirm you have access to your class workspace</w:t>
      </w:r>
    </w:p>
    <w:p>
      <w:pPr>
        <w:pStyle w:val="FirstParagraph"/>
      </w:pPr>
      <w:r>
        <w:t xml:space="preserve">The workspace is the heart of AnVIL. To be able to run modules, you need to have access to the class workspace. Here are some key points about workspaces:</w:t>
      </w:r>
    </w:p>
    <w:p>
      <w:pPr>
        <w:numPr>
          <w:ilvl w:val="0"/>
          <w:numId w:val="1045"/>
        </w:numPr>
        <w:pStyle w:val="Compact"/>
      </w:pPr>
      <w:r>
        <w:t xml:space="preserve">Every workspace comes with its own Google Bucket (our cloud storage). Your bucket will be empty.</w:t>
      </w:r>
    </w:p>
    <w:p>
      <w:pPr>
        <w:numPr>
          <w:ilvl w:val="0"/>
          <w:numId w:val="1045"/>
        </w:numPr>
        <w:pStyle w:val="Compact"/>
      </w:pPr>
      <w:r>
        <w:t xml:space="preserve">Every workspace has its own billing project. Students who are not yet associated with a billing project will not be able to compute on their workspace.</w:t>
      </w:r>
    </w:p>
    <w:p>
      <w:pPr>
        <w:numPr>
          <w:ilvl w:val="0"/>
          <w:numId w:val="1045"/>
        </w:numPr>
        <w:pStyle w:val="Compact"/>
      </w:pPr>
      <w:r>
        <w:t xml:space="preserve">We can control access levels of users and set them either as owners, writers, or readers. Students will be writers with compute access.</w:t>
      </w:r>
    </w:p>
    <w:p>
      <w:pPr>
        <w:pStyle w:val="FirstParagraph"/>
      </w:pPr>
      <w:r>
        <w:t xml:space="preserve">The workspace is the heart of AnVIL.</w:t>
      </w:r>
    </w:p>
    <w:p>
      <w:pPr>
        <w:numPr>
          <w:ilvl w:val="0"/>
          <w:numId w:val="1046"/>
        </w:numPr>
        <w:pStyle w:val="Compact"/>
      </w:pPr>
      <w:r>
        <w:t xml:space="preserve">Open</w:t>
      </w:r>
      <w:r>
        <w:t xml:space="preserve"> </w:t>
      </w:r>
      <w:hyperlink r:id="rId35">
        <w:r>
          <w:rPr>
            <w:rStyle w:val="Hyperlink"/>
          </w:rPr>
          <w:t xml:space="preserve">AnVIL</w:t>
        </w:r>
      </w:hyperlink>
      <w:r>
        <w:t xml:space="preserve"> </w:t>
      </w:r>
      <w:r>
        <w:t xml:space="preserve">in Google Chrome</w:t>
      </w:r>
    </w:p>
    <w:p>
      <w:pPr>
        <w:numPr>
          <w:ilvl w:val="0"/>
          <w:numId w:val="1046"/>
        </w:numPr>
        <w:pStyle w:val="Compact"/>
      </w:pPr>
      <w:r>
        <w:t xml:space="preserve">Click on the hamburger icon in the top left corner</w:t>
      </w:r>
    </w:p>
    <w:p>
      <w:pPr>
        <w:numPr>
          <w:ilvl w:val="0"/>
          <w:numId w:val="1046"/>
        </w:numPr>
        <w:pStyle w:val="Compact"/>
      </w:pPr>
      <w:r>
        <w:t xml:space="preserve">Login to your AnVIL account</w:t>
      </w:r>
    </w:p>
    <w:p>
      <w:pPr>
        <w:numPr>
          <w:ilvl w:val="0"/>
          <w:numId w:val="1046"/>
        </w:numPr>
        <w:pStyle w:val="Compact"/>
      </w:pPr>
      <w:r>
        <w:t xml:space="preserve">Click on the hamburger icon in the top left corner again</w:t>
      </w:r>
    </w:p>
    <w:p>
      <w:pPr>
        <w:numPr>
          <w:ilvl w:val="0"/>
          <w:numId w:val="1046"/>
        </w:numPr>
        <w:pStyle w:val="Compact"/>
      </w:pPr>
      <w:r>
        <w:t xml:space="preserve">Click workspaces</w:t>
      </w:r>
    </w:p>
    <w:p>
      <w:pPr>
        <w:numPr>
          <w:ilvl w:val="0"/>
          <w:numId w:val="1046"/>
        </w:numPr>
        <w:pStyle w:val="Compact"/>
      </w:pPr>
      <w:r>
        <w:t xml:space="preserve">Confirm you see your class workspace</w:t>
      </w:r>
    </w:p>
    <w:p>
      <w:pPr>
        <w:numPr>
          <w:ilvl w:val="0"/>
          <w:numId w:val="1046"/>
        </w:numPr>
        <w:pStyle w:val="Compact"/>
      </w:pPr>
      <w:r>
        <w:t xml:space="preserve">Click on the workspace name to enter the workspace.</w:t>
      </w:r>
    </w:p>
    <w:bookmarkStart w:id="132" w:name="resources-4"/>
    <w:p>
      <w:pPr>
        <w:pStyle w:val="Heading5"/>
      </w:pPr>
      <w:r>
        <w:rPr>
          <w:rStyle w:val="SectionNumber"/>
        </w:rPr>
        <w:t xml:space="preserve">1.4.2.4.1</w:t>
      </w:r>
      <w:r>
        <w:tab/>
      </w:r>
      <w:r>
        <w:t xml:space="preserve">Resources</w:t>
      </w:r>
    </w:p>
    <w:p>
      <w:pPr>
        <w:numPr>
          <w:ilvl w:val="0"/>
          <w:numId w:val="1047"/>
        </w:numPr>
        <w:pStyle w:val="Compact"/>
      </w:pPr>
      <w:hyperlink r:id="rId35">
        <w:r>
          <w:rPr>
            <w:rStyle w:val="Hyperlink"/>
          </w:rPr>
          <w:t xml:space="preserve">AnVIL</w:t>
        </w:r>
      </w:hyperlink>
    </w:p>
    <w:p>
      <w:pPr>
        <w:numPr>
          <w:ilvl w:val="0"/>
          <w:numId w:val="1047"/>
        </w:numPr>
        <w:pStyle w:val="Compact"/>
      </w:pPr>
      <w:hyperlink r:id="rId94">
        <w:r>
          <w:rPr>
            <w:rStyle w:val="Hyperlink"/>
          </w:rPr>
          <w:t xml:space="preserve">Get help with AnVIL on the C-MOOR Discourse</w:t>
        </w:r>
      </w:hyperlink>
    </w:p>
    <w:bookmarkEnd w:id="132"/>
    <w:bookmarkEnd w:id="133"/>
    <w:bookmarkStart w:id="156" w:name="part-2-start-access-a-module"/>
    <w:p>
      <w:pPr>
        <w:pStyle w:val="Heading4"/>
      </w:pPr>
      <w:r>
        <w:rPr>
          <w:rStyle w:val="SectionNumber"/>
        </w:rPr>
        <w:t xml:space="preserve">1.4.2.5</w:t>
      </w:r>
      <w:r>
        <w:tab/>
      </w:r>
      <w:r>
        <w:t xml:space="preserve">Part 2 – Start access a module</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35" name="Picture"/>
            <a:graphic>
              <a:graphicData uri="http://schemas.openxmlformats.org/drawingml/2006/picture">
                <pic:pic>
                  <pic:nvPicPr>
                    <pic:cNvPr descr="introduction_files/figure-docx//11wb3b7i9SwrDX_WO3mWNAycd2mbY4Moy8SuT0X3XvXo_g3e8341b93fe_0_0.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8"/>
        </w:numPr>
      </w:pPr>
      <w:r>
        <w:t xml:space="preserve">Copy the URL of the startup script. Make sure there are no spaces before or after what you copy. This script is held in the original workspace everyone cloned. You will need to input this URL soon.</w:t>
      </w:r>
    </w:p>
    <w:p>
      <w:pPr>
        <w:numPr>
          <w:ilvl w:val="0"/>
          <w:numId w:val="1048"/>
        </w:numPr>
      </w:pPr>
      <w:r>
        <w:t xml:space="preserve">Click on the Environment Configuration button, the cloud with a thunderbolt.</w:t>
      </w:r>
    </w:p>
    <w:p>
      <w:pPr>
        <w:pStyle w:val="FirstParagraph"/>
      </w:pPr>
      <w:r>
        <w:drawing>
          <wp:inline>
            <wp:extent cx="5334000" cy="3000375"/>
            <wp:effectExtent b="0" l="0" r="0" t="0"/>
            <wp:docPr descr="" title="" id="138" name="Picture"/>
            <a:graphic>
              <a:graphicData uri="http://schemas.openxmlformats.org/drawingml/2006/picture">
                <pic:pic>
                  <pic:nvPicPr>
                    <pic:cNvPr descr="introduction_files/figure-docx//11wb3b7i9SwrDX_WO3mWNAycd2mbY4Moy8SuT0X3XvXo_g3e8341b93fe_0_13.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Pr>
      <w:r>
        <w:t xml:space="preserve">In the RStudio section, click Settings</w:t>
      </w:r>
    </w:p>
    <w:p>
      <w:pPr>
        <w:numPr>
          <w:ilvl w:val="0"/>
          <w:numId w:val="1049"/>
        </w:numPr>
      </w:pPr>
      <w:r>
        <w:t xml:space="preserve">In the startup script field, paste the URL for the startup script.</w:t>
      </w:r>
    </w:p>
    <w:p>
      <w:pPr>
        <w:numPr>
          <w:ilvl w:val="0"/>
          <w:numId w:val="1049"/>
        </w:numPr>
      </w:pPr>
      <w:r>
        <w:t xml:space="preserve">Select 4 CPUs and 15 gigabytes of memory.</w:t>
      </w:r>
    </w:p>
    <w:p>
      <w:pPr>
        <w:numPr>
          <w:ilvl w:val="0"/>
          <w:numId w:val="1049"/>
        </w:numPr>
      </w:pPr>
      <w:r>
        <w:t xml:space="preserve">Confirm that the cloud compute cost is 20 cents per hour. If it is not 20 cents per hour, reselect CPUs and memory allocation in step 5 This is a known bug in AnVIL at the writing of this guide.</w:t>
      </w:r>
    </w:p>
    <w:p>
      <w:pPr>
        <w:numPr>
          <w:ilvl w:val="0"/>
          <w:numId w:val="1049"/>
        </w:numPr>
      </w:pPr>
      <w:r>
        <w:t xml:space="preserve">Scroll to the bottom of the window and click</w:t>
      </w:r>
      <w:r>
        <w:t xml:space="preserve"> </w:t>
      </w:r>
      <w:r>
        <w:t xml:space="preserve">“</w:t>
      </w:r>
      <w:r>
        <w:t xml:space="preserve">Create</w:t>
      </w:r>
      <w:r>
        <w:t xml:space="preserve">”</w:t>
      </w:r>
      <w:r>
        <w:t xml:space="preserve">. It will take about 2 minutes for the environment to be created.</w:t>
      </w:r>
    </w:p>
    <w:p>
      <w:pPr>
        <w:pStyle w:val="FirstParagraph"/>
      </w:pPr>
      <w:r>
        <w:drawing>
          <wp:inline>
            <wp:extent cx="5334000" cy="3000375"/>
            <wp:effectExtent b="0" l="0" r="0" t="0"/>
            <wp:docPr descr="" title="" id="141" name="Picture"/>
            <a:graphic>
              <a:graphicData uri="http://schemas.openxmlformats.org/drawingml/2006/picture">
                <pic:pic>
                  <pic:nvPicPr>
                    <pic:cNvPr descr="introduction_files/figure-docx//11wb3b7i9SwrDX_WO3mWNAycd2mbY4Moy8SuT0X3XvXo_g3709d9ac459_0_279.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44" name="Picture"/>
            <a:graphic>
              <a:graphicData uri="http://schemas.openxmlformats.org/drawingml/2006/picture">
                <pic:pic>
                  <pic:nvPicPr>
                    <pic:cNvPr descr="introduction_files/figure-docx//11wb3b7i9SwrDX_WO3mWNAycd2mbY4Moy8SuT0X3XvXo_g3e8341b93fe_0_29.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Style w:val="Compact"/>
      </w:pPr>
      <w:r>
        <w:t xml:space="preserve">When the environment is ready, use the Open RStudio button that will pop up. If you hold down Ctrl as you click, you can open RStudio in a new window.</w:t>
      </w:r>
    </w:p>
    <w:p>
      <w:pPr>
        <w:pStyle w:val="FirstParagraph"/>
      </w:pPr>
      <w:r>
        <w:drawing>
          <wp:inline>
            <wp:extent cx="5334000" cy="3000375"/>
            <wp:effectExtent b="0" l="0" r="0" t="0"/>
            <wp:docPr descr="" title="" id="147" name="Picture"/>
            <a:graphic>
              <a:graphicData uri="http://schemas.openxmlformats.org/drawingml/2006/picture">
                <pic:pic>
                  <pic:nvPicPr>
                    <pic:cNvPr descr="introduction_files/figure-docx//11wb3b7i9SwrDX_WO3mWNAycd2mbY4Moy8SuT0X3XvXo_g3e8341b93fe_0_33.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50" name="Picture"/>
            <a:graphic>
              <a:graphicData uri="http://schemas.openxmlformats.org/drawingml/2006/picture">
                <pic:pic>
                  <pic:nvPicPr>
                    <pic:cNvPr descr="introduction_files/figure-docx//11wb3b7i9SwrDX_WO3mWNAycd2mbY4Moy8SuT0X3XvXo_g3e8341b93fe_0_36.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In the module’s directory, open the .Rmd file by double clicking its name.</w:t>
      </w:r>
    </w:p>
    <w:p>
      <w:pPr>
        <w:pStyle w:val="FirstParagraph"/>
      </w:pPr>
      <w:r>
        <w:drawing>
          <wp:inline>
            <wp:extent cx="5334000" cy="3000375"/>
            <wp:effectExtent b="0" l="0" r="0" t="0"/>
            <wp:docPr descr="" title="" id="153" name="Picture"/>
            <a:graphic>
              <a:graphicData uri="http://schemas.openxmlformats.org/drawingml/2006/picture">
                <pic:pic>
                  <pic:nvPicPr>
                    <pic:cNvPr descr="introduction_files/figure-docx//11wb3b7i9SwrDX_WO3mWNAycd2mbY4Moy8SuT0X3XvXo_g3e8341b93fe_0_39.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Start w:id="155" w:name="resources-5"/>
    <w:p>
      <w:pPr>
        <w:pStyle w:val="Heading5"/>
      </w:pPr>
      <w:r>
        <w:rPr>
          <w:rStyle w:val="SectionNumber"/>
        </w:rPr>
        <w:t xml:space="preserve">1.4.2.5.1</w:t>
      </w:r>
      <w:r>
        <w:tab/>
      </w:r>
      <w:r>
        <w:t xml:space="preserve">Resources</w:t>
      </w:r>
    </w:p>
    <w:p>
      <w:pPr>
        <w:numPr>
          <w:ilvl w:val="0"/>
          <w:numId w:val="1054"/>
        </w:numPr>
        <w:pStyle w:val="Compact"/>
      </w:pPr>
      <w:hyperlink r:id="rId35">
        <w:r>
          <w:rPr>
            <w:rStyle w:val="Hyperlink"/>
          </w:rPr>
          <w:t xml:space="preserve">AnVIL</w:t>
        </w:r>
      </w:hyperlink>
    </w:p>
    <w:p>
      <w:pPr>
        <w:numPr>
          <w:ilvl w:val="0"/>
          <w:numId w:val="1054"/>
        </w:numPr>
        <w:pStyle w:val="Compact"/>
      </w:pPr>
      <w:hyperlink r:id="rId94">
        <w:r>
          <w:rPr>
            <w:rStyle w:val="Hyperlink"/>
          </w:rPr>
          <w:t xml:space="preserve">Get help with AnVIL on the C-MOOR Discourse</w:t>
        </w:r>
      </w:hyperlink>
    </w:p>
    <w:bookmarkEnd w:id="155"/>
    <w:bookmarkEnd w:id="156"/>
    <w:bookmarkStart w:id="161" w:name="part-3-closing-out-a-session-on-anvil"/>
    <w:p>
      <w:pPr>
        <w:pStyle w:val="Heading4"/>
      </w:pPr>
      <w:r>
        <w:rPr>
          <w:rStyle w:val="SectionNumber"/>
        </w:rPr>
        <w:t xml:space="preserve">1.4.2.6</w:t>
      </w:r>
      <w:r>
        <w:tab/>
      </w:r>
      <w:r>
        <w:t xml:space="preserve">Part 3 – Closing out a session on AnVIL</w:t>
      </w:r>
    </w:p>
    <w:p>
      <w:pPr>
        <w:pStyle w:val="FirstParagraph"/>
      </w:pPr>
      <w:r>
        <w:drawing>
          <wp:inline>
            <wp:extent cx="5334000" cy="3000375"/>
            <wp:effectExtent b="0" l="0" r="0" t="0"/>
            <wp:docPr descr="" title="" id="158" name="Picture"/>
            <a:graphic>
              <a:graphicData uri="http://schemas.openxmlformats.org/drawingml/2006/picture">
                <pic:pic>
                  <pic:nvPicPr>
                    <pic:cNvPr descr="introduction_files/figure-docx//11wb3b7i9SwrDX_WO3mWNAycd2mbY4Moy8SuT0X3XvXo_g3709d9ac459_0_299.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On the right side of the screen, click the Cloud Environment button. This is the Cloud with the lightning symbol.</w:t>
      </w:r>
    </w:p>
    <w:p>
      <w:pPr>
        <w:numPr>
          <w:ilvl w:val="0"/>
          <w:numId w:val="1055"/>
        </w:numPr>
        <w:pStyle w:val="Compact"/>
      </w:pPr>
      <w:r>
        <w:t xml:space="preserve">Under the RStudio section, click settings.</w:t>
      </w:r>
    </w:p>
    <w:p>
      <w:pPr>
        <w:numPr>
          <w:ilvl w:val="0"/>
          <w:numId w:val="1055"/>
        </w:numPr>
        <w:pStyle w:val="Compact"/>
      </w:pPr>
      <w:r>
        <w:t xml:space="preserve">Scroll to the bottom of the new window and click delete environment.</w:t>
      </w:r>
    </w:p>
    <w:p>
      <w:pPr>
        <w:numPr>
          <w:ilvl w:val="0"/>
          <w:numId w:val="1055"/>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Start w:id="160" w:name="resources-6"/>
    <w:p>
      <w:pPr>
        <w:pStyle w:val="Heading5"/>
      </w:pPr>
      <w:r>
        <w:rPr>
          <w:rStyle w:val="SectionNumber"/>
        </w:rPr>
        <w:t xml:space="preserve">1.4.2.6.1</w:t>
      </w:r>
      <w:r>
        <w:tab/>
      </w:r>
      <w:r>
        <w:t xml:space="preserve">Resources</w:t>
      </w:r>
    </w:p>
    <w:p>
      <w:pPr>
        <w:numPr>
          <w:ilvl w:val="0"/>
          <w:numId w:val="1056"/>
        </w:numPr>
        <w:pStyle w:val="Compact"/>
      </w:pPr>
      <w:hyperlink r:id="rId35">
        <w:r>
          <w:rPr>
            <w:rStyle w:val="Hyperlink"/>
          </w:rPr>
          <w:t xml:space="preserve">AnVIL</w:t>
        </w:r>
      </w:hyperlink>
    </w:p>
    <w:p>
      <w:pPr>
        <w:numPr>
          <w:ilvl w:val="0"/>
          <w:numId w:val="1056"/>
        </w:numPr>
        <w:pStyle w:val="Compact"/>
      </w:pPr>
      <w:hyperlink r:id="rId94">
        <w:r>
          <w:rPr>
            <w:rStyle w:val="Hyperlink"/>
          </w:rPr>
          <w:t xml:space="preserve">Get help with AnVIL on the C-MOOR Discourse</w:t>
        </w:r>
      </w:hyperlink>
    </w:p>
    <w:bookmarkEnd w:id="160"/>
    <w:bookmarkEnd w:id="161"/>
    <w:bookmarkStart w:id="163" w:name="footnotes-2"/>
    <w:p>
      <w:pPr>
        <w:pStyle w:val="Heading4"/>
      </w:pPr>
      <w:r>
        <w:rPr>
          <w:rStyle w:val="SectionNumber"/>
        </w:rPr>
        <w:t xml:space="preserve">1.4.2.7</w:t>
      </w:r>
      <w:r>
        <w:tab/>
      </w:r>
      <w:r>
        <w:t xml:space="preserve">Footnotes</w:t>
      </w:r>
    </w:p>
    <w:bookmarkStart w:id="162" w:name="contributions-and-affiliations-2"/>
    <w:p>
      <w:pPr>
        <w:pStyle w:val="Heading5"/>
      </w:pPr>
      <w:r>
        <w:rPr>
          <w:rStyle w:val="SectionNumber"/>
        </w:rPr>
        <w:t xml:space="preserve">1.4.2.7.1</w:t>
      </w:r>
      <w:r>
        <w:tab/>
      </w:r>
      <w:r>
        <w:t xml:space="preserve">Contributions and Affiliations</w:t>
      </w:r>
    </w:p>
    <w:p>
      <w:pPr>
        <w:numPr>
          <w:ilvl w:val="0"/>
          <w:numId w:val="1057"/>
        </w:numPr>
        <w:pStyle w:val="Compact"/>
      </w:pPr>
      <w:r>
        <w:t xml:space="preserve">Sayumi York, Notre Dame of Maryland University</w:t>
      </w:r>
    </w:p>
    <w:p>
      <w:pPr>
        <w:pStyle w:val="FirstParagraph"/>
      </w:pPr>
      <w:r>
        <w:t xml:space="preserve">Last Revised: June 5, 2026</w:t>
      </w:r>
    </w:p>
    <w:bookmarkEnd w:id="162"/>
    <w:bookmarkEnd w:id="163"/>
    <w:bookmarkEnd w:id="164"/>
    <w:bookmarkEnd w:id="165"/>
    <w:bookmarkEnd w:id="166"/>
    <w:bookmarkStart w:id="202" w:name="scientific-literature"/>
    <w:p>
      <w:pPr>
        <w:pStyle w:val="Heading1"/>
      </w:pPr>
      <w:r>
        <w:rPr>
          <w:rStyle w:val="SectionNumber"/>
        </w:rPr>
        <w:t xml:space="preserve">2</w:t>
      </w:r>
      <w:r>
        <w:tab/>
      </w:r>
      <w:r>
        <w:t xml:space="preserve">Scientific Literature</w:t>
      </w:r>
    </w:p>
    <w:bookmarkStart w:id="180" w:name="pre-lab---scientific-literature"/>
    <w:p>
      <w:pPr>
        <w:pStyle w:val="Heading2"/>
      </w:pPr>
      <w:r>
        <w:rPr>
          <w:rStyle w:val="SectionNumber"/>
        </w:rPr>
        <w:t xml:space="preserve">2.1</w:t>
      </w:r>
      <w:r>
        <w:tab/>
      </w:r>
      <w:r>
        <w:t xml:space="preserve">Pre-lab - Scientific literature</w:t>
      </w:r>
    </w:p>
    <w:p>
      <w:pPr>
        <w:pStyle w:val="FirstParagraph"/>
      </w:pPr>
      <w:r>
        <w:drawing>
          <wp:inline>
            <wp:extent cx="5334000" cy="3000375"/>
            <wp:effectExtent b="0" l="0" r="0" t="0"/>
            <wp:docPr descr="" title="" id="168" name="Picture"/>
            <a:graphic>
              <a:graphicData uri="http://schemas.openxmlformats.org/drawingml/2006/picture">
                <pic:pic>
                  <pic:nvPicPr>
                    <pic:cNvPr descr="scientific-literature_files/figure-docx//1dEZtb0TgLbzhbr3HxQElwg8hENur2HMIzseg19OGd0g_g33d73503c03_0_51.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bookmarkStart w:id="170" w:name="purpose-4"/>
    <w:p>
      <w:pPr>
        <w:pStyle w:val="Heading3"/>
      </w:pPr>
      <w:r>
        <w:rPr>
          <w:rStyle w:val="SectionNumber"/>
        </w:rPr>
        <w:t xml:space="preserve">2.1.1</w:t>
      </w:r>
      <w:r>
        <w:tab/>
      </w:r>
      <w:r>
        <w:t xml:space="preserve">Purpose</w:t>
      </w:r>
    </w:p>
    <w:p>
      <w:pPr>
        <w:pStyle w:val="FirstParagraph"/>
      </w:pPr>
      <w:r>
        <w:t xml:space="preserve">We’ve all heard the saying. The best way to learn is by doing. So, let’s jump right in and read a science paper! As you read through the paper, keep in mind that</w:t>
      </w:r>
      <w:r>
        <w:t xml:space="preserve"> </w:t>
      </w:r>
      <w:r>
        <w:rPr>
          <w:bCs/>
          <w:b/>
        </w:rPr>
        <w:t xml:space="preserve">you are not expected to understand everything the first time through</w:t>
      </w:r>
      <w:r>
        <w:t xml:space="preserve">. We will go through the paper in detail in the lab.</w:t>
      </w:r>
    </w:p>
    <w:p>
      <w:pPr>
        <w:pStyle w:val="BodyText"/>
      </w:pPr>
      <w:r>
        <w:t xml:space="preserve">Reading this paper will give us a first taste of scientific literature and start familiarizing ourselves with the 16S rRNA analyses you will complete as a part of your research project.</w:t>
      </w:r>
    </w:p>
    <w:bookmarkEnd w:id="170"/>
    <w:bookmarkStart w:id="171" w:name="grading-criteria"/>
    <w:p>
      <w:pPr>
        <w:pStyle w:val="Heading3"/>
      </w:pPr>
      <w:r>
        <w:rPr>
          <w:rStyle w:val="SectionNumber"/>
        </w:rPr>
        <w:t xml:space="preserve">2.1.2</w:t>
      </w:r>
      <w:r>
        <w:tab/>
      </w:r>
      <w:r>
        <w:t xml:space="preserve">Grading criteria</w:t>
      </w:r>
    </w:p>
    <w:p>
      <w:pPr>
        <w:pStyle w:val="FirstParagraph"/>
      </w:pPr>
      <w:r>
        <w:t xml:space="preserve">Download the assignment to your local computer as a .docx, complete it, and upload the assignment to your LMS (Blackboard, Canvas, Google Classroom).</w:t>
      </w:r>
    </w:p>
    <w:bookmarkEnd w:id="171"/>
    <w:bookmarkStart w:id="175" w:name="activity"/>
    <w:p>
      <w:pPr>
        <w:pStyle w:val="Heading3"/>
      </w:pPr>
      <w:r>
        <w:rPr>
          <w:rStyle w:val="SectionNumber"/>
        </w:rPr>
        <w:t xml:space="preserve">2.1.3</w:t>
      </w:r>
      <w:r>
        <w:tab/>
      </w:r>
      <w:r>
        <w:t xml:space="preserve">Activity</w:t>
      </w:r>
    </w:p>
    <w:p>
      <w:pPr>
        <w:pStyle w:val="FirstParagraph"/>
      </w:pPr>
      <w:r>
        <w:rPr>
          <w:iCs/>
          <w:i/>
        </w:rPr>
        <w:t xml:space="preserve">Estimated time: 30 minutes</w:t>
      </w:r>
    </w:p>
    <w:bookmarkStart w:id="173" w:name="instructions"/>
    <w:p>
      <w:pPr>
        <w:pStyle w:val="Heading4"/>
      </w:pPr>
      <w:r>
        <w:rPr>
          <w:rStyle w:val="SectionNumber"/>
        </w:rPr>
        <w:t xml:space="preserve">2.1.3.1</w:t>
      </w:r>
      <w:r>
        <w:tab/>
      </w:r>
      <w:r>
        <w:t xml:space="preserve">Instructions</w:t>
      </w:r>
    </w:p>
    <w:p>
      <w:pPr>
        <w:pStyle w:val="FirstParagraph"/>
      </w:pPr>
      <w:r>
        <w:t xml:space="preserve">Read the paper</w:t>
      </w:r>
      <w:r>
        <w:t xml:space="preserve"> </w:t>
      </w:r>
      <w:hyperlink r:id="rId172">
        <w:r>
          <w:rPr>
            <w:rStyle w:val="Hyperlink"/>
          </w:rPr>
          <w:t xml:space="preserve">“</w:t>
        </w:r>
        <w:r>
          <w:rPr>
            <w:rStyle w:val="Hyperlink"/>
          </w:rPr>
          <w:t xml:space="preserve">Fecal transplant in children with Clostridioides difficile gives sustained reduction in antimicrobial resistance and potential pathogen burden</w:t>
        </w:r>
        <w:r>
          <w:rPr>
            <w:rStyle w:val="Hyperlink"/>
          </w:rPr>
          <w:t xml:space="preserve">”</w:t>
        </w:r>
        <w:r>
          <w:rPr>
            <w:rStyle w:val="Hyperlink"/>
          </w:rPr>
          <w:t xml:space="preserve"> </w:t>
        </w:r>
        <w:r>
          <w:rPr>
            <w:rStyle w:val="Hyperlink"/>
          </w:rPr>
          <w:t xml:space="preserve">by Hourigan et al. (2019)</w:t>
        </w:r>
      </w:hyperlink>
      <w:r>
        <w:t xml:space="preserve"> </w:t>
      </w:r>
      <w:r>
        <w:t xml:space="preserve">and answer the following questions.</w:t>
      </w:r>
    </w:p>
    <w:bookmarkEnd w:id="173"/>
    <w:bookmarkStart w:id="174" w:name="questions"/>
    <w:p>
      <w:pPr>
        <w:pStyle w:val="Heading4"/>
      </w:pPr>
      <w:r>
        <w:rPr>
          <w:rStyle w:val="SectionNumber"/>
        </w:rPr>
        <w:t xml:space="preserve">2.1.3.2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find interesting in the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paper.</w:t>
            </w:r>
          </w:p>
        </w:tc>
      </w:tr>
      <w:tr>
        <w:tc>
          <w:tcPr/>
          <w:p>
            <w:pPr>
              <w:pStyle w:val="Compact"/>
              <w:jc w:val="left"/>
            </w:pPr>
          </w:p>
        </w:tc>
      </w:tr>
    </w:tbl>
    <w:bookmarkEnd w:id="174"/>
    <w:bookmarkEnd w:id="175"/>
    <w:bookmarkStart w:id="179" w:name="footnotes-3"/>
    <w:p>
      <w:pPr>
        <w:pStyle w:val="Heading3"/>
      </w:pPr>
      <w:r>
        <w:rPr>
          <w:rStyle w:val="SectionNumber"/>
        </w:rPr>
        <w:t xml:space="preserve">2.1.4</w:t>
      </w:r>
      <w:r>
        <w:tab/>
      </w:r>
      <w:r>
        <w:t xml:space="preserve">Footnotes</w:t>
      </w:r>
    </w:p>
    <w:bookmarkStart w:id="177" w:name="resources-7"/>
    <w:p>
      <w:pPr>
        <w:pStyle w:val="Heading4"/>
      </w:pPr>
      <w:r>
        <w:rPr>
          <w:rStyle w:val="SectionNumber"/>
        </w:rPr>
        <w:t xml:space="preserve">2.1.4.1</w:t>
      </w:r>
      <w:r>
        <w:tab/>
      </w:r>
      <w:r>
        <w:t xml:space="preserve">Resources</w:t>
      </w:r>
    </w:p>
    <w:p>
      <w:pPr>
        <w:numPr>
          <w:ilvl w:val="0"/>
          <w:numId w:val="1058"/>
        </w:numPr>
      </w:pPr>
      <w:hyperlink r:id="rId176">
        <w:r>
          <w:rPr>
            <w:rStyle w:val="Hyperlink"/>
          </w:rPr>
          <w:t xml:space="preserve">Google Doc</w:t>
        </w:r>
      </w:hyperlink>
    </w:p>
    <w:p>
      <w:pPr>
        <w:numPr>
          <w:ilvl w:val="0"/>
          <w:numId w:val="1058"/>
        </w:numPr>
      </w:pPr>
      <w:hyperlink r:id="rId172">
        <w:r>
          <w:rPr>
            <w:rStyle w:val="Hyperlink"/>
          </w:rPr>
          <w:t xml:space="preserve">Paper</w:t>
        </w:r>
      </w:hyperlink>
    </w:p>
    <w:bookmarkEnd w:id="177"/>
    <w:bookmarkStart w:id="178" w:name="contributions-and-affiliations-3"/>
    <w:p>
      <w:pPr>
        <w:pStyle w:val="Heading4"/>
      </w:pPr>
      <w:r>
        <w:rPr>
          <w:rStyle w:val="SectionNumber"/>
        </w:rPr>
        <w:t xml:space="preserve">2.1.4.2</w:t>
      </w:r>
      <w:r>
        <w:tab/>
      </w:r>
      <w: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numPr>
          <w:ilvl w:val="0"/>
          <w:numId w:val="1059"/>
        </w:numPr>
        <w:pStyle w:val="Compact"/>
      </w:pPr>
      <w:r>
        <w:t xml:space="preserve">Katherine Cox, Johns Hopkins University</w:t>
      </w:r>
    </w:p>
    <w:p>
      <w:pPr>
        <w:numPr>
          <w:ilvl w:val="0"/>
          <w:numId w:val="1059"/>
        </w:numPr>
        <w:pStyle w:val="Compact"/>
      </w:pPr>
      <w:r>
        <w:t xml:space="preserve">Sayumi York, Notre Dame of Maryland University</w:t>
      </w:r>
    </w:p>
    <w:p>
      <w:pPr>
        <w:numPr>
          <w:ilvl w:val="0"/>
          <w:numId w:val="1059"/>
        </w:numPr>
        <w:pStyle w:val="Compact"/>
      </w:pPr>
      <w:r>
        <w:t xml:space="preserve">Stephanie Coffman, Clovis Community College</w:t>
      </w:r>
    </w:p>
    <w:p>
      <w:pPr>
        <w:numPr>
          <w:ilvl w:val="0"/>
          <w:numId w:val="1059"/>
        </w:numPr>
        <w:pStyle w:val="Compact"/>
      </w:pPr>
      <w:r>
        <w:t xml:space="preserve">Rosa Alcazar, Clovis Community College</w:t>
      </w:r>
    </w:p>
    <w:bookmarkEnd w:id="178"/>
    <w:bookmarkEnd w:id="179"/>
    <w:bookmarkEnd w:id="180"/>
    <w:bookmarkStart w:id="185" w:name="lecture---reading-a-paper"/>
    <w:p>
      <w:pPr>
        <w:pStyle w:val="Heading2"/>
      </w:pPr>
      <w:r>
        <w:rPr>
          <w:rStyle w:val="SectionNumber"/>
        </w:rPr>
        <w:t xml:space="preserve">2.2</w:t>
      </w:r>
      <w:r>
        <w:tab/>
      </w:r>
      <w:r>
        <w:t xml:space="preserve">Lecture - Reading a paper</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182" name="Picture"/>
            <a:graphic>
              <a:graphicData uri="http://schemas.openxmlformats.org/drawingml/2006/picture">
                <pic:pic>
                  <pic:nvPicPr>
                    <pic:cNvPr descr="scientific-literature_files/figure-docx//1mibD1XUpgRZcDPbYj5XOMUASuScuJoUBVV7RkT5nnSc_g36d36570436_0_413.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84">
        <w:r>
          <w:rPr>
            <w:rStyle w:val="Hyperlink"/>
          </w:rPr>
          <w:t xml:space="preserve">Lecture</w:t>
        </w:r>
      </w:hyperlink>
    </w:p>
    <w:bookmarkEnd w:id="185"/>
    <w:bookmarkStart w:id="201" w:name="activity---scientific-literature"/>
    <w:p>
      <w:pPr>
        <w:pStyle w:val="Heading2"/>
      </w:pPr>
      <w:r>
        <w:rPr>
          <w:rStyle w:val="SectionNumber"/>
        </w:rPr>
        <w:t xml:space="preserve">2.3</w:t>
      </w:r>
      <w:r>
        <w:tab/>
      </w:r>
      <w:r>
        <w:t xml:space="preserve">Activity - Scientific Literature</w:t>
      </w:r>
    </w:p>
    <w:bookmarkStart w:id="186" w:name="purpose-5"/>
    <w:p>
      <w:pPr>
        <w:pStyle w:val="Heading3"/>
      </w:pPr>
      <w:r>
        <w:rPr>
          <w:rStyle w:val="SectionNumber"/>
        </w:rPr>
        <w:t xml:space="preserve">2.3.1</w:t>
      </w:r>
      <w:r>
        <w:tab/>
      </w:r>
      <w:r>
        <w:t xml:space="preserve">Purpose</w:t>
      </w:r>
    </w:p>
    <w:p>
      <w:pPr>
        <w:pStyle w:val="FirstParagraph"/>
      </w:pPr>
      <w:r>
        <w:t xml:space="preserve">Examine research where a 16S rRNA-based approach is used to compare metagenomic diversity in children with Clostridioides difficile infection (CDI), before and after fecal microbiota transplantation (FMT) by reading:</w:t>
      </w:r>
      <w:r>
        <w:t xml:space="preserve"> </w:t>
      </w:r>
      <w:hyperlink r:id="rId172">
        <w:r>
          <w:rPr>
            <w:rStyle w:val="Hyperlink"/>
          </w:rPr>
          <w:t xml:space="preserve">“</w:t>
        </w:r>
        <w:r>
          <w:rPr>
            <w:rStyle w:val="Hyperlink"/>
          </w:rPr>
          <w:t xml:space="preserve">Fecal transplant in children with Clostridioides difficile gives sustained reduction in antimicrobial resistance and potential pathogen burden</w:t>
        </w:r>
        <w:r>
          <w:rPr>
            <w:rStyle w:val="Hyperlink"/>
          </w:rPr>
          <w:t xml:space="preserve">”</w:t>
        </w:r>
        <w:r>
          <w:rPr>
            <w:rStyle w:val="Hyperlink"/>
          </w:rPr>
          <w:t xml:space="preserve"> </w:t>
        </w:r>
        <w:r>
          <w:rPr>
            <w:rStyle w:val="Hyperlink"/>
          </w:rPr>
          <w:t xml:space="preserve">by Hourigan et al. (2019)</w:t>
        </w:r>
      </w:hyperlink>
    </w:p>
    <w:bookmarkEnd w:id="186"/>
    <w:bookmarkStart w:id="187" w:name="learning-objectives-4"/>
    <w:p>
      <w:pPr>
        <w:pStyle w:val="Heading3"/>
      </w:pPr>
      <w:r>
        <w:rPr>
          <w:rStyle w:val="SectionNumber"/>
        </w:rPr>
        <w:t xml:space="preserve">2.3.2</w:t>
      </w:r>
      <w:r>
        <w:tab/>
      </w:r>
      <w:r>
        <w:t xml:space="preserve">Learning Objectives</w:t>
      </w:r>
    </w:p>
    <w:p>
      <w:pPr>
        <w:numPr>
          <w:ilvl w:val="0"/>
          <w:numId w:val="1060"/>
        </w:numPr>
        <w:pStyle w:val="Compact"/>
      </w:pPr>
      <w:r>
        <w:t xml:space="preserve">Understand the purpose and experimental setup of the paper</w:t>
      </w:r>
    </w:p>
    <w:p>
      <w:pPr>
        <w:numPr>
          <w:ilvl w:val="0"/>
          <w:numId w:val="1060"/>
        </w:numPr>
        <w:pStyle w:val="Compact"/>
      </w:pPr>
      <w:r>
        <w:t xml:space="preserve">Understand the presented evidence (Figures and Tables) of the paper</w:t>
      </w:r>
    </w:p>
    <w:bookmarkEnd w:id="187"/>
    <w:bookmarkStart w:id="188" w:name="introduction-5"/>
    <w:p>
      <w:pPr>
        <w:pStyle w:val="Heading3"/>
      </w:pPr>
      <w:r>
        <w:rPr>
          <w:rStyle w:val="SectionNumber"/>
        </w:rPr>
        <w:t xml:space="preserve">2.3.3</w:t>
      </w:r>
      <w:r>
        <w:tab/>
      </w:r>
      <w:r>
        <w:t xml:space="preserve">Introduction</w:t>
      </w:r>
    </w:p>
    <w:p>
      <w:pPr>
        <w:pStyle w:val="FirstParagraph"/>
      </w:pPr>
      <w:r>
        <w:t xml:space="preserve">In this study, the effect of fecal transplantation on microbial composition and diversity in children with CDI is examined using short read shotgun metagenomics. Data visualization and taxonomic comparison between the samples was performed using R-based phyloseq, a tool you will use for 16S rDNA amplicon-seq analysis later in the course. Using phyloseq authors measure alpha diversity between samples, examine beta diversity with Principal Coordinate Analysis(PCoA) plots and use taxonomy barplots for comparing relative abundance of microbes.</w:t>
      </w:r>
    </w:p>
    <w:bookmarkEnd w:id="188"/>
    <w:bookmarkStart w:id="189" w:name="instructions-1"/>
    <w:p>
      <w:pPr>
        <w:pStyle w:val="Heading3"/>
      </w:pPr>
      <w:r>
        <w:rPr>
          <w:rStyle w:val="SectionNumber"/>
        </w:rPr>
        <w:t xml:space="preserve">2.3.4</w:t>
      </w:r>
      <w:r>
        <w:tab/>
      </w:r>
      <w:r>
        <w:t xml:space="preserve">Instructions</w:t>
      </w:r>
    </w:p>
    <w:p>
      <w:pPr>
        <w:pStyle w:val="FirstParagraph"/>
      </w:pPr>
      <w:r>
        <w:t xml:space="preserve">Based on the study, answer the following questions. The main text of the paper can be found below, in the</w:t>
      </w:r>
      <w:r>
        <w:t xml:space="preserve"> </w:t>
      </w:r>
      <w:r>
        <w:t xml:space="preserve">‘</w:t>
      </w:r>
      <w:r>
        <w:t xml:space="preserve">Resources</w:t>
      </w:r>
      <w:r>
        <w:t xml:space="preserve">’</w:t>
      </w:r>
      <w:r>
        <w:t xml:space="preserve"> </w:t>
      </w:r>
      <w:r>
        <w:t xml:space="preserve">section of this assignment.</w:t>
      </w:r>
    </w:p>
    <w:bookmarkEnd w:id="189"/>
    <w:bookmarkStart w:id="190" w:name="activity-1---overview-of-the-paper"/>
    <w:p>
      <w:pPr>
        <w:pStyle w:val="Heading3"/>
      </w:pPr>
      <w:r>
        <w:rPr>
          <w:rStyle w:val="SectionNumber"/>
        </w:rPr>
        <w:t xml:space="preserve">2.3.5</w:t>
      </w:r>
      <w:r>
        <w:tab/>
      </w:r>
      <w:r>
        <w:t xml:space="preserve">Activity 1 - Overview of the paper</w:t>
      </w:r>
    </w:p>
    <w:p>
      <w:pPr>
        <w:pStyle w:val="FirstParagraph"/>
      </w:pPr>
      <w:r>
        <w:rPr>
          <w:iCs/>
          <w:i/>
        </w:rPr>
        <w:t xml:space="preserve">Estimated time: 30 minutes</w:t>
      </w:r>
      <w:r>
        <w:t xml:space="preserve"> </w:t>
      </w:r>
      <w:r>
        <w:t xml:space="preserve">Determine the main objectives and purpose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purpose of this study?</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hypothesis in this study?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Describe the knowledge gap. In essence, what did the scientific community not know that this study was trying to answer?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were the main conclusions the authors made in this study?</w:t>
            </w:r>
          </w:p>
        </w:tc>
      </w:tr>
      <w:tr>
        <w:tc>
          <w:tcPr/>
          <w:p>
            <w:pPr>
              <w:pStyle w:val="Compact"/>
              <w:jc w:val="left"/>
            </w:pPr>
          </w:p>
        </w:tc>
      </w:tr>
    </w:tbl>
    <w:p>
      <w:pPr>
        <w:pStyle w:val="BodyText"/>
      </w:pPr>
    </w:p>
    <w:bookmarkEnd w:id="190"/>
    <w:bookmarkStart w:id="195" w:name="X79a1c5953bce93f527c577d09a31e174a0dca84"/>
    <w:p>
      <w:pPr>
        <w:pStyle w:val="Heading3"/>
      </w:pPr>
      <w:r>
        <w:rPr>
          <w:rStyle w:val="SectionNumber"/>
        </w:rPr>
        <w:t xml:space="preserve">2.3.6</w:t>
      </w:r>
      <w:r>
        <w:tab/>
      </w:r>
      <w:r>
        <w:t xml:space="preserve">Activity 2 - Methods and Figure Analysis (in class and homework)</w:t>
      </w:r>
    </w:p>
    <w:p>
      <w:pPr>
        <w:pStyle w:val="FirstParagraph"/>
      </w:pPr>
      <w:r>
        <w:rPr>
          <w:iCs/>
          <w:i/>
        </w:rPr>
        <w:t xml:space="preserve">Estimated time: 45 minutes</w:t>
      </w:r>
    </w:p>
    <w:bookmarkStart w:id="191" w:name="X4d2dd1c27837ce92fb39d1b5ac256ed44ba63dd"/>
    <w:p>
      <w:pPr>
        <w:pStyle w:val="Heading4"/>
      </w:pPr>
      <w:r>
        <w:rPr>
          <w:rStyle w:val="SectionNumber"/>
        </w:rPr>
        <w:t xml:space="preserve">2.3.6.1</w:t>
      </w:r>
      <w:r>
        <w:tab/>
      </w:r>
      <w:r>
        <w:t xml:space="preserve">Activity 2.1 – Examine the Methods and Data presented in this study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Summarize one aspect of sample-associated metadata used for this study? e.g. What is the range of subjects’ age; what is the spectrum of subjects’ medical problems?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one method or analysis used in this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Summarize one figure presented in this paper.</w:t>
            </w:r>
          </w:p>
        </w:tc>
      </w:tr>
      <w:tr>
        <w:tc>
          <w:tcPr/>
          <w:p>
            <w:pPr>
              <w:pStyle w:val="Compact"/>
              <w:jc w:val="left"/>
            </w:pPr>
          </w:p>
        </w:tc>
      </w:tr>
    </w:tbl>
    <w:p>
      <w:pPr>
        <w:pStyle w:val="BodyText"/>
      </w:pPr>
    </w:p>
    <w:bookmarkEnd w:id="191"/>
    <w:bookmarkStart w:id="192" w:name="activity-2.2---figures-and-a-table"/>
    <w:p>
      <w:pPr>
        <w:pStyle w:val="Heading4"/>
      </w:pPr>
      <w:r>
        <w:rPr>
          <w:rStyle w:val="SectionNumber"/>
        </w:rPr>
        <w:t xml:space="preserve">2.3.6.2</w:t>
      </w:r>
      <w:r>
        <w:tab/>
      </w:r>
      <w:r>
        <w:t xml:space="preserve">Activity 2.2 - Figures and a Table</w:t>
      </w:r>
    </w:p>
    <w:p>
      <w:pPr>
        <w:pStyle w:val="FirstParagraph"/>
      </w:pPr>
      <w:r>
        <w:rPr>
          <w:bCs/>
          <w:b/>
        </w:rPr>
        <w:t xml:space="preserve">Describe the method/approach used to generate this data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Method/Approach</w:t>
            </w:r>
          </w:p>
        </w:tc>
      </w:tr>
      <w:tr>
        <w:tc>
          <w:tcPr/>
          <w:p>
            <w:pPr>
              <w:pStyle w:val="Compact"/>
              <w:jc w:val="left"/>
            </w:pPr>
            <w:r>
              <w:t xml:space="preserve">Table 1</w:t>
            </w:r>
          </w:p>
        </w:tc>
        <w:tc>
          <w:tcPr/>
          <w:p>
            <w:pPr>
              <w:pStyle w:val="Compact"/>
            </w:pPr>
          </w:p>
        </w:tc>
      </w:tr>
      <w:tr>
        <w:tc>
          <w:tcPr/>
          <w:p>
            <w:pPr>
              <w:pStyle w:val="Compact"/>
              <w:jc w:val="left"/>
            </w:pPr>
            <w:r>
              <w:t xml:space="preserve">Fig. 2</w:t>
            </w:r>
          </w:p>
        </w:tc>
        <w:tc>
          <w:tcPr/>
          <w:p>
            <w:pPr>
              <w:pStyle w:val="Compact"/>
            </w:pPr>
          </w:p>
        </w:tc>
      </w:tr>
      <w:tr>
        <w:tc>
          <w:tcPr/>
          <w:p>
            <w:pPr>
              <w:pStyle w:val="Compact"/>
              <w:jc w:val="left"/>
            </w:pPr>
            <w:r>
              <w:t xml:space="preserve">Fig. 3A</w:t>
            </w:r>
          </w:p>
        </w:tc>
        <w:tc>
          <w:tcPr/>
          <w:p>
            <w:pPr>
              <w:pStyle w:val="Compact"/>
            </w:pPr>
          </w:p>
        </w:tc>
      </w:tr>
      <w:tr>
        <w:tc>
          <w:tcPr/>
          <w:p>
            <w:pPr>
              <w:pStyle w:val="Compact"/>
              <w:jc w:val="left"/>
            </w:pPr>
            <w:r>
              <w:t xml:space="preserve">Fig. 3B</w:t>
            </w:r>
          </w:p>
        </w:tc>
        <w:tc>
          <w:tcPr/>
          <w:p>
            <w:pPr>
              <w:pStyle w:val="Compact"/>
            </w:pPr>
          </w:p>
        </w:tc>
      </w:tr>
    </w:tbl>
    <w:p>
      <w:pPr>
        <w:pStyle w:val="BodyText"/>
      </w:pPr>
    </w:p>
    <w:p>
      <w:pPr>
        <w:pStyle w:val="BodyText"/>
      </w:pPr>
      <w:r>
        <w:rPr>
          <w:bCs/>
          <w:b/>
        </w:rPr>
        <w:t xml:space="preserve">Describe the main result/observation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Main result/Observation</w:t>
            </w:r>
          </w:p>
        </w:tc>
      </w:tr>
      <w:tr>
        <w:tc>
          <w:tcPr/>
          <w:p>
            <w:pPr>
              <w:pStyle w:val="Compact"/>
              <w:jc w:val="left"/>
            </w:pPr>
            <w:r>
              <w:t xml:space="preserve">Table 1</w:t>
            </w:r>
          </w:p>
        </w:tc>
        <w:tc>
          <w:tcPr/>
          <w:p>
            <w:pPr>
              <w:pStyle w:val="Compact"/>
            </w:pPr>
          </w:p>
        </w:tc>
      </w:tr>
      <w:tr>
        <w:tc>
          <w:tcPr/>
          <w:p>
            <w:pPr>
              <w:pStyle w:val="Compact"/>
              <w:jc w:val="left"/>
            </w:pPr>
            <w:r>
              <w:t xml:space="preserve">Fig. 2</w:t>
            </w:r>
          </w:p>
        </w:tc>
        <w:tc>
          <w:tcPr/>
          <w:p>
            <w:pPr>
              <w:pStyle w:val="Compact"/>
            </w:pPr>
          </w:p>
        </w:tc>
      </w:tr>
      <w:tr>
        <w:tc>
          <w:tcPr/>
          <w:p>
            <w:pPr>
              <w:pStyle w:val="Compact"/>
              <w:jc w:val="left"/>
            </w:pPr>
            <w:r>
              <w:t xml:space="preserve">Fig. 3A</w:t>
            </w:r>
          </w:p>
        </w:tc>
        <w:tc>
          <w:tcPr/>
          <w:p>
            <w:pPr>
              <w:pStyle w:val="Compact"/>
            </w:pPr>
          </w:p>
        </w:tc>
      </w:tr>
      <w:tr>
        <w:tc>
          <w:tcPr/>
          <w:p>
            <w:pPr>
              <w:pStyle w:val="Compact"/>
              <w:jc w:val="left"/>
            </w:pPr>
            <w:r>
              <w:t xml:space="preserve">Fig. 3B</w:t>
            </w:r>
          </w:p>
        </w:tc>
        <w:tc>
          <w:tcPr/>
          <w:p>
            <w:pPr>
              <w:pStyle w:val="Compact"/>
            </w:pPr>
          </w:p>
        </w:tc>
      </w:tr>
    </w:tbl>
    <w:p>
      <w:pPr>
        <w:pStyle w:val="BodyText"/>
      </w:pPr>
    </w:p>
    <w:bookmarkEnd w:id="192"/>
    <w:bookmarkStart w:id="193" w:name="activity-3-conclusions"/>
    <w:p>
      <w:pPr>
        <w:pStyle w:val="Heading4"/>
      </w:pPr>
      <w:r>
        <w:rPr>
          <w:rStyle w:val="SectionNumber"/>
        </w:rPr>
        <w:t xml:space="preserve">2.3.6.3</w:t>
      </w:r>
      <w:r>
        <w:tab/>
      </w:r>
      <w:r>
        <w:t xml:space="preserve">Activity 3 Conclusions</w:t>
      </w:r>
    </w:p>
    <w:p>
      <w:pPr>
        <w:pStyle w:val="FirstParagraph"/>
      </w:pPr>
      <w:r>
        <w:rPr>
          <w:iCs/>
          <w:i/>
        </w:rPr>
        <w:t xml:space="preserve">Estimated time: 10 min</w:t>
      </w:r>
    </w:p>
    <w:p>
      <w:pPr>
        <w:pStyle w:val="BodyText"/>
      </w:pPr>
      <w:r>
        <w:rPr>
          <w:bCs/>
          <w:b/>
        </w:rPr>
        <w:t xml:space="preserve">1. Compare your conclusions to author conclusions.</w:t>
      </w:r>
    </w:p>
    <w:p>
      <w:pPr>
        <w:numPr>
          <w:ilvl w:val="0"/>
          <w:numId w:val="1061"/>
        </w:numPr>
        <w:pStyle w:val="Compact"/>
      </w:pPr>
      <w:r>
        <w:t xml:space="preserve">How similar are the conclusions you came up with to the authors?</w:t>
      </w:r>
    </w:p>
    <w:p>
      <w:pPr>
        <w:numPr>
          <w:ilvl w:val="0"/>
          <w:numId w:val="1061"/>
        </w:numPr>
        <w:pStyle w:val="Compact"/>
      </w:pPr>
      <w:r>
        <w:t xml:space="preserve">Were there any differences in interpreting the data?</w:t>
      </w:r>
    </w:p>
    <w:p>
      <w:pPr>
        <w:numPr>
          <w:ilvl w:val="0"/>
          <w:numId w:val="1061"/>
        </w:numPr>
        <w:pStyle w:val="Compact"/>
      </w:pPr>
      <w:r>
        <w:t xml:space="preserve">Do you think they are over-stating their findings? Do you think their conclusions are accurate and appropriate?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Summarize one figure presented in this paper.</w:t>
            </w:r>
          </w:p>
        </w:tc>
      </w:tr>
      <w:tr>
        <w:tc>
          <w:tcPr/>
          <w:p>
            <w:pPr>
              <w:pStyle w:val="Compact"/>
              <w:jc w:val="left"/>
            </w:pPr>
          </w:p>
        </w:tc>
      </w:tr>
    </w:tbl>
    <w:p>
      <w:pPr>
        <w:pStyle w:val="BodyText"/>
      </w:pPr>
    </w:p>
    <w:bookmarkEnd w:id="193"/>
    <w:bookmarkStart w:id="194" w:name="activity-4-future-directions"/>
    <w:p>
      <w:pPr>
        <w:pStyle w:val="Heading4"/>
      </w:pPr>
      <w:r>
        <w:rPr>
          <w:rStyle w:val="SectionNumber"/>
        </w:rPr>
        <w:t xml:space="preserve">2.3.6.4</w:t>
      </w:r>
      <w:r>
        <w:tab/>
      </w:r>
      <w:r>
        <w:t xml:space="preserve">Activity 4 Future Directions</w:t>
      </w:r>
    </w:p>
    <w:p>
      <w:pPr>
        <w:pStyle w:val="FirstParagraph"/>
      </w:pPr>
      <w:r>
        <w:rPr>
          <w:iCs/>
          <w:i/>
        </w:rPr>
        <w:t xml:space="preserve">Estimated time: 10 min</w:t>
      </w:r>
    </w:p>
    <w:p>
      <w:pPr>
        <w:pStyle w:val="BodyText"/>
      </w:pPr>
      <w:r>
        <w:rPr>
          <w:bCs/>
          <w:b/>
        </w:rPr>
        <w:t xml:space="preserve">1. Scientific work builds on previous studies. What do you believe could be the next step to further the work these researchers did?</w:t>
      </w:r>
      <w:r>
        <w:t xml:space="preserve"> </w:t>
      </w:r>
      <w:r>
        <w:t xml:space="preserve">- What follow-up question(s) do you have for the authors?</w:t>
      </w:r>
    </w:p>
    <w:tbl>
      <w:tblPr>
        <w:tblStyle w:val="Table"/>
        <w:tblW w:type="auto" w:w="0"/>
        <w:tblLook w:firstRow="0" w:lastRow="0" w:firstColumn="0" w:lastColumn="0" w:noHBand="0" w:noVBand="0" w:val="0000"/>
        <w:jc w:val="start"/>
      </w:tblPr>
      <w:tblGrid>
        <w:gridCol w:w="7920"/>
      </w:tblGrid>
      <w:tr>
        <w:tc>
          <w:tcPr/>
          <w:p>
            <w:pPr>
              <w:pStyle w:val="Compact"/>
              <w:jc w:val="left"/>
            </w:pPr>
          </w:p>
        </w:tc>
      </w:tr>
    </w:tbl>
    <w:p>
      <w:pPr>
        <w:pStyle w:val="BodyText"/>
      </w:pPr>
      <w:r>
        <w:rPr>
          <w:bCs/>
          <w:b/>
        </w:rPr>
        <w:t xml:space="preserve">2. What is the impact of this research area in general (or this study in particular?)</w:t>
      </w:r>
      <w:r>
        <w:t xml:space="preserve"> </w:t>
      </w:r>
      <w:r>
        <w:t xml:space="preserve">- Do you believe further research in this area may benefit society? Can we build on what this study found?</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194"/>
    <w:bookmarkEnd w:id="195"/>
    <w:bookmarkStart w:id="196" w:name="grading-criteria-1"/>
    <w:p>
      <w:pPr>
        <w:pStyle w:val="Heading3"/>
      </w:pPr>
      <w:r>
        <w:rPr>
          <w:rStyle w:val="SectionNumber"/>
        </w:rPr>
        <w:t xml:space="preserve">2.3.7</w:t>
      </w:r>
      <w:r>
        <w:tab/>
      </w:r>
      <w:r>
        <w:t xml:space="preserve">Grading criteria</w:t>
      </w:r>
    </w:p>
    <w:p>
      <w:pPr>
        <w:pStyle w:val="FirstParagraph"/>
      </w:pPr>
      <w:r>
        <w:t xml:space="preserve">Download the assignment to your local computer as a .docx, complete it, and upload the assignment to your LMS (Blackboard, Canvas, Google Classroom).</w:t>
      </w:r>
    </w:p>
    <w:bookmarkEnd w:id="196"/>
    <w:bookmarkStart w:id="200" w:name="footnotes-4"/>
    <w:p>
      <w:pPr>
        <w:pStyle w:val="Heading3"/>
      </w:pPr>
      <w:r>
        <w:rPr>
          <w:rStyle w:val="SectionNumber"/>
        </w:rPr>
        <w:t xml:space="preserve">2.3.8</w:t>
      </w:r>
      <w:r>
        <w:tab/>
      </w:r>
      <w:r>
        <w:t xml:space="preserve">Footnotes</w:t>
      </w:r>
    </w:p>
    <w:bookmarkStart w:id="198" w:name="resources-8"/>
    <w:p>
      <w:pPr>
        <w:pStyle w:val="Heading4"/>
      </w:pPr>
      <w:r>
        <w:rPr>
          <w:rStyle w:val="SectionNumber"/>
        </w:rPr>
        <w:t xml:space="preserve">2.3.8.1</w:t>
      </w:r>
      <w:r>
        <w:tab/>
      </w:r>
      <w:r>
        <w:t xml:space="preserve">Resources</w:t>
      </w:r>
    </w:p>
    <w:p>
      <w:pPr>
        <w:numPr>
          <w:ilvl w:val="0"/>
          <w:numId w:val="1062"/>
        </w:numPr>
      </w:pPr>
      <w:hyperlink r:id="rId197">
        <w:r>
          <w:rPr>
            <w:rStyle w:val="Hyperlink"/>
          </w:rPr>
          <w:t xml:space="preserve">Google Doc</w:t>
        </w:r>
      </w:hyperlink>
    </w:p>
    <w:p>
      <w:pPr>
        <w:numPr>
          <w:ilvl w:val="0"/>
          <w:numId w:val="1062"/>
        </w:numPr>
      </w:pPr>
      <w:hyperlink r:id="rId172">
        <w:r>
          <w:rPr>
            <w:rStyle w:val="Hyperlink"/>
          </w:rPr>
          <w:t xml:space="preserve">Paper</w:t>
        </w:r>
      </w:hyperlink>
    </w:p>
    <w:bookmarkEnd w:id="198"/>
    <w:bookmarkStart w:id="199" w:name="contributions-and-affiliations-4"/>
    <w:p>
      <w:pPr>
        <w:pStyle w:val="Heading4"/>
      </w:pPr>
      <w:r>
        <w:rPr>
          <w:rStyle w:val="SectionNumber"/>
        </w:rPr>
        <w:t xml:space="preserve">2.3.8.2</w:t>
      </w:r>
      <w:r>
        <w:tab/>
      </w:r>
      <w:r>
        <w:t xml:space="preserve">Contributions and affiliations</w:t>
      </w:r>
    </w:p>
    <w:p>
      <w:pPr>
        <w:numPr>
          <w:ilvl w:val="0"/>
          <w:numId w:val="1063"/>
        </w:numPr>
        <w:pStyle w:val="Compact"/>
      </w:pPr>
      <w:r>
        <w:t xml:space="preserve">Valeriya Gaysinskaya, Johns Hopkins University</w:t>
      </w:r>
    </w:p>
    <w:p>
      <w:pPr>
        <w:numPr>
          <w:ilvl w:val="0"/>
          <w:numId w:val="1063"/>
        </w:numPr>
        <w:pStyle w:val="Compact"/>
      </w:pPr>
      <w:r>
        <w:t xml:space="preserve">Frederick Tan, Johns Hopkins University</w:t>
      </w:r>
    </w:p>
    <w:p>
      <w:pPr>
        <w:numPr>
          <w:ilvl w:val="0"/>
          <w:numId w:val="1063"/>
        </w:numPr>
        <w:pStyle w:val="Compact"/>
      </w:pPr>
      <w:r>
        <w:t xml:space="preserve">Sayumi York, Notre Dame of Maryland University</w:t>
      </w:r>
    </w:p>
    <w:bookmarkEnd w:id="199"/>
    <w:bookmarkEnd w:id="200"/>
    <w:bookmarkEnd w:id="201"/>
    <w:bookmarkEnd w:id="202"/>
    <w:bookmarkStart w:id="253" w:name="s-rrna-data-in-spreadsheets"/>
    <w:p>
      <w:pPr>
        <w:pStyle w:val="Heading1"/>
      </w:pPr>
      <w:r>
        <w:rPr>
          <w:rStyle w:val="SectionNumber"/>
        </w:rPr>
        <w:t xml:space="preserve">3</w:t>
      </w:r>
      <w:r>
        <w:tab/>
      </w:r>
      <w:r>
        <w:t xml:space="preserve">16S rRNA Data in spreadsheets</w:t>
      </w:r>
    </w:p>
    <w:bookmarkStart w:id="224" w:name="meet-the-miso-study"/>
    <w:p>
      <w:pPr>
        <w:pStyle w:val="Heading2"/>
      </w:pPr>
      <w:r>
        <w:rPr>
          <w:rStyle w:val="SectionNumber"/>
        </w:rPr>
        <w:t xml:space="preserve">3.1</w:t>
      </w:r>
      <w:r>
        <w:tab/>
      </w:r>
      <w:r>
        <w:t xml:space="preserve">Meet the MISO study</w:t>
      </w:r>
    </w:p>
    <w:p>
      <w:pPr>
        <w:pStyle w:val="FirstParagraph"/>
      </w:pPr>
      <w:r>
        <w:t xml:space="preserve">Let’s get prepared to do some research using 16S rRNA data! In this section, we’ll be exploring data from</w:t>
      </w:r>
      <w:r>
        <w:t xml:space="preserve"> </w:t>
      </w:r>
      <w:r>
        <w:rPr>
          <w:iCs/>
          <w:i/>
        </w:rPr>
        <w:t xml:space="preserve">Impact of a 7-day homogeneous diet on interpersonal variation in human gut microbiomes and metabolomes</w:t>
      </w:r>
      <w:r>
        <w:t xml:space="preserve"> </w:t>
      </w:r>
      <w:r>
        <w:t xml:space="preserve">by Guthrie et al. (2022). This study is one of many that explores the relationship between diet and the human gut microbiome and will help familiarize us with the format that 16S rRNA data takes. We’ll start slow and look at just a few lines of data in Google Sheets and then use phyloseq and DESeq2 in R to take our analysis to the next level.</w:t>
      </w:r>
    </w:p>
    <w:p>
      <w:pPr>
        <w:pStyle w:val="BodyText"/>
      </w:pPr>
      <w:r>
        <w:t xml:space="preserve">Human diet has been implicated heavily in the establishment and maintenance of the gut microbiome. For example, human babies undergo a drastic change in the gut microbiome following the transition to solid food.</w:t>
      </w:r>
    </w:p>
    <w:p>
      <w:pPr>
        <w:pStyle w:val="BodyText"/>
      </w:pPr>
      <w:r>
        <w:t xml:space="preserve">It’s difficult to capture the mechanisms and effects of diet on the gut microbiome given the sheer number of variables involved. The microbiome individuality and stability over time (MISO) study aimed to explore the connection between diet, microbiome, and metabolites by looking at the effect of feeding a standardized diet to people over 7 days.</w:t>
      </w:r>
    </w:p>
    <w:bookmarkStart w:id="206" w:name="miso-study-diet-and-sampling-schedule"/>
    <w:p>
      <w:pPr>
        <w:pStyle w:val="Heading3"/>
      </w:pPr>
      <w:r>
        <w:rPr>
          <w:rStyle w:val="SectionNumber"/>
        </w:rPr>
        <w:t xml:space="preserve">3.1.1</w:t>
      </w:r>
      <w:r>
        <w:tab/>
      </w:r>
      <w:r>
        <w:t xml:space="preserve">MISO study diet and sampling schedule</w:t>
      </w:r>
    </w:p>
    <w:p>
      <w:pPr>
        <w:pStyle w:val="FirstParagraph"/>
      </w:pPr>
      <w:r>
        <w:drawing>
          <wp:inline>
            <wp:extent cx="5334000" cy="3000375"/>
            <wp:effectExtent b="0" l="0" r="0" t="0"/>
            <wp:docPr descr="" title="" id="204" name="Picture"/>
            <a:graphic>
              <a:graphicData uri="http://schemas.openxmlformats.org/drawingml/2006/picture">
                <pic:pic>
                  <pic:nvPicPr>
                    <pic:cNvPr descr="16s-spreadsheets_files/figure-docx//1dEZtb0TgLbzhbr3HxQElwg8hENur2HMIzseg19OGd0g_g33d6fd7d4b6_0_27.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figure above shows the study design for the MISO study. You do not need to memorize all these details; feel free to refer to this page throughout the project:</w:t>
      </w:r>
    </w:p>
    <w:p>
      <w:pPr>
        <w:numPr>
          <w:ilvl w:val="0"/>
          <w:numId w:val="1064"/>
        </w:numPr>
        <w:pStyle w:val="Compact"/>
      </w:pPr>
      <w:r>
        <w:t xml:space="preserve">Participants eat their usual,</w:t>
      </w:r>
      <w:r>
        <w:t xml:space="preserve"> </w:t>
      </w:r>
      <w:r>
        <w:rPr>
          <w:bCs/>
          <w:b/>
        </w:rPr>
        <w:t xml:space="preserve">baseline diet (BD) for 14 days</w:t>
      </w:r>
    </w:p>
    <w:p>
      <w:pPr>
        <w:numPr>
          <w:ilvl w:val="0"/>
          <w:numId w:val="1064"/>
        </w:numPr>
        <w:pStyle w:val="Compact"/>
      </w:pPr>
      <w:r>
        <w:t xml:space="preserve">Participants all eat the same diet, the</w:t>
      </w:r>
      <w:r>
        <w:t xml:space="preserve"> </w:t>
      </w:r>
      <w:r>
        <w:rPr>
          <w:bCs/>
          <w:b/>
        </w:rPr>
        <w:t xml:space="preserve">homogenized diet (HD), for 7 days</w:t>
      </w:r>
    </w:p>
    <w:p>
      <w:pPr>
        <w:numPr>
          <w:ilvl w:val="0"/>
          <w:numId w:val="1064"/>
        </w:numPr>
        <w:pStyle w:val="Compact"/>
      </w:pPr>
      <w:r>
        <w:t xml:space="preserve">Participants return to their usual diet during the</w:t>
      </w:r>
      <w:r>
        <w:t xml:space="preserve"> </w:t>
      </w:r>
      <w:r>
        <w:rPr>
          <w:bCs/>
          <w:b/>
        </w:rPr>
        <w:t xml:space="preserve">washout (WO) period for 7 days</w:t>
      </w:r>
    </w:p>
    <w:p>
      <w:pPr>
        <w:pStyle w:val="FirstParagraph"/>
      </w:pPr>
      <w:r>
        <w:t xml:space="preserve">The study lasts a total of 28 days. Samples from the blood, stool, and urine, our metabolite and 16S rRNA data are taken at 5 different timepoints:</w:t>
      </w:r>
    </w:p>
    <w:p>
      <w:pPr>
        <w:numPr>
          <w:ilvl w:val="0"/>
          <w:numId w:val="1065"/>
        </w:numPr>
        <w:pStyle w:val="Compact"/>
      </w:pPr>
      <w:r>
        <w:rPr>
          <w:bCs/>
          <w:b/>
        </w:rPr>
        <w:t xml:space="preserve">Timepoint 1:</w:t>
      </w:r>
      <w:r>
        <w:t xml:space="preserve"> </w:t>
      </w:r>
      <w:r>
        <w:t xml:space="preserve">Day 0 (the start of the study)</w:t>
      </w:r>
    </w:p>
    <w:p>
      <w:pPr>
        <w:numPr>
          <w:ilvl w:val="0"/>
          <w:numId w:val="1065"/>
        </w:numPr>
        <w:pStyle w:val="Compact"/>
      </w:pPr>
      <w:r>
        <w:rPr>
          <w:bCs/>
          <w:b/>
        </w:rPr>
        <w:t xml:space="preserve">Timepoint 2:</w:t>
      </w:r>
      <w:r>
        <w:t xml:space="preserve"> </w:t>
      </w:r>
      <w:r>
        <w:t xml:space="preserve">Day 13</w:t>
      </w:r>
    </w:p>
    <w:p>
      <w:pPr>
        <w:numPr>
          <w:ilvl w:val="0"/>
          <w:numId w:val="1065"/>
        </w:numPr>
        <w:pStyle w:val="Compact"/>
      </w:pPr>
      <w:r>
        <w:rPr>
          <w:bCs/>
          <w:b/>
        </w:rPr>
        <w:t xml:space="preserve">Timepoint 3:</w:t>
      </w:r>
      <w:r>
        <w:t xml:space="preserve"> </w:t>
      </w:r>
      <w:r>
        <w:t xml:space="preserve">Day 17</w:t>
      </w:r>
    </w:p>
    <w:p>
      <w:pPr>
        <w:numPr>
          <w:ilvl w:val="0"/>
          <w:numId w:val="1065"/>
        </w:numPr>
        <w:pStyle w:val="Compact"/>
      </w:pPr>
      <w:r>
        <w:rPr>
          <w:bCs/>
          <w:b/>
        </w:rPr>
        <w:t xml:space="preserve">Timepoint 4:</w:t>
      </w:r>
      <w:r>
        <w:t xml:space="preserve"> </w:t>
      </w:r>
      <w:r>
        <w:t xml:space="preserve">Day 21</w:t>
      </w:r>
    </w:p>
    <w:p>
      <w:pPr>
        <w:numPr>
          <w:ilvl w:val="0"/>
          <w:numId w:val="1065"/>
        </w:numPr>
        <w:pStyle w:val="Compact"/>
      </w:pPr>
      <w:r>
        <w:rPr>
          <w:bCs/>
          <w:b/>
        </w:rPr>
        <w:t xml:space="preserve">Timepoint 5:</w:t>
      </w:r>
      <w:r>
        <w:t xml:space="preserve"> </w:t>
      </w:r>
      <w:r>
        <w:t xml:space="preserve">Day 28</w:t>
      </w:r>
    </w:p>
    <w:bookmarkEnd w:id="206"/>
    <w:bookmarkStart w:id="213" w:name="miso-study-variables-and-factors"/>
    <w:p>
      <w:pPr>
        <w:pStyle w:val="Heading3"/>
      </w:pPr>
      <w:r>
        <w:rPr>
          <w:rStyle w:val="SectionNumber"/>
        </w:rPr>
        <w:t xml:space="preserve">3.1.2</w:t>
      </w:r>
      <w:r>
        <w:tab/>
      </w:r>
      <w:r>
        <w:t xml:space="preserve">MISO study variables and factors</w:t>
      </w:r>
    </w:p>
    <w:p>
      <w:pPr>
        <w:pStyle w:val="FirstParagraph"/>
      </w:pPr>
      <w:r>
        <w:drawing>
          <wp:inline>
            <wp:extent cx="5334000" cy="3000375"/>
            <wp:effectExtent b="0" l="0" r="0" t="0"/>
            <wp:docPr descr="" title="" id="208" name="Picture"/>
            <a:graphic>
              <a:graphicData uri="http://schemas.openxmlformats.org/drawingml/2006/picture">
                <pic:pic>
                  <pic:nvPicPr>
                    <pic:cNvPr descr="16s-spreadsheets_files/figure-docx//1dEZtb0TgLbzhbr3HxQElwg8hENur2HMIzseg19OGd0g_g33d6fd7d4b6_0_61.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have a number of variables we can use in our analysis. Notice that the variables for the study and subjects are in lowercase. This is also how you will access these variables in R.</w:t>
      </w:r>
    </w:p>
    <w:bookmarkStart w:id="210" w:name="study-design-variables"/>
    <w:p>
      <w:pPr>
        <w:pStyle w:val="Heading4"/>
      </w:pPr>
      <w:r>
        <w:rPr>
          <w:rStyle w:val="SectionNumber"/>
        </w:rPr>
        <w:t xml:space="preserve">3.1.2.1</w:t>
      </w:r>
      <w:r>
        <w:tab/>
      </w:r>
      <w:r>
        <w:t xml:space="preserve">Study design variables</w:t>
      </w:r>
    </w:p>
    <w:tbl>
      <w:tblPr>
        <w:tblStyle w:val="Table"/>
        <w:tblW w:type="pct" w:w="5000"/>
        <w:tblLook w:firstRow="1" w:lastRow="0" w:firstColumn="0" w:lastColumn="0" w:noHBand="0" w:noVBand="0" w:val="0020"/>
        <w:jc w:val="start"/>
      </w:tblPr>
      <w:tblGrid>
        <w:gridCol w:w="1650"/>
        <w:gridCol w:w="4620"/>
        <w:gridCol w:w="165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timepoint</w:t>
            </w:r>
          </w:p>
        </w:tc>
        <w:tc>
          <w:tcPr/>
          <w:p>
            <w:pPr>
              <w:pStyle w:val="Compact"/>
              <w:jc w:val="left"/>
            </w:pPr>
            <w:r>
              <w:t xml:space="preserve">The 5 samplings that occur on days 0, 13, 17, 21, and 28 coded as timepoints 1 through 5</w:t>
            </w:r>
          </w:p>
        </w:tc>
        <w:tc>
          <w:tcPr/>
          <w:p>
            <w:pPr>
              <w:pStyle w:val="Compact"/>
              <w:jc w:val="right"/>
            </w:pPr>
            <w:r>
              <w:t xml:space="preserve">1, 2, 3, 4, 5</w:t>
            </w:r>
          </w:p>
        </w:tc>
      </w:tr>
      <w:tr>
        <w:tc>
          <w:tcPr/>
          <w:p>
            <w:pPr>
              <w:pStyle w:val="Compact"/>
              <w:jc w:val="left"/>
            </w:pPr>
            <w:r>
              <w:t xml:space="preserve">diet</w:t>
            </w:r>
          </w:p>
        </w:tc>
        <w:tc>
          <w:tcPr/>
          <w:p>
            <w:pPr>
              <w:pStyle w:val="Compact"/>
              <w:jc w:val="left"/>
            </w:pPr>
            <w:r>
              <w:t xml:space="preserve">The diet the subject was on during the sampling</w:t>
            </w:r>
          </w:p>
        </w:tc>
        <w:tc>
          <w:tcPr/>
          <w:p>
            <w:pPr>
              <w:pStyle w:val="Compact"/>
              <w:jc w:val="right"/>
            </w:pPr>
            <w:r>
              <w:t xml:space="preserve">BD, HD, WO</w:t>
            </w:r>
          </w:p>
        </w:tc>
      </w:tr>
    </w:tbl>
    <w:bookmarkEnd w:id="210"/>
    <w:bookmarkStart w:id="211" w:name="subject-variables"/>
    <w:p>
      <w:pPr>
        <w:pStyle w:val="Heading4"/>
      </w:pPr>
      <w:r>
        <w:rPr>
          <w:rStyle w:val="SectionNumber"/>
        </w:rPr>
        <w:t xml:space="preserve">3.1.2.2</w:t>
      </w:r>
      <w:r>
        <w:tab/>
      </w:r>
      <w:r>
        <w:t xml:space="preserve">Subject variables</w:t>
      </w:r>
    </w:p>
    <w:tbl>
      <w:tblPr>
        <w:tblStyle w:val="Table"/>
        <w:tblW w:type="pct" w:w="5000"/>
        <w:tblLook w:firstRow="1" w:lastRow="0" w:firstColumn="0" w:lastColumn="0" w:noHBand="0" w:noVBand="0" w:val="0020"/>
        <w:jc w:val="start"/>
      </w:tblPr>
      <w:tblGrid>
        <w:gridCol w:w="1440"/>
        <w:gridCol w:w="2880"/>
        <w:gridCol w:w="360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subject</w:t>
            </w:r>
          </w:p>
        </w:tc>
        <w:tc>
          <w:tcPr/>
          <w:p>
            <w:pPr>
              <w:pStyle w:val="Compact"/>
              <w:jc w:val="left"/>
            </w:pPr>
            <w:r>
              <w:t xml:space="preserve">A unique ID given to each subject (participant)</w:t>
            </w:r>
          </w:p>
        </w:tc>
        <w:tc>
          <w:tcPr/>
          <w:p>
            <w:pPr>
              <w:pStyle w:val="Compact"/>
              <w:jc w:val="right"/>
            </w:pPr>
            <w:r>
              <w:t xml:space="preserve">S## (ex. S02 is subject 2. Note that while there are a total of 21 subjects in the study, but their subject numbers are not 1 through 20</w:t>
            </w:r>
          </w:p>
        </w:tc>
      </w:tr>
      <w:tr>
        <w:tc>
          <w:tcPr/>
          <w:p>
            <w:pPr>
              <w:pStyle w:val="Compact"/>
              <w:jc w:val="left"/>
            </w:pPr>
            <w:r>
              <w:t xml:space="preserve">sample</w:t>
            </w:r>
          </w:p>
        </w:tc>
        <w:tc>
          <w:tcPr/>
          <w:p>
            <w:pPr>
              <w:pStyle w:val="Compact"/>
              <w:jc w:val="left"/>
            </w:pPr>
            <w:r>
              <w:t xml:space="preserve">A unique ID given to every sample taken during the study that includes the subject and timepoint of the sample</w:t>
            </w:r>
          </w:p>
        </w:tc>
        <w:tc>
          <w:tcPr/>
          <w:p>
            <w:pPr>
              <w:pStyle w:val="Compact"/>
              <w:jc w:val="right"/>
            </w:pPr>
            <w:r>
              <w:t xml:space="preserve">MISO-Subject##-Sample# (ex. MISO1-S02-1 is the sample from subject 2 at timepoint 1)</w:t>
            </w:r>
          </w:p>
        </w:tc>
      </w:tr>
      <w:tr>
        <w:tc>
          <w:tcPr/>
          <w:p>
            <w:pPr>
              <w:pStyle w:val="Compact"/>
              <w:jc w:val="left"/>
            </w:pPr>
            <w:r>
              <w:t xml:space="preserve">gender</w:t>
            </w:r>
          </w:p>
        </w:tc>
        <w:tc>
          <w:tcPr/>
          <w:p>
            <w:pPr>
              <w:pStyle w:val="Compact"/>
              <w:jc w:val="left"/>
            </w:pPr>
            <w:r>
              <w:t xml:space="preserve">The gender of the subject</w:t>
            </w:r>
          </w:p>
        </w:tc>
        <w:tc>
          <w:tcPr/>
          <w:p>
            <w:pPr>
              <w:pStyle w:val="Compact"/>
              <w:jc w:val="right"/>
            </w:pPr>
            <w:r>
              <w:t xml:space="preserve">M, F. All subjects were cisgender</w:t>
            </w:r>
          </w:p>
        </w:tc>
      </w:tr>
      <w:tr>
        <w:tc>
          <w:tcPr/>
          <w:p>
            <w:pPr>
              <w:pStyle w:val="Compact"/>
              <w:jc w:val="left"/>
            </w:pPr>
            <w:r>
              <w:t xml:space="preserve">age</w:t>
            </w:r>
          </w:p>
        </w:tc>
        <w:tc>
          <w:tcPr/>
          <w:p>
            <w:pPr>
              <w:pStyle w:val="Compact"/>
              <w:jc w:val="left"/>
            </w:pPr>
            <w:r>
              <w:t xml:space="preserve">The age in years of the subject</w:t>
            </w:r>
          </w:p>
        </w:tc>
        <w:tc>
          <w:tcPr/>
          <w:p>
            <w:pPr>
              <w:pStyle w:val="Compact"/>
              <w:jc w:val="right"/>
            </w:pPr>
            <w:r>
              <w:t xml:space="preserve">A continuous variable from 23 to 75 years old</w:t>
            </w:r>
          </w:p>
        </w:tc>
      </w:tr>
      <w:tr>
        <w:tc>
          <w:tcPr/>
          <w:p>
            <w:pPr>
              <w:pStyle w:val="Compact"/>
              <w:jc w:val="left"/>
            </w:pPr>
            <w:r>
              <w:t xml:space="preserve">bsa</w:t>
            </w:r>
          </w:p>
        </w:tc>
        <w:tc>
          <w:tcPr/>
          <w:p>
            <w:pPr>
              <w:pStyle w:val="Compact"/>
              <w:jc w:val="left"/>
            </w:pPr>
            <w:r>
              <w:t xml:space="preserve">Body surface area; a measure of body size</w:t>
            </w:r>
          </w:p>
        </w:tc>
        <w:tc>
          <w:tcPr/>
          <w:p>
            <w:pPr>
              <w:pStyle w:val="Compact"/>
              <w:jc w:val="right"/>
            </w:pPr>
            <w:r>
              <w:t xml:space="preserve">A continuous variable from 1.6 to 2.8</w:t>
            </w:r>
          </w:p>
        </w:tc>
      </w:tr>
    </w:tbl>
    <w:bookmarkEnd w:id="211"/>
    <w:bookmarkStart w:id="212" w:name="metabolite-variables"/>
    <w:p>
      <w:pPr>
        <w:pStyle w:val="Heading4"/>
      </w:pPr>
      <w:r>
        <w:rPr>
          <w:rStyle w:val="SectionNumber"/>
        </w:rPr>
        <w:t xml:space="preserve">3.1.2.3</w:t>
      </w:r>
      <w:r>
        <w:tab/>
      </w:r>
      <w:r>
        <w:t xml:space="preserve">Metabolite variables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Creatinine</w:t>
            </w:r>
          </w:p>
        </w:tc>
        <w:tc>
          <w:tcPr/>
          <w:p>
            <w:pPr>
              <w:pStyle w:val="Compact"/>
              <w:jc w:val="left"/>
            </w:pPr>
            <w:r>
              <w:t xml:space="preserve">Creatinine</w:t>
            </w:r>
          </w:p>
        </w:tc>
        <w:tc>
          <w:tcPr/>
          <w:p>
            <w:pPr>
              <w:pStyle w:val="Compact"/>
              <w:jc w:val="right"/>
            </w:pPr>
            <w:r>
              <w:t xml:space="preserve">A continuous variable from 1072 to 3971</w:t>
            </w:r>
          </w:p>
        </w:tc>
      </w:tr>
      <w:tr>
        <w:tc>
          <w:tcPr/>
          <w:p>
            <w:pPr>
              <w:pStyle w:val="Compact"/>
              <w:jc w:val="left"/>
            </w:pPr>
            <w:r>
              <w:t xml:space="preserve">PCS</w:t>
            </w:r>
          </w:p>
        </w:tc>
        <w:tc>
          <w:tcPr/>
          <w:p>
            <w:pPr>
              <w:pStyle w:val="Compact"/>
              <w:jc w:val="left"/>
            </w:pPr>
            <w:r>
              <w:rPr>
                <w:iCs/>
                <w:i/>
              </w:rPr>
              <w:t xml:space="preserve">p</w:t>
            </w:r>
            <w:r>
              <w:t xml:space="preserve">-cresol sulfate</w:t>
            </w:r>
          </w:p>
        </w:tc>
        <w:tc>
          <w:tcPr/>
          <w:p>
            <w:pPr>
              <w:pStyle w:val="Compact"/>
              <w:jc w:val="right"/>
            </w:pPr>
            <w:r>
              <w:t xml:space="preserve">A continuous variable from 2 to 95</w:t>
            </w:r>
          </w:p>
        </w:tc>
      </w:tr>
      <w:tr>
        <w:tc>
          <w:tcPr/>
          <w:p>
            <w:pPr>
              <w:pStyle w:val="Compact"/>
              <w:jc w:val="left"/>
            </w:pPr>
            <w:r>
              <w:t xml:space="preserve">IS</w:t>
            </w:r>
          </w:p>
        </w:tc>
        <w:tc>
          <w:tcPr/>
          <w:p>
            <w:pPr>
              <w:pStyle w:val="Compact"/>
              <w:jc w:val="left"/>
            </w:pPr>
            <w:r>
              <w:t xml:space="preserve">Indoxyl sulfate</w:t>
            </w:r>
          </w:p>
        </w:tc>
        <w:tc>
          <w:tcPr/>
          <w:p>
            <w:pPr>
              <w:pStyle w:val="Compact"/>
              <w:jc w:val="right"/>
            </w:pPr>
            <w:r>
              <w:t xml:space="preserve">A continuous variable from 3 to 58</w:t>
            </w:r>
          </w:p>
        </w:tc>
      </w:tr>
      <w:tr>
        <w:tc>
          <w:tcPr/>
          <w:p>
            <w:pPr>
              <w:pStyle w:val="Compact"/>
              <w:jc w:val="left"/>
            </w:pPr>
            <w:r>
              <w:t xml:space="preserve">HIPP</w:t>
            </w:r>
          </w:p>
        </w:tc>
        <w:tc>
          <w:tcPr/>
          <w:p>
            <w:pPr>
              <w:pStyle w:val="Compact"/>
              <w:jc w:val="left"/>
            </w:pPr>
            <w:r>
              <w:t xml:space="preserve">Hippuric acid</w:t>
            </w:r>
          </w:p>
        </w:tc>
        <w:tc>
          <w:tcPr/>
          <w:p>
            <w:pPr>
              <w:pStyle w:val="Compact"/>
              <w:jc w:val="right"/>
            </w:pPr>
            <w:r>
              <w:t xml:space="preserve">A continuous variable from 16 to 1119</w:t>
            </w:r>
          </w:p>
        </w:tc>
      </w:tr>
      <w:tr>
        <w:tc>
          <w:tcPr/>
          <w:p>
            <w:pPr>
              <w:pStyle w:val="Compact"/>
              <w:jc w:val="left"/>
            </w:pPr>
            <w:r>
              <w:t xml:space="preserve">PAG</w:t>
            </w:r>
          </w:p>
        </w:tc>
        <w:tc>
          <w:tcPr/>
          <w:p>
            <w:pPr>
              <w:pStyle w:val="Compact"/>
              <w:jc w:val="left"/>
            </w:pPr>
            <w:r>
              <w:t xml:space="preserve">Phenylacetylglutamine</w:t>
            </w:r>
          </w:p>
        </w:tc>
        <w:tc>
          <w:tcPr/>
          <w:p>
            <w:pPr>
              <w:pStyle w:val="Compact"/>
              <w:jc w:val="right"/>
            </w:pPr>
            <w:r>
              <w:t xml:space="preserve">A continuous variable from 16 to 318</w:t>
            </w:r>
          </w:p>
        </w:tc>
      </w:tr>
    </w:tbl>
    <w:bookmarkEnd w:id="212"/>
    <w:bookmarkEnd w:id="213"/>
    <w:bookmarkStart w:id="220" w:name="amplicon-sequence-variants-asvs-data"/>
    <w:p>
      <w:pPr>
        <w:pStyle w:val="Heading3"/>
      </w:pPr>
      <w:r>
        <w:rPr>
          <w:rStyle w:val="SectionNumber"/>
        </w:rPr>
        <w:t xml:space="preserve">3.1.3</w:t>
      </w:r>
      <w:r>
        <w:tab/>
      </w:r>
      <w:r>
        <w:t xml:space="preserve">Amplicon sequence variants (ASVs) data</w:t>
      </w:r>
    </w:p>
    <w:p>
      <w:pPr>
        <w:pStyle w:val="FirstParagraph"/>
      </w:pPr>
      <w:r>
        <w:t xml:space="preserve">Finally we have our microbe count data, or our</w:t>
      </w:r>
      <w:r>
        <w:t xml:space="preserve"> </w:t>
      </w:r>
      <w:r>
        <w:rPr>
          <w:iCs/>
          <w:i/>
        </w:rPr>
        <w:t xml:space="preserve">Amplicon Sequence Variants (ASVs)</w:t>
      </w:r>
      <w:r>
        <w:t xml:space="preserve">. Each ASV is a unique sequences that differs by as little as a single nucleotide from other ASVs and represents a specific microbe. We have assigned taxonomy to these microbes, but not all microbes have taxonomic data through the species level. These missing fields will appear as NA in the data.</w:t>
      </w:r>
    </w:p>
    <w:p>
      <w:pPr>
        <w:pStyle w:val="BodyText"/>
      </w:pPr>
      <w:r>
        <w:drawing>
          <wp:inline>
            <wp:extent cx="5334000" cy="3000375"/>
            <wp:effectExtent b="0" l="0" r="0" t="0"/>
            <wp:docPr descr="" title="" id="215" name="Picture"/>
            <a:graphic>
              <a:graphicData uri="http://schemas.openxmlformats.org/drawingml/2006/picture">
                <pic:pic>
                  <pic:nvPicPr>
                    <pic:cNvPr descr="16s-spreadsheets_files/figure-docx//1dEZtb0TgLbzhbr3HxQElwg8hENur2HMIzseg19OGd0g_g33d6fd7d4b6_0_136.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may see the word Operational Taxonomic Unit (OTU) in phyloseq and in other published studies.</w:t>
      </w:r>
      <w:r>
        <w:t xml:space="preserve"> </w:t>
      </w:r>
      <w:r>
        <w:rPr>
          <w:bCs/>
          <w:b/>
        </w:rPr>
        <w:t xml:space="preserve">ASVs and OTUs have some differences between them but they both represent distinct units of microbial taxa</w:t>
      </w:r>
      <w:r>
        <w:t xml:space="preserve">, although they have some key differences.</w:t>
      </w:r>
    </w:p>
    <w:p>
      <w:pPr>
        <w:pStyle w:val="BodyText"/>
      </w:pPr>
      <w:r>
        <w:t xml:space="preserve">Each sample is associated with a count of each ASV. We can compare the counts of these ASVs between samples to determine differences in the composition of the microbiome between samples.</w:t>
      </w:r>
    </w:p>
    <w:p>
      <w:pPr>
        <w:pStyle w:val="BodyText"/>
      </w:pPr>
      <w:r>
        <w:drawing>
          <wp:inline>
            <wp:extent cx="5334000" cy="3000375"/>
            <wp:effectExtent b="0" l="0" r="0" t="0"/>
            <wp:docPr descr="" title="" id="218" name="Picture"/>
            <a:graphic>
              <a:graphicData uri="http://schemas.openxmlformats.org/drawingml/2006/picture">
                <pic:pic>
                  <pic:nvPicPr>
                    <pic:cNvPr descr="16s-spreadsheets_files/figure-docx//1dEZtb0TgLbzhbr3HxQElwg8hENur2HMIzseg19OGd0g_g33d6fd7d4b6_0_113.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bookmarkEnd w:id="220"/>
    <w:bookmarkStart w:id="223" w:name="footnotes-5"/>
    <w:p>
      <w:pPr>
        <w:pStyle w:val="Heading3"/>
      </w:pPr>
      <w:r>
        <w:rPr>
          <w:rStyle w:val="SectionNumber"/>
        </w:rPr>
        <w:t xml:space="preserve">3.1.4</w:t>
      </w:r>
      <w:r>
        <w:tab/>
      </w:r>
      <w:r>
        <w:t xml:space="preserve">Footnotes</w:t>
      </w:r>
    </w:p>
    <w:bookmarkStart w:id="221" w:name="resources-9"/>
    <w:p>
      <w:pPr>
        <w:pStyle w:val="Heading4"/>
      </w:pPr>
      <w:r>
        <w:rPr>
          <w:rStyle w:val="SectionNumber"/>
        </w:rPr>
        <w:t xml:space="preserve">3.1.4.1</w:t>
      </w:r>
      <w:r>
        <w:tab/>
      </w:r>
      <w:r>
        <w:t xml:space="preserve">Resources</w:t>
      </w:r>
    </w:p>
    <w:bookmarkEnd w:id="221"/>
    <w:bookmarkStart w:id="222" w:name="contributions-and-affiliations-5"/>
    <w:p>
      <w:pPr>
        <w:pStyle w:val="Heading4"/>
      </w:pPr>
      <w:r>
        <w:rPr>
          <w:rStyle w:val="SectionNumber"/>
        </w:rPr>
        <w:t xml:space="preserve">3.1.4.2</w:t>
      </w:r>
      <w:r>
        <w:tab/>
      </w:r>
      <w:r>
        <w:t xml:space="preserve">Contributions and affiliations</w:t>
      </w:r>
    </w:p>
    <w:p>
      <w:pPr>
        <w:numPr>
          <w:ilvl w:val="0"/>
          <w:numId w:val="1066"/>
        </w:numPr>
        <w:pStyle w:val="Compact"/>
      </w:pPr>
      <w:r>
        <w:t xml:space="preserve">Sayumi York, Notre Dame of Maryland University</w:t>
      </w:r>
    </w:p>
    <w:bookmarkEnd w:id="222"/>
    <w:bookmarkEnd w:id="223"/>
    <w:bookmarkEnd w:id="224"/>
    <w:bookmarkStart w:id="225" w:name="exploring-16s-rrna-data-in-spreadsheets"/>
    <w:p>
      <w:pPr>
        <w:pStyle w:val="Heading2"/>
      </w:pPr>
      <w:r>
        <w:rPr>
          <w:rStyle w:val="SectionNumber"/>
        </w:rPr>
        <w:t xml:space="preserve">3.2</w:t>
      </w:r>
      <w:r>
        <w:tab/>
      </w:r>
      <w:r>
        <w:t xml:space="preserve">Exploring 16S rRNA data in spreadsheets</w:t>
      </w:r>
    </w:p>
    <w:p>
      <w:pPr>
        <w:pStyle w:val="FirstParagraph"/>
      </w:pPr>
      <w:r>
        <w:t xml:space="preserve">In this section we will look at 16S data in a spreadsheet via Google Sheets. We will familiarize ourselves with the format of 16S data and manipulate just a few ASVs to better understand what kinds of research questions we can ask with the data. Through this exercise we will also come to understand the necessity of more powerful analysis tools in R; sorting through trends in a spreadsheet could take years!</w:t>
      </w:r>
    </w:p>
    <w:bookmarkEnd w:id="225"/>
    <w:bookmarkStart w:id="230" w:name="Xa4adffd64d730ef6c179c36c2b3e5f3e9720550"/>
    <w:p>
      <w:pPr>
        <w:pStyle w:val="Heading2"/>
      </w:pPr>
      <w:r>
        <w:rPr>
          <w:rStyle w:val="SectionNumber"/>
        </w:rPr>
        <w:t xml:space="preserve">3.3</w:t>
      </w:r>
      <w:r>
        <w:tab/>
      </w:r>
      <w:r>
        <w:t xml:space="preserve">Lecture - Introducing 16S rRNA Data Using Spreadsheets</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227" name="Picture"/>
            <a:graphic>
              <a:graphicData uri="http://schemas.openxmlformats.org/drawingml/2006/picture">
                <pic:pic>
                  <pic:nvPicPr>
                    <pic:cNvPr descr="16s-spreadsheets_files/figure-docx//14E26SbzaLEDJxAaZ1qjaZcJehAI8q2GHuTokNPKKDTc_g35f391192_00.png" id="228" name="Picture"/>
                    <pic:cNvPicPr>
                      <a:picLocks noChangeArrowheads="1" noChangeAspect="1"/>
                    </pic:cNvPicPr>
                  </pic:nvPicPr>
                  <pic:blipFill>
                    <a:blip r:embed="rId2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29">
        <w:r>
          <w:rPr>
            <w:rStyle w:val="Hyperlink"/>
          </w:rPr>
          <w:t xml:space="preserve">Lecture</w:t>
        </w:r>
      </w:hyperlink>
    </w:p>
    <w:bookmarkEnd w:id="230"/>
    <w:bookmarkStart w:id="252" w:name="X9e46f28e70cb752bc00517ef07657b846892b91"/>
    <w:p>
      <w:pPr>
        <w:pStyle w:val="Heading2"/>
      </w:pPr>
      <w:r>
        <w:rPr>
          <w:rStyle w:val="SectionNumber"/>
        </w:rPr>
        <w:t xml:space="preserve">3.4</w:t>
      </w:r>
      <w:r>
        <w:tab/>
      </w:r>
      <w:r>
        <w:t xml:space="preserve">Activity - Introducing 16S rRNA Data Using Spreadsheets</w:t>
      </w:r>
    </w:p>
    <w:bookmarkStart w:id="232" w:name="purpose-6"/>
    <w:p>
      <w:pPr>
        <w:pStyle w:val="Heading3"/>
      </w:pPr>
      <w:r>
        <w:rPr>
          <w:rStyle w:val="SectionNumber"/>
        </w:rPr>
        <w:t xml:space="preserve">3.4.1</w:t>
      </w:r>
      <w:r>
        <w:tab/>
      </w:r>
      <w:r>
        <w:t xml:space="preserve">Purpose</w:t>
      </w:r>
    </w:p>
    <w:p>
      <w:pPr>
        <w:pStyle w:val="FirstParagraph"/>
      </w:pPr>
      <w:r>
        <w:t xml:space="preserve">To explore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in individuals.</w:t>
      </w:r>
    </w:p>
    <w:p>
      <w:pPr>
        <w:pStyle w:val="BodyText"/>
      </w:pPr>
      <w:r>
        <w:t xml:space="preserve">This spreadsheet activity aims to orient you towards understanding the data and metadata content of this study. In subsequent activities, you will explore and analyze this data using the R/Bioconductor package phyloseq. Google Sheets and R are both useful for doing different analyses, so keep in mind the tools at your disposal and what will be the most efficient way to answer your research questions.</w:t>
      </w:r>
    </w:p>
    <w:p>
      <w:pPr>
        <w:pStyle w:val="BodyText"/>
      </w:pPr>
      <w:r>
        <w:rPr>
          <w:bCs/>
          <w:b/>
        </w:rPr>
        <w:t xml:space="preserve">Please note that this activity takes place in Google Sheets.</w:t>
      </w:r>
      <w:r>
        <w:t xml:space="preserve"> </w:t>
      </w:r>
      <w:r>
        <w:t xml:space="preserve">It is possible to do the same analysis in Microsoft Excel although the individual steps you will take are different. To help make things easier for everyone, we strongly recommend everyone uses Google Sheets; all our instructions will be specific to Sheets. Students who do not have a Google-associated email address can sign up for a free Gmail account and gain access to Google Sheets this way.</w:t>
      </w:r>
    </w:p>
    <w:p>
      <w:pPr>
        <w:pStyle w:val="BodyText"/>
      </w:pPr>
      <w:r>
        <w:rPr>
          <w:bCs/>
          <w:b/>
        </w:rPr>
        <w:t xml:space="preserve">A Google Sheets cheatsheet that covers the necessary steps for this activity is available in our</w:t>
      </w:r>
      <w:r>
        <w:rPr>
          <w:bCs/>
          <w:b/>
        </w:rPr>
        <w:t xml:space="preserve"> </w:t>
      </w:r>
      <w:hyperlink r:id="rId231">
        <w:r>
          <w:rPr>
            <w:rStyle w:val="Hyperlink"/>
            <w:bCs/>
            <w:b/>
          </w:rPr>
          <w:t xml:space="preserve">Spreadsheets 101</w:t>
        </w:r>
      </w:hyperlink>
      <w:r>
        <w:rPr>
          <w:bCs/>
          <w:b/>
        </w:rPr>
        <w:t xml:space="preserve"> </w:t>
      </w:r>
      <w:r>
        <w:rPr>
          <w:bCs/>
          <w:b/>
        </w:rPr>
        <w:t xml:space="preserve">guide.</w:t>
      </w:r>
      <w:r>
        <w:t xml:space="preserve"> </w:t>
      </w:r>
      <w:r>
        <w:t xml:space="preserve">Students who are not experienced using spreadsheet software should note that the instructions build on prior steps.</w:t>
      </w:r>
    </w:p>
    <w:bookmarkEnd w:id="232"/>
    <w:bookmarkStart w:id="233" w:name="learning-objectives-5"/>
    <w:p>
      <w:pPr>
        <w:pStyle w:val="Heading3"/>
      </w:pPr>
      <w:r>
        <w:rPr>
          <w:rStyle w:val="SectionNumber"/>
        </w:rPr>
        <w:t xml:space="preserve">3.4.2</w:t>
      </w:r>
      <w:r>
        <w:tab/>
      </w:r>
      <w:r>
        <w:t xml:space="preserve">Learning objectives</w:t>
      </w:r>
    </w:p>
    <w:p>
      <w:pPr>
        <w:numPr>
          <w:ilvl w:val="0"/>
          <w:numId w:val="1067"/>
        </w:numPr>
        <w:pStyle w:val="Compact"/>
      </w:pPr>
      <w:r>
        <w:t xml:space="preserve">Explore Amplicon Sequence Variants (ASVs) through the taxonomy profile of select ASVs, and sample metadata for a subset of ASVs.</w:t>
      </w:r>
    </w:p>
    <w:p>
      <w:pPr>
        <w:numPr>
          <w:ilvl w:val="0"/>
          <w:numId w:val="1067"/>
        </w:numPr>
        <w:pStyle w:val="Compact"/>
      </w:pPr>
      <w:r>
        <w:t xml:space="preserve">Ask research questions based on data and metadata</w:t>
      </w:r>
    </w:p>
    <w:p>
      <w:pPr>
        <w:numPr>
          <w:ilvl w:val="0"/>
          <w:numId w:val="1068"/>
        </w:numPr>
        <w:pStyle w:val="Compact"/>
      </w:pPr>
      <w:r>
        <w:t xml:space="preserve">How many different microbes (ASVs) are there in a given sample?</w:t>
      </w:r>
    </w:p>
    <w:p>
      <w:pPr>
        <w:numPr>
          <w:ilvl w:val="0"/>
          <w:numId w:val="1068"/>
        </w:numPr>
        <w:pStyle w:val="Compact"/>
      </w:pPr>
      <w:r>
        <w:t xml:space="preserve">Is there an even abundance of microbes (ASVs) in a sample or are there a few that dominate?</w:t>
      </w:r>
    </w:p>
    <w:p>
      <w:pPr>
        <w:numPr>
          <w:ilvl w:val="0"/>
          <w:numId w:val="1068"/>
        </w:numPr>
        <w:pStyle w:val="Compact"/>
      </w:pPr>
      <w:r>
        <w:t xml:space="preserve">How varied are ASVs and their abundance across subjects?</w:t>
      </w:r>
    </w:p>
    <w:p>
      <w:pPr>
        <w:numPr>
          <w:ilvl w:val="0"/>
          <w:numId w:val="1068"/>
        </w:numPr>
        <w:pStyle w:val="Compact"/>
      </w:pPr>
      <w:r>
        <w:t xml:space="preserve">How varied are ASVs and their abundance across diets?</w:t>
      </w:r>
    </w:p>
    <w:bookmarkEnd w:id="233"/>
    <w:bookmarkStart w:id="234" w:name="introduction-6"/>
    <w:p>
      <w:pPr>
        <w:pStyle w:val="Heading3"/>
      </w:pPr>
      <w:r>
        <w:rPr>
          <w:rStyle w:val="SectionNumber"/>
        </w:rPr>
        <w:t xml:space="preserve">3.4.3</w:t>
      </w:r>
      <w:r>
        <w:tab/>
      </w:r>
      <w:r>
        <w:t xml:space="preserve">Introduction</w:t>
      </w:r>
    </w:p>
    <w:p>
      <w:pPr>
        <w:pStyle w:val="FirstParagraph"/>
      </w:pPr>
      <w:r>
        <w:t xml:space="preserve">The most popular sequencing technique for the analysis of bacterial diversity is targeted sequencing, or sequencing of a specific gene (or region of a gene, e.g. a hypervariable region of the bacterial 16S ribosomal rRNA gene) using Polymerase Chain Reaction (PCR) to create sequences called amplicons. Sequence variation in the resulting amplicons creates Amplicon Sequence Variants (ASVs). ASVs varying from as little as one single nucleotide are defined as separate ASVs and as little as 1% difference in ASV sequence can be associated with different species. In this activity you will be exploring ASVs generated with sequencing 250 nucleotides (nt) Illumina sequencing, where Amplicon sequence variants (ASVs) were identified.</w:t>
      </w:r>
    </w:p>
    <w:bookmarkEnd w:id="234"/>
    <w:bookmarkStart w:id="237" w:name="Xaa0d1fbde33bae56a2031a1e7d334da13785e1c"/>
    <w:p>
      <w:pPr>
        <w:pStyle w:val="Heading3"/>
      </w:pPr>
      <w:r>
        <w:rPr>
          <w:rStyle w:val="SectionNumber"/>
        </w:rPr>
        <w:t xml:space="preserve">3.4.4</w:t>
      </w:r>
      <w:r>
        <w:tab/>
      </w:r>
      <w:r>
        <w:t xml:space="preserve">Activity 1 – Quick data overview based on 1 sample</w:t>
      </w:r>
    </w:p>
    <w:p>
      <w:pPr>
        <w:pStyle w:val="FirstParagraph"/>
      </w:pPr>
      <w:r>
        <w:rPr>
          <w:iCs/>
          <w:i/>
        </w:rPr>
        <w:t xml:space="preserve">Estimated time: 10 min</w:t>
      </w:r>
    </w:p>
    <w:p>
      <w:pPr>
        <w:pStyle w:val="BodyText"/>
      </w:pPr>
      <w:r>
        <w:t xml:space="preserve">Although the full dataset contains 105 samples from 21 subjects and 5 timepoints (representing 3 dietary conditions), in this activity we will familiarize ourselves with the data by exploring data from 1 sample only.</w:t>
      </w:r>
    </w:p>
    <w:bookmarkStart w:id="236" w:name="X831cde4a382edecbe3380b97771df7523800efd"/>
    <w:p>
      <w:pPr>
        <w:pStyle w:val="Heading4"/>
      </w:pPr>
      <w:r>
        <w:rPr>
          <w:rStyle w:val="SectionNumber"/>
        </w:rPr>
        <w:t xml:space="preserve">3.4.4.1</w:t>
      </w:r>
      <w:r>
        <w:tab/>
      </w:r>
      <w:r>
        <w:t xml:space="preserve">Activity 1-1. Explore data contents using one sample only, namely MISO1-S02-1 (subject 2, timepoint 1).</w:t>
      </w:r>
    </w:p>
    <w:p>
      <w:pPr>
        <w:pStyle w:val="FirstParagraph"/>
      </w:pPr>
      <w:r>
        <w:t xml:space="preserve">Access</w:t>
      </w:r>
      <w:r>
        <w:t xml:space="preserve"> </w:t>
      </w:r>
      <w:hyperlink r:id="rId235">
        <w:r>
          <w:rPr>
            <w:rStyle w:val="Hyperlink"/>
          </w:rPr>
          <w:t xml:space="preserve">‘</w:t>
        </w:r>
        <w:r>
          <w:rPr>
            <w:rStyle w:val="Hyperlink"/>
          </w:rPr>
          <w:t xml:space="preserve">MISO1-S02-1</w:t>
        </w:r>
        <w:r>
          <w:rPr>
            <w:rStyle w:val="Hyperlink"/>
          </w:rPr>
          <w:t xml:space="preserve">’</w:t>
        </w:r>
      </w:hyperlink>
      <w:r>
        <w:t xml:space="preserve"> </w:t>
      </w:r>
      <w:r>
        <w:t xml:space="preserve">file and open it with Google Sheets.</w:t>
      </w:r>
    </w:p>
    <w:p>
      <w:pPr>
        <w:numPr>
          <w:ilvl w:val="0"/>
          <w:numId w:val="1069"/>
        </w:numPr>
        <w:pStyle w:val="Compact"/>
      </w:pPr>
      <w:r>
        <w:t xml:space="preserve">Rows = ASVs</w:t>
      </w:r>
    </w:p>
    <w:p>
      <w:pPr>
        <w:numPr>
          <w:ilvl w:val="0"/>
          <w:numId w:val="1069"/>
        </w:numPr>
        <w:pStyle w:val="Compact"/>
      </w:pPr>
      <w:r>
        <w:t xml:space="preserve">Columns = Samples and taxonomy:</w:t>
      </w:r>
    </w:p>
    <w:p>
      <w:pPr>
        <w:numPr>
          <w:ilvl w:val="1"/>
          <w:numId w:val="1070"/>
        </w:numPr>
        <w:pStyle w:val="Compact"/>
      </w:pPr>
      <w:r>
        <w:t xml:space="preserve">Col A = ASV id</w:t>
      </w:r>
    </w:p>
    <w:p>
      <w:pPr>
        <w:numPr>
          <w:ilvl w:val="1"/>
          <w:numId w:val="1070"/>
        </w:numPr>
        <w:pStyle w:val="Compact"/>
      </w:pPr>
      <w:r>
        <w:t xml:space="preserve">Cols B-H = Taxonomic information</w:t>
      </w:r>
    </w:p>
    <w:p>
      <w:pPr>
        <w:numPr>
          <w:ilvl w:val="1"/>
          <w:numId w:val="1070"/>
        </w:numPr>
        <w:pStyle w:val="Compact"/>
      </w:pPr>
      <w:r>
        <w:t xml:space="preserve">Col I = ASV counts (for sample MISO1-SO2-1)</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1-1.1 How many microbes (ASVs) are there?</w:t>
            </w:r>
            <w:r>
              <w:t xml:space="preserve"> </w:t>
            </w:r>
            <w:r>
              <w:t xml:space="preserve">This is the # of rows there are in the spreadsheet. Scroll down to the bottom of the sheet and look at the row number or select column A and see the count of all the cells in a row at the bottom right of the window. Remember to not count the header row.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1-1.2 How many microbes are there in this sample?</w:t>
            </w:r>
            <w:r>
              <w:t xml:space="preserve"> </w:t>
            </w:r>
            <w:r>
              <w:t xml:space="preserve">In other words, what is the total number of ASVs per sample?</w:t>
            </w:r>
          </w:p>
        </w:tc>
      </w:tr>
    </w:tbl>
    <w:p>
      <w:pPr>
        <w:numPr>
          <w:ilvl w:val="0"/>
          <w:numId w:val="1071"/>
        </w:numPr>
      </w:pPr>
      <w:r>
        <w:t xml:space="preserve">We can count cells with a specific condition using the following formula: =COUNTIF(CELLS,</w:t>
      </w:r>
      <w:r>
        <w:t xml:space="preserve"> </w:t>
      </w:r>
      <w:r>
        <w:t xml:space="preserve">“</w:t>
      </w:r>
      <w:r>
        <w:t xml:space="preserve">&lt;&gt;0</w:t>
      </w:r>
      <w:r>
        <w:t xml:space="preserve">”</w:t>
      </w:r>
      <w:r>
        <w:t xml:space="preserve">), where CELLS is replaced by the range of cells you want to use in the calculation.</w:t>
      </w:r>
    </w:p>
    <w:p>
      <w:pPr>
        <w:numPr>
          <w:ilvl w:val="0"/>
          <w:numId w:val="1071"/>
        </w:numPr>
      </w:pPr>
      <w:r>
        <w:t xml:space="preserve">For example, for this sample (MISO1-S02-1) in cell J1 enter the formula =COUNTIF(I2:I2185,</w:t>
      </w:r>
      <w:r>
        <w:t xml:space="preserve"> </w:t>
      </w:r>
      <w:r>
        <w:t xml:space="preserve">“</w:t>
      </w:r>
      <w:r>
        <w:t xml:space="preserve">&lt;&gt;0</w:t>
      </w:r>
      <w:r>
        <w:t xml:space="preserve">”</w:t>
      </w:r>
      <w:r>
        <w:t xml:space="preserve">). This formula says, count cells in the range between I2 and I2185 that are not equal to 0. Note that we do not include I1 in the calculation as that is the name of the sample name.</w:t>
      </w:r>
      <w:r>
        <w:t xml:space="preserve"> </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 Microbes: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1-1.3 What taxonomy is associated with ASV1? Include all taxonomic ranks, even those that are listed as NA.</w:t>
            </w:r>
          </w:p>
        </w:tc>
      </w:tr>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1-1.4 What taxonomy is associated with ASV2? Include all taxonomic ranks, even those that are listed as NA.</w:t>
            </w:r>
          </w:p>
        </w:tc>
      </w:tr>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1-1.5 For sample 1 (MISO1-S02-1) what is the count of ASV 1?</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1-1.6 For sample 1 (MISO1-S02-1) what is the count of ASV 2?</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1-1.7 Are ASVs equally abundant throughout the sample? Plot the ASV count distribution (range of ASV abundance) for sample MISO1-S02-1.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Make a bar graph of ASV distribution.</w:t>
            </w:r>
            <w:r>
              <w:t xml:space="preserve"> </w:t>
            </w:r>
            <w:r>
              <w:t xml:space="preserve">Your chart should have the same format as the example.</w:t>
            </w:r>
          </w:p>
        </w:tc>
      </w:tr>
    </w:tbl>
    <w:p>
      <w:pPr>
        <w:numPr>
          <w:ilvl w:val="0"/>
          <w:numId w:val="1072"/>
        </w:numPr>
      </w:pPr>
      <w:r>
        <w:t xml:space="preserve">To make a bar graph with this data, hold the Command key on a Mac or Ctrl on Windows to select data that are not immediately next to each other and then click on columns A (</w:t>
      </w:r>
      <w:r>
        <w:t xml:space="preserve">“</w:t>
      </w:r>
      <w:r>
        <w:t xml:space="preserve">ASV</w:t>
      </w:r>
      <w:r>
        <w:t xml:space="preserve">”</w:t>
      </w:r>
      <w:r>
        <w:t xml:space="preserve">, which contains ASV ids) and I (</w:t>
      </w:r>
      <w:r>
        <w:t xml:space="preserve"> </w:t>
      </w:r>
      <w:r>
        <w:t xml:space="preserve">“</w:t>
      </w:r>
      <w:r>
        <w:t xml:space="preserve">MISO1-S02-1</w:t>
      </w:r>
      <w:r>
        <w:t xml:space="preserve">”</w:t>
      </w:r>
      <w:r>
        <w:t xml:space="preserve">, which contains counts)</w:t>
      </w:r>
    </w:p>
    <w:p>
      <w:pPr>
        <w:numPr>
          <w:ilvl w:val="0"/>
          <w:numId w:val="1072"/>
        </w:numPr>
      </w:pPr>
      <w:r>
        <w:t xml:space="preserve">In the menu at the top of the screen, select Insert &gt; Chart.</w:t>
      </w:r>
    </w:p>
    <w:p>
      <w:pPr>
        <w:numPr>
          <w:ilvl w:val="0"/>
          <w:numId w:val="1072"/>
        </w:numPr>
      </w:pPr>
      <w:r>
        <w:t xml:space="preserve">Make sure your graph is a bar plot: click on the 3 dots in the top right corner of the plot → edit chart and in the Chart editor, under Chart type, selecting Column Chart.</w:t>
      </w:r>
    </w:p>
    <w:p>
      <w:pPr>
        <w:numPr>
          <w:ilvl w:val="0"/>
          <w:numId w:val="1072"/>
        </w:numPr>
      </w:pPr>
      <w:r>
        <w:t xml:space="preserve">Copy the bar graph into a box below: click on the 3 dots in the top right corner of the plot, select copy chart, then, paste it below.</w:t>
      </w:r>
    </w:p>
    <w:p>
      <w:pPr>
        <w:numPr>
          <w:ilvl w:val="0"/>
          <w:numId w:val="1072"/>
        </w:numPr>
      </w:pPr>
      <w:r>
        <w:t xml:space="preserve">Your graph should look similar to the example graph with the ASVs on the x-axis and counts on the y-axis (although the Y axis is titled the same name of the MISO sample, since this is the name of the column).</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graph 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is the ASV with the highest abundance (count) in sample 1?</w:t>
            </w:r>
            <w:r>
              <w:t xml:space="preserve"> </w:t>
            </w:r>
            <w:r>
              <w:t xml:space="preserve">To find this answer hover over the tallest bar in your ASV distribution plot from activity at its highest point.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Describe the pattern of abundance in ASVs for this sample.</w:t>
            </w:r>
            <w:r>
              <w:t xml:space="preserve"> </w:t>
            </w:r>
            <w:r>
              <w:t xml:space="preserve">Is the abundance of ASVs evenly distributed (left in the example graph) where each ASV is approximately the same abundance (count) or is the abundance of ASVs unevenly distributed (right in the example graph), where some ASVs have very high and/or very low counts?</w:t>
            </w:r>
          </w:p>
        </w:tc>
      </w:tr>
      <w:tr>
        <w:tc>
          <w:tcPr/>
          <w:p>
            <w:pPr>
              <w:pStyle w:val="Compact"/>
              <w:jc w:val="left"/>
            </w:pPr>
          </w:p>
        </w:tc>
      </w:tr>
    </w:tbl>
    <w:bookmarkEnd w:id="236"/>
    <w:bookmarkEnd w:id="237"/>
    <w:bookmarkStart w:id="241" w:name="Xe0a69a9212b769e6c2500824c8f02943646fd62"/>
    <w:p>
      <w:pPr>
        <w:pStyle w:val="Heading3"/>
      </w:pPr>
      <w:r>
        <w:rPr>
          <w:rStyle w:val="SectionNumber"/>
        </w:rPr>
        <w:t xml:space="preserve">3.4.5</w:t>
      </w:r>
      <w:r>
        <w:tab/>
      </w:r>
      <w:r>
        <w:t xml:space="preserve">Activity 2 – Explore variation between individuals</w:t>
      </w:r>
    </w:p>
    <w:p>
      <w:pPr>
        <w:pStyle w:val="FirstParagraph"/>
      </w:pPr>
      <w:r>
        <w:rPr>
          <w:iCs/>
          <w:i/>
        </w:rPr>
        <w:t xml:space="preserve">Estimated time: 10 min</w:t>
      </w:r>
    </w:p>
    <w:p>
      <w:pPr>
        <w:pStyle w:val="BodyText"/>
      </w:pPr>
      <w:r>
        <w:t xml:space="preserve">One aspect of the Guthrie et al. study is the extent to which diet contributes to interpersonal microbiome variation (variation in microbiome between individuals).</w:t>
      </w:r>
      <w:r>
        <w:t xml:space="preserve"> </w:t>
      </w:r>
      <w:r>
        <w:rPr>
          <w:bCs/>
          <w:b/>
        </w:rPr>
        <w:t xml:space="preserve">How does what you eat affect your gut microbiome?</w:t>
      </w:r>
    </w:p>
    <w:p>
      <w:pPr>
        <w:pStyle w:val="BodyText"/>
      </w:pPr>
      <w:r>
        <w:rPr>
          <w:bCs/>
          <w:b/>
        </w:rPr>
        <w:t xml:space="preserve">To this end, authors standardized the diet for all individuals with the same diet to evaluate how much of an effect the diet has on the microbiome.</w:t>
      </w:r>
      <w:r>
        <w:t xml:space="preserve"> </w:t>
      </w:r>
      <w:r>
        <w:t xml:space="preserve">If people all eat the same diet, will their gut microbiome become more similar to each other? The study period was 28 days long and had 3 dietary conditions:</w:t>
      </w:r>
    </w:p>
    <w:p>
      <w:pPr>
        <w:numPr>
          <w:ilvl w:val="0"/>
          <w:numId w:val="1073"/>
        </w:numPr>
        <w:pStyle w:val="Compact"/>
      </w:pPr>
      <w:r>
        <w:rPr>
          <w:bCs/>
          <w:b/>
        </w:rPr>
        <w:t xml:space="preserve">BD (Baseline diet)</w:t>
      </w:r>
      <w:r>
        <w:t xml:space="preserve">: which lasted 14 days (2 time points collected) and has participants eating what they usually eat.</w:t>
      </w:r>
    </w:p>
    <w:p>
      <w:pPr>
        <w:numPr>
          <w:ilvl w:val="0"/>
          <w:numId w:val="1073"/>
        </w:numPr>
        <w:pStyle w:val="Compact"/>
      </w:pPr>
      <w:r>
        <w:rPr>
          <w:bCs/>
          <w:b/>
        </w:rPr>
        <w:t xml:space="preserve">HD (Homogenized diet)</w:t>
      </w:r>
      <w:r>
        <w:t xml:space="preserve">: which lasted 7 days (2 time points collected), and has all participants on the same diet</w:t>
      </w:r>
    </w:p>
    <w:p>
      <w:pPr>
        <w:numPr>
          <w:ilvl w:val="0"/>
          <w:numId w:val="1073"/>
        </w:numPr>
        <w:pStyle w:val="Compact"/>
      </w:pPr>
      <w:r>
        <w:rPr>
          <w:bCs/>
          <w:b/>
        </w:rPr>
        <w:t xml:space="preserve">WO (washout diet)</w:t>
      </w:r>
      <w:r>
        <w:t xml:space="preserve">: which lasted for 7 days where participants choose their own diet again</w:t>
      </w:r>
    </w:p>
    <w:p>
      <w:pPr>
        <w:pStyle w:val="FirstParagraph"/>
      </w:pPr>
      <w:r>
        <w:rPr>
          <w:bCs/>
          <w:b/>
        </w:rPr>
        <w:t xml:space="preserve">To explore variation between individuals, here we simplify the dietary variation to a single condition, WO.</w:t>
      </w:r>
    </w:p>
    <w:p>
      <w:pPr>
        <w:numPr>
          <w:ilvl w:val="0"/>
          <w:numId w:val="1074"/>
        </w:numPr>
      </w:pPr>
      <w:r>
        <w:t xml:space="preserve">For this activity, the data file</w:t>
      </w:r>
      <w:r>
        <w:t xml:space="preserve"> </w:t>
      </w:r>
      <w:hyperlink r:id="rId238">
        <w:r>
          <w:rPr>
            <w:rStyle w:val="Hyperlink"/>
          </w:rPr>
          <w:t xml:space="preserve">MISO_WO</w:t>
        </w:r>
      </w:hyperlink>
      <w:r>
        <w:t xml:space="preserve"> </w:t>
      </w:r>
      <w:r>
        <w:t xml:space="preserve">contains samples pre-filtered for WO condition only (and excludes samples corresponding to BD and HD).</w:t>
      </w:r>
    </w:p>
    <w:p>
      <w:pPr>
        <w:numPr>
          <w:ilvl w:val="0"/>
          <w:numId w:val="1074"/>
        </w:numPr>
      </w:pPr>
      <w:r>
        <w:t xml:space="preserve">Since there is only 1 WO datapoint per individual, each WO sample corresponds to a different individual, so you should see 21 samples.</w:t>
      </w:r>
    </w:p>
    <w:bookmarkStart w:id="239" w:name="X9376faab03f12c2bf3d4a1a46987838618b4ed3"/>
    <w:p>
      <w:pPr>
        <w:pStyle w:val="Heading4"/>
      </w:pPr>
      <w:r>
        <w:rPr>
          <w:rStyle w:val="SectionNumber"/>
        </w:rPr>
        <w:t xml:space="preserve">3.4.5.1</w:t>
      </w:r>
      <w:r>
        <w:tab/>
      </w:r>
      <w:r>
        <w:t xml:space="preserve">Activity 2-1 - What are the most common ASVs between individuals?</w:t>
      </w:r>
    </w:p>
    <w:p>
      <w:pPr>
        <w:pStyle w:val="FirstParagraph"/>
      </w:pPr>
      <w:r>
        <w:t xml:space="preserve">IMPORTANT: An ASV is associated with an individual if it is NOT a zero. Zero means that particular ASV was not found in the individual, so you need to exclude zeroes from your calculations.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Calculate the number of samples associated with each ASV. Record first 5 values below.</w:t>
            </w:r>
          </w:p>
        </w:tc>
      </w:tr>
    </w:tbl>
    <w:p>
      <w:pPr>
        <w:numPr>
          <w:ilvl w:val="0"/>
          <w:numId w:val="1075"/>
        </w:numPr>
        <w:pStyle w:val="Compact"/>
      </w:pPr>
      <w:r>
        <w:t xml:space="preserve">Create an empty new first column for temporary calculations by right clicking column A and selecting</w:t>
      </w:r>
      <w:r>
        <w:t xml:space="preserve"> </w:t>
      </w:r>
      <w:r>
        <w:t xml:space="preserve">“</w:t>
      </w:r>
      <w:r>
        <w:t xml:space="preserve">Insert 1 column left</w:t>
      </w:r>
      <w:r>
        <w:t xml:space="preserve">”</w:t>
      </w:r>
      <w:r>
        <w:t xml:space="preserve">.</w:t>
      </w:r>
    </w:p>
    <w:p>
      <w:pPr>
        <w:numPr>
          <w:ilvl w:val="0"/>
          <w:numId w:val="1075"/>
        </w:numPr>
        <w:pStyle w:val="Compact"/>
      </w:pPr>
      <w:r>
        <w:t xml:space="preserve">In cell A1, label this new column</w:t>
      </w:r>
      <w:r>
        <w:t xml:space="preserve"> </w:t>
      </w:r>
      <w:r>
        <w:t xml:space="preserve">“</w:t>
      </w:r>
      <w:r>
        <w:t xml:space="preserve">Occurrence</w:t>
      </w:r>
      <w:r>
        <w:t xml:space="preserve">”</w:t>
      </w:r>
      <w:r>
        <w:t xml:space="preserve">.</w:t>
      </w:r>
    </w:p>
    <w:p>
      <w:pPr>
        <w:numPr>
          <w:ilvl w:val="0"/>
          <w:numId w:val="1075"/>
        </w:numPr>
        <w:pStyle w:val="Compact"/>
      </w:pPr>
      <w:r>
        <w:t xml:space="preserve">We will use the formula =COUNTIF(range,</w:t>
      </w:r>
      <w:r>
        <w:t xml:space="preserve"> </w:t>
      </w:r>
      <w:r>
        <w:t xml:space="preserve">“</w:t>
      </w:r>
      <w:r>
        <w:t xml:space="preserve">&lt;&gt;0</w:t>
      </w:r>
      <w:r>
        <w:t xml:space="preserve">”</w:t>
      </w:r>
      <w:r>
        <w:t xml:space="preserve">) again to count how many cells have a non-0 value. For example, for ASV1 enter the formula = COUNTIF(C3:W3,</w:t>
      </w:r>
      <w:r>
        <w:t xml:space="preserve"> </w:t>
      </w:r>
      <w:r>
        <w:t xml:space="preserve">“</w:t>
      </w:r>
      <w:r>
        <w:t xml:space="preserve">&lt;&gt;0</w:t>
      </w:r>
      <w:r>
        <w:t xml:space="preserve">”</w:t>
      </w:r>
      <w:r>
        <w:t xml:space="preserve">) into cell A3.</w:t>
      </w:r>
    </w:p>
    <w:p>
      <w:pPr>
        <w:numPr>
          <w:ilvl w:val="0"/>
          <w:numId w:val="1075"/>
        </w:numPr>
        <w:pStyle w:val="Compact"/>
      </w:pPr>
      <w:r>
        <w:t xml:space="preserve">If the formula and its placement are correct, cell A3 should calculate to 17 (so 17 of 21 WO samples have ASV1). Confirm your calculation is working correctly.</w:t>
      </w:r>
    </w:p>
    <w:p>
      <w:pPr>
        <w:numPr>
          <w:ilvl w:val="0"/>
          <w:numId w:val="1075"/>
        </w:numPr>
        <w:pStyle w:val="Compact"/>
      </w:pPr>
      <w:r>
        <w:t xml:space="preserve">Apply the calculation to all cells in the column by copy pasting the formula. For a reminder on how to do this, see the Google Sheets cheatsheet.</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w:t>
            </w:r>
          </w:p>
        </w:tc>
      </w:tr>
      <w:tr>
        <w:tc>
          <w:tcPr/>
          <w:p>
            <w:pPr>
              <w:pStyle w:val="Compact"/>
              <w:jc w:val="left"/>
            </w:pPr>
            <w:r>
              <w:t xml:space="preserve">ASV2:</w:t>
            </w:r>
          </w:p>
        </w:tc>
      </w:tr>
      <w:tr>
        <w:tc>
          <w:tcPr/>
          <w:p>
            <w:pPr>
              <w:pStyle w:val="Compact"/>
              <w:jc w:val="left"/>
            </w:pPr>
            <w:r>
              <w:t xml:space="preserve">ASV3:</w:t>
            </w:r>
          </w:p>
        </w:tc>
      </w:tr>
      <w:tr>
        <w:tc>
          <w:tcPr/>
          <w:p>
            <w:pPr>
              <w:pStyle w:val="Compact"/>
              <w:jc w:val="left"/>
            </w:pPr>
            <w:r>
              <w:t xml:space="preserve">ASV4:</w:t>
            </w:r>
          </w:p>
        </w:tc>
      </w:tr>
      <w:tr>
        <w:tc>
          <w:tcPr/>
          <w:p>
            <w:pPr>
              <w:pStyle w:val="Compact"/>
              <w:jc w:val="left"/>
            </w:pPr>
            <w:r>
              <w:t xml:space="preserve">ASV5:</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Calculate % of samples associated with each ASV and record the first top 5. record the first top 5.</w:t>
            </w:r>
          </w:p>
        </w:tc>
      </w:tr>
    </w:tbl>
    <w:p>
      <w:pPr>
        <w:numPr>
          <w:ilvl w:val="0"/>
          <w:numId w:val="1076"/>
        </w:numPr>
        <w:pStyle w:val="Compact"/>
      </w:pPr>
      <w:r>
        <w:t xml:space="preserve">Create another new column by right clicking on column A and selecting</w:t>
      </w:r>
      <w:r>
        <w:t xml:space="preserve"> </w:t>
      </w:r>
      <w:r>
        <w:t xml:space="preserve">“</w:t>
      </w:r>
      <w:r>
        <w:t xml:space="preserve">Insert 1 column left</w:t>
      </w:r>
      <w:r>
        <w:t xml:space="preserve">”</w:t>
      </w:r>
      <w:r>
        <w:t xml:space="preserve">.</w:t>
      </w:r>
    </w:p>
    <w:p>
      <w:pPr>
        <w:numPr>
          <w:ilvl w:val="0"/>
          <w:numId w:val="1076"/>
        </w:numPr>
        <w:pStyle w:val="Compact"/>
      </w:pPr>
      <w:r>
        <w:t xml:space="preserve">In cell A1, give the new column a name,</w:t>
      </w:r>
      <w:r>
        <w:t xml:space="preserve"> </w:t>
      </w:r>
      <w:r>
        <w:t xml:space="preserve">“</w:t>
      </w:r>
      <w:r>
        <w:t xml:space="preserve">% of samples with this ASV</w:t>
      </w:r>
      <w:r>
        <w:t xml:space="preserve">”</w:t>
      </w:r>
      <w:r>
        <w:t xml:space="preserve">.</w:t>
      </w:r>
    </w:p>
    <w:p>
      <w:pPr>
        <w:numPr>
          <w:ilvl w:val="0"/>
          <w:numId w:val="1076"/>
        </w:numPr>
        <w:pStyle w:val="Compact"/>
      </w:pPr>
      <w:r>
        <w:t xml:space="preserve">Calculate % by dividing a value you obtained in part A) by 21 (samples) and multiplying by 100. To do this, starting with cell A3 (corresponding to ASV1), use the formula =100*(B3/21).</w:t>
      </w:r>
    </w:p>
    <w:p>
      <w:pPr>
        <w:numPr>
          <w:ilvl w:val="0"/>
          <w:numId w:val="1076"/>
        </w:numPr>
        <w:pStyle w:val="Compact"/>
      </w:pPr>
      <w:r>
        <w:t xml:space="preserve">Apply the calculation to all cells in the column by copy pasting the formula. For a reminder on how to do this, see the Google Sheets cheatsheet.</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w:t>
            </w:r>
          </w:p>
        </w:tc>
      </w:tr>
      <w:tr>
        <w:tc>
          <w:tcPr/>
          <w:p>
            <w:pPr>
              <w:pStyle w:val="Compact"/>
              <w:jc w:val="left"/>
            </w:pPr>
            <w:r>
              <w:t xml:space="preserve">ASV2:</w:t>
            </w:r>
          </w:p>
        </w:tc>
      </w:tr>
      <w:tr>
        <w:tc>
          <w:tcPr/>
          <w:p>
            <w:pPr>
              <w:pStyle w:val="Compact"/>
              <w:jc w:val="left"/>
            </w:pPr>
            <w:r>
              <w:t xml:space="preserve">ASV3:</w:t>
            </w:r>
          </w:p>
        </w:tc>
      </w:tr>
      <w:tr>
        <w:tc>
          <w:tcPr/>
          <w:p>
            <w:pPr>
              <w:pStyle w:val="Compact"/>
              <w:jc w:val="left"/>
            </w:pPr>
            <w:r>
              <w:t xml:space="preserve">ASV4:</w:t>
            </w:r>
          </w:p>
        </w:tc>
      </w:tr>
      <w:tr>
        <w:tc>
          <w:tcPr/>
          <w:p>
            <w:pPr>
              <w:pStyle w:val="Compact"/>
              <w:jc w:val="left"/>
            </w:pPr>
            <w:r>
              <w:t xml:space="preserve">ASV5:</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How many ASVs are present in all 21 individuals and what are their ids?</w:t>
            </w:r>
          </w:p>
        </w:tc>
      </w:tr>
    </w:tbl>
    <w:p>
      <w:pPr>
        <w:pStyle w:val="BodyText"/>
      </w:pPr>
      <w:r>
        <w:t xml:space="preserve">To do so, find the number of ASVs that have a % of samples with this ASV = 100%.</w:t>
      </w:r>
    </w:p>
    <w:p>
      <w:pPr>
        <w:numPr>
          <w:ilvl w:val="0"/>
          <w:numId w:val="1077"/>
        </w:numPr>
        <w:pStyle w:val="Compact"/>
      </w:pPr>
      <w:r>
        <w:t xml:space="preserve">In cell A2 use the formula = COUNTIF(A3:A2186,</w:t>
      </w:r>
      <w:r>
        <w:t xml:space="preserve"> </w:t>
      </w:r>
      <w:r>
        <w:t xml:space="preserve">“</w:t>
      </w:r>
      <w:r>
        <w:t xml:space="preserve">=100</w:t>
      </w:r>
      <w:r>
        <w:t xml:space="preserve">”</w:t>
      </w:r>
      <w:r>
        <w:t xml:space="preserve">). This formula says, count a cell if it is equal to 100.</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239"/>
    <w:bookmarkStart w:id="240" w:name="X2f2e8ee6bb036ff847368999b3c86070d3ae5d6"/>
    <w:p>
      <w:pPr>
        <w:pStyle w:val="Heading4"/>
      </w:pPr>
      <w:r>
        <w:rPr>
          <w:rStyle w:val="SectionNumber"/>
        </w:rPr>
        <w:t xml:space="preserve">3.4.5.2</w:t>
      </w:r>
      <w:r>
        <w:tab/>
      </w:r>
      <w:r>
        <w:t xml:space="preserve">Activity 2-2. Explore the taxonomy of the most common ASVs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2-2.1 Which ASV is found in 100% of samples?</w:t>
            </w:r>
            <w:r>
              <w:t xml:space="preserve"> </w:t>
            </w:r>
            <w:r>
              <w:t xml:space="preserve">This ASV has a % of samples with this ASV = 100%. Hint: This ASV is found within the first 20 ASVs.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2-2.2 What is the taxonomy assigned to the most common ASV you found in Activity above?</w:t>
            </w:r>
          </w:p>
        </w:tc>
      </w:tr>
    </w:tbl>
    <w:p>
      <w:pPr>
        <w:numPr>
          <w:ilvl w:val="0"/>
          <w:numId w:val="1078"/>
        </w:numPr>
        <w:pStyle w:val="Compact"/>
      </w:pPr>
      <w:r>
        <w:t xml:space="preserve">Return to your copy of</w:t>
      </w:r>
      <w:r>
        <w:t xml:space="preserve"> </w:t>
      </w:r>
      <w:hyperlink r:id="rId235">
        <w:r>
          <w:rPr>
            <w:rStyle w:val="Hyperlink"/>
          </w:rPr>
          <w:t xml:space="preserve">‘</w:t>
        </w:r>
        <w:r>
          <w:rPr>
            <w:rStyle w:val="Hyperlink"/>
          </w:rPr>
          <w:t xml:space="preserve">MISO1-S02-1</w:t>
        </w:r>
        <w:r>
          <w:rPr>
            <w:rStyle w:val="Hyperlink"/>
          </w:rPr>
          <w:t xml:space="preserve">’</w:t>
        </w:r>
      </w:hyperlink>
      <w:r>
        <w:t xml:space="preserve">.</w:t>
      </w:r>
    </w:p>
    <w:p>
      <w:pPr>
        <w:numPr>
          <w:ilvl w:val="0"/>
          <w:numId w:val="1078"/>
        </w:numPr>
        <w:pStyle w:val="Compact"/>
      </w:pPr>
      <w:r>
        <w:t xml:space="preserve">Columns B-H correspond to taxonomic information.</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2-2.3 This ASV was found in every subject. What might this mean about the function this ASV plays in the gut microbiome?</w:t>
            </w:r>
          </w:p>
        </w:tc>
      </w:tr>
      <w:tr>
        <w:tc>
          <w:tcPr/>
          <w:p>
            <w:pPr>
              <w:pStyle w:val="Compact"/>
              <w:jc w:val="left"/>
            </w:pPr>
          </w:p>
        </w:tc>
      </w:tr>
    </w:tbl>
    <w:bookmarkEnd w:id="240"/>
    <w:bookmarkEnd w:id="241"/>
    <w:bookmarkStart w:id="242" w:name="X2f0e279f1015f1c60543914b1bb6d3688f8fdf3"/>
    <w:p>
      <w:pPr>
        <w:pStyle w:val="Heading3"/>
      </w:pPr>
      <w:r>
        <w:rPr>
          <w:rStyle w:val="SectionNumber"/>
        </w:rPr>
        <w:t xml:space="preserve">3.4.6</w:t>
      </w:r>
      <w:r>
        <w:tab/>
      </w:r>
      <w:r>
        <w:t xml:space="preserve">Activity 2-3. Plot individual variation in abundance of the most common ASV.</w:t>
      </w:r>
    </w:p>
    <w:p>
      <w:pPr>
        <w:pStyle w:val="FirstParagraph"/>
      </w:pPr>
      <w:r>
        <w:t xml:space="preserve">The most common ASV is represented in all samples, but does each sample have the same abundance of this ASV?</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Make a bar graph of most common ASV distribution across 21 individuals</w:t>
            </w:r>
          </w:p>
        </w:tc>
      </w:tr>
    </w:tbl>
    <w:p>
      <w:pPr>
        <w:pStyle w:val="BodyText"/>
      </w:pPr>
      <w:r>
        <w:t xml:space="preserve">1.Return to your version of the</w:t>
      </w:r>
      <w:r>
        <w:t xml:space="preserve"> </w:t>
      </w:r>
      <w:hyperlink r:id="rId238">
        <w:r>
          <w:rPr>
            <w:rStyle w:val="Hyperlink"/>
          </w:rPr>
          <w:t xml:space="preserve">MISO_WO</w:t>
        </w:r>
      </w:hyperlink>
      <w:r>
        <w:t xml:space="preserve"> </w:t>
      </w:r>
      <w:r>
        <w:t xml:space="preserve">spreadsheet.</w:t>
      </w:r>
    </w:p>
    <w:p>
      <w:pPr>
        <w:numPr>
          <w:ilvl w:val="0"/>
          <w:numId w:val="1079"/>
        </w:numPr>
      </w:pPr>
      <w:r>
        <w:t xml:space="preserve">Hold the Command key on a Mac or Ctrl on Windows to select data that are not immediately next to each other to select the header row (D2:X2, sample names) and the row corresponding to the most common ASV you identified above.</w:t>
      </w:r>
    </w:p>
    <w:p>
      <w:pPr>
        <w:numPr>
          <w:ilvl w:val="0"/>
          <w:numId w:val="1079"/>
        </w:numPr>
      </w:pPr>
      <w:r>
        <w:t xml:space="preserve">In the menu at the top of the screen, select Insert &gt; Chart.</w:t>
      </w:r>
      <w:r>
        <w:t xml:space="preserve"> </w:t>
      </w:r>
      <w:r>
        <w:t xml:space="preserve">Make sure your graph is a bar plot: click on the 3 dots in the top right corner of the plot → edit chart and in the Chart editor, under Chart type, selecting Column Chart.</w:t>
      </w:r>
    </w:p>
    <w:p>
      <w:pPr>
        <w:numPr>
          <w:ilvl w:val="0"/>
          <w:numId w:val="1079"/>
        </w:numPr>
      </w:pPr>
      <w:r>
        <w:t xml:space="preserve">Copy the bar graph into a box below: click on the 3 dots in the top right corner of the plot, select copy chart, then, paste it below. Your graph should look similar to the example graph below, with multicolored bars that each represent one sample’s count of the ASV. The example shows a different ASV plotted with 5 samples.</w:t>
      </w:r>
    </w:p>
    <w:p>
      <w:pPr>
        <w:numPr>
          <w:ilvl w:val="0"/>
          <w:numId w:val="1079"/>
        </w:numPr>
      </w:pPr>
      <w:r>
        <w:t xml:space="preserve">Your chart will have more bars and the legend may not be in the same place; do not worry if there is no legend or the legend text is not visible as in the example.</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chart here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Is the abundance of this ASV similar or dissimilar across samples?</w:t>
            </w:r>
            <w:r>
              <w:t xml:space="preserve"> </w:t>
            </w:r>
            <w:r>
              <w:t xml:space="preserve">Each bar represents the count (abundance) of this ASV for a given subject. Ignore the axis title, which only has 1 sample name. Compare your graph to the example figure. Which is more like the graph you made?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What might this mean for the function of this ASV in the gut microbiome?</w:t>
            </w:r>
          </w:p>
        </w:tc>
      </w:tr>
      <w:tr>
        <w:tc>
          <w:tcPr/>
          <w:p>
            <w:pPr>
              <w:pStyle w:val="Compact"/>
              <w:jc w:val="left"/>
            </w:pPr>
          </w:p>
        </w:tc>
      </w:tr>
    </w:tbl>
    <w:bookmarkEnd w:id="242"/>
    <w:bookmarkStart w:id="246" w:name="Xef23b50a219e4632b5da6f886c45cb6084129e6"/>
    <w:p>
      <w:pPr>
        <w:pStyle w:val="Heading3"/>
      </w:pPr>
      <w:r>
        <w:rPr>
          <w:rStyle w:val="SectionNumber"/>
        </w:rPr>
        <w:t xml:space="preserve">3.4.7</w:t>
      </w:r>
      <w:r>
        <w:tab/>
      </w:r>
      <w:r>
        <w:t xml:space="preserve">Activity 3 – Explore variation within a single individual associated with diet</w:t>
      </w:r>
    </w:p>
    <w:p>
      <w:pPr>
        <w:pStyle w:val="FirstParagraph"/>
      </w:pPr>
      <w:r>
        <w:rPr>
          <w:iCs/>
          <w:i/>
        </w:rPr>
        <w:t xml:space="preserve">Estimated time: 10 min</w:t>
      </w:r>
    </w:p>
    <w:p>
      <w:pPr>
        <w:pStyle w:val="BodyText"/>
      </w:pPr>
      <w:r>
        <w:t xml:space="preserve">Although the full dataset contains 105 samples from 21 subjects and 5 timepoints (representing 3 dietary conditions), in this activity we will zoom into ASV counts data for 1 individual (comprised of 5 samples representing the 5 timepoints collected from that individual).</w:t>
      </w:r>
    </w:p>
    <w:p>
      <w:pPr>
        <w:numPr>
          <w:ilvl w:val="0"/>
          <w:numId w:val="1080"/>
        </w:numPr>
        <w:pStyle w:val="Compact"/>
      </w:pPr>
      <w:r>
        <w:t xml:space="preserve">Timepoints 1 and 2:</w:t>
      </w:r>
      <w:r>
        <w:t xml:space="preserve"> </w:t>
      </w:r>
      <w:r>
        <w:rPr>
          <w:bCs/>
          <w:b/>
        </w:rPr>
        <w:t xml:space="preserve">BD</w:t>
      </w:r>
      <w:r>
        <w:t xml:space="preserve"> </w:t>
      </w:r>
      <w:r>
        <w:t xml:space="preserve">(Baseline diet) prior to normalization with homogenized diet</w:t>
      </w:r>
    </w:p>
    <w:p>
      <w:pPr>
        <w:numPr>
          <w:ilvl w:val="0"/>
          <w:numId w:val="1080"/>
        </w:numPr>
        <w:pStyle w:val="Compact"/>
      </w:pPr>
      <w:r>
        <w:t xml:space="preserve">Timepoints 3 and 4:</w:t>
      </w:r>
      <w:r>
        <w:t xml:space="preserve"> </w:t>
      </w:r>
      <w:r>
        <w:rPr>
          <w:bCs/>
          <w:b/>
        </w:rPr>
        <w:t xml:space="preserve">HD</w:t>
      </w:r>
      <w:r>
        <w:t xml:space="preserve"> </w:t>
      </w:r>
      <w:r>
        <w:t xml:space="preserve">(Homogenized diet): normalized to be same for all</w:t>
      </w:r>
    </w:p>
    <w:p>
      <w:pPr>
        <w:numPr>
          <w:ilvl w:val="0"/>
          <w:numId w:val="1080"/>
        </w:numPr>
        <w:pStyle w:val="Compact"/>
      </w:pPr>
      <w:r>
        <w:t xml:space="preserve">Timepoint 5:</w:t>
      </w:r>
      <w:r>
        <w:t xml:space="preserve"> </w:t>
      </w:r>
      <w:r>
        <w:rPr>
          <w:bCs/>
          <w:b/>
        </w:rPr>
        <w:t xml:space="preserve">WO</w:t>
      </w:r>
      <w:r>
        <w:t xml:space="preserve"> </w:t>
      </w:r>
      <w:r>
        <w:t xml:space="preserve">(Washout diet), subjects can choose to eat what they want again</w:t>
      </w:r>
    </w:p>
    <w:bookmarkStart w:id="244" w:name="Xfae7ffdc1380703cfb91abdb11ddd8bd05ed544"/>
    <w:p>
      <w:pPr>
        <w:pStyle w:val="Heading4"/>
      </w:pPr>
      <w:r>
        <w:rPr>
          <w:rStyle w:val="SectionNumber"/>
        </w:rPr>
        <w:t xml:space="preserve">3.4.7.1</w:t>
      </w:r>
      <w:r>
        <w:tab/>
      </w:r>
      <w:r>
        <w:t xml:space="preserve">Activity 3-1 Explore differences between dietary changes in one subject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3-1.1 Calculate variation in ASV abundance within individual 1 (MISO1-S02) and record the first 5 values below.</w:t>
            </w:r>
          </w:p>
        </w:tc>
      </w:tr>
    </w:tbl>
    <w:p>
      <w:pPr>
        <w:pStyle w:val="BodyText"/>
      </w:pPr>
      <w:r>
        <w:t xml:space="preserve">How varied is the ASV abundance across timepoints?</w:t>
      </w:r>
    </w:p>
    <w:p>
      <w:pPr>
        <w:numPr>
          <w:ilvl w:val="0"/>
          <w:numId w:val="1081"/>
        </w:numPr>
        <w:pStyle w:val="Compact"/>
      </w:pPr>
      <w:r>
        <w:t xml:space="preserve">This involves plotting counts for ASV 1-10 for MISO1-SO2 timepoints 1 through 5.</w:t>
      </w:r>
    </w:p>
    <w:p>
      <w:pPr>
        <w:numPr>
          <w:ilvl w:val="0"/>
          <w:numId w:val="1081"/>
        </w:numPr>
        <w:pStyle w:val="Compact"/>
      </w:pPr>
      <w:r>
        <w:t xml:space="preserve">To calculate variation within a sample, we will use the VAR.S function in google sheets to calculate the variance of a sample. For more information on variance, see the Google Sheets cheatsheet.</w:t>
      </w:r>
    </w:p>
    <w:p>
      <w:pPr>
        <w:numPr>
          <w:ilvl w:val="0"/>
          <w:numId w:val="1082"/>
        </w:numPr>
        <w:pStyle w:val="Compact"/>
      </w:pPr>
      <w:r>
        <w:t xml:space="preserve">Access</w:t>
      </w:r>
      <w:r>
        <w:t xml:space="preserve"> </w:t>
      </w:r>
      <w:hyperlink r:id="rId243">
        <w:r>
          <w:rPr>
            <w:rStyle w:val="Hyperlink"/>
          </w:rPr>
          <w:t xml:space="preserve">‘</w:t>
        </w:r>
        <w:r>
          <w:rPr>
            <w:rStyle w:val="Hyperlink"/>
          </w:rPr>
          <w:t xml:space="preserve">MISO_Subject1</w:t>
        </w:r>
        <w:r>
          <w:rPr>
            <w:rStyle w:val="Hyperlink"/>
          </w:rPr>
          <w:t xml:space="preserve">’</w:t>
        </w:r>
      </w:hyperlink>
    </w:p>
    <w:p>
      <w:pPr>
        <w:numPr>
          <w:ilvl w:val="0"/>
          <w:numId w:val="1082"/>
        </w:numPr>
        <w:pStyle w:val="Compact"/>
      </w:pPr>
      <w:r>
        <w:t xml:space="preserve">Label an empty Column G by putting</w:t>
      </w:r>
      <w:r>
        <w:t xml:space="preserve"> </w:t>
      </w:r>
      <w:r>
        <w:t xml:space="preserve">“</w:t>
      </w:r>
      <w:r>
        <w:t xml:space="preserve">Variance</w:t>
      </w:r>
      <w:r>
        <w:t xml:space="preserve">”</w:t>
      </w:r>
      <w:r>
        <w:t xml:space="preserve"> </w:t>
      </w:r>
      <w:r>
        <w:t xml:space="preserve">in cell G1. Use this column to calculate variance.</w:t>
      </w:r>
    </w:p>
    <w:p>
      <w:pPr>
        <w:numPr>
          <w:ilvl w:val="0"/>
          <w:numId w:val="1082"/>
        </w:numPr>
        <w:pStyle w:val="Compact"/>
      </w:pPr>
      <w:r>
        <w:t xml:space="preserve">Starting with the first ASV use the following formula: =VAR.S(range) to calculate ASV abundance variation in the 5 samples/timepoints collected for individual MISO1-SO2. For example, for ASV1 enter formula =VAR.S(B2:F2) in cell G2.</w:t>
      </w:r>
    </w:p>
    <w:p>
      <w:pPr>
        <w:numPr>
          <w:ilvl w:val="0"/>
          <w:numId w:val="1082"/>
        </w:numPr>
        <w:pStyle w:val="Compact"/>
      </w:pPr>
      <w:r>
        <w:t xml:space="preserve">If imputed correctly, cell G2 should calculate to 14947547.8. Confirm this.</w:t>
      </w:r>
    </w:p>
    <w:p>
      <w:pPr>
        <w:numPr>
          <w:ilvl w:val="0"/>
          <w:numId w:val="1082"/>
        </w:numPr>
        <w:pStyle w:val="Compact"/>
      </w:pPr>
      <w:r>
        <w:t xml:space="preserve">Apply the calculation to all cells in the column by copy pasting the formula. For a reminder on how to do this, see the Google Sheets cheatsheet.</w:t>
      </w:r>
    </w:p>
    <w:p>
      <w:pPr>
        <w:numPr>
          <w:ilvl w:val="0"/>
          <w:numId w:val="1082"/>
        </w:numPr>
        <w:pStyle w:val="Compact"/>
      </w:pPr>
      <w:r>
        <w:t xml:space="preserve">Record the first 5 variance values below.</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 Variance:</w:t>
            </w:r>
          </w:p>
        </w:tc>
      </w:tr>
      <w:tr>
        <w:tc>
          <w:tcPr/>
          <w:p>
            <w:pPr>
              <w:pStyle w:val="Compact"/>
              <w:jc w:val="left"/>
            </w:pPr>
            <w:r>
              <w:t xml:space="preserve">ASV2 Variance:</w:t>
            </w:r>
          </w:p>
        </w:tc>
      </w:tr>
      <w:tr>
        <w:tc>
          <w:tcPr/>
          <w:p>
            <w:pPr>
              <w:pStyle w:val="Compact"/>
              <w:jc w:val="left"/>
            </w:pPr>
            <w:r>
              <w:t xml:space="preserve">ASV3 Variance:</w:t>
            </w:r>
          </w:p>
        </w:tc>
      </w:tr>
      <w:tr>
        <w:tc>
          <w:tcPr/>
          <w:p>
            <w:pPr>
              <w:pStyle w:val="Compact"/>
              <w:jc w:val="left"/>
            </w:pPr>
            <w:r>
              <w:t xml:space="preserve">ASV4 Variance:</w:t>
            </w:r>
          </w:p>
        </w:tc>
      </w:tr>
      <w:tr>
        <w:tc>
          <w:tcPr/>
          <w:p>
            <w:pPr>
              <w:pStyle w:val="Compact"/>
              <w:jc w:val="left"/>
            </w:pPr>
            <w:r>
              <w:t xml:space="preserve">ASV5 Variance:</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3-1.2 Plot ASVs with highest variance.</w:t>
            </w:r>
          </w:p>
        </w:tc>
      </w:tr>
    </w:tbl>
    <w:p>
      <w:pPr>
        <w:pStyle w:val="BodyText"/>
      </w:pPr>
      <w:r>
        <w:t xml:space="preserve">These are the ASVs whose abundance changed the most over the course of the study and could potentially depend heavily on diet. By plotting their counts, we will be able to see how the abundance of a given ASV changed throughout the experiment.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Sort the ASVs by the variance column with the largest variance values at the top.</w:t>
            </w:r>
          </w:p>
        </w:tc>
      </w:tr>
    </w:tbl>
    <w:p>
      <w:pPr>
        <w:numPr>
          <w:ilvl w:val="0"/>
          <w:numId w:val="1083"/>
        </w:numPr>
        <w:pStyle w:val="Compact"/>
      </w:pPr>
      <w:r>
        <w:t xml:space="preserve">Click on cell G2.</w:t>
      </w:r>
    </w:p>
    <w:p>
      <w:pPr>
        <w:numPr>
          <w:ilvl w:val="0"/>
          <w:numId w:val="1083"/>
        </w:numPr>
        <w:pStyle w:val="Compact"/>
      </w:pPr>
      <w:r>
        <w:t xml:space="preserve">Go to Data &gt; Sort sheet &gt; Sort sheet by column G (Z to A)</w:t>
      </w:r>
    </w:p>
    <w:p>
      <w:pPr>
        <w:numPr>
          <w:ilvl w:val="0"/>
          <w:numId w:val="1083"/>
        </w:numPr>
        <w:pStyle w:val="Compact"/>
      </w:pPr>
      <w:r>
        <w:t xml:space="preserve">Record the top 5 ASVs with the highest Variance and their Variance values below.</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After sorting ASVs based on high to low variance, make a plot of ASV counts corresponding to top 15 ASVs with the highest variance.</w:t>
            </w:r>
          </w:p>
        </w:tc>
      </w:tr>
    </w:tbl>
    <w:p>
      <w:pPr>
        <w:numPr>
          <w:ilvl w:val="0"/>
          <w:numId w:val="1084"/>
        </w:numPr>
        <w:pStyle w:val="Compact"/>
      </w:pPr>
      <w:r>
        <w:t xml:space="preserve">To make a bar graph highlight top 16 rows corresponding to sample names and the 15 ASVs with highest variance, for samples MISO1-S02-1 through 5. Do not include the</w:t>
      </w:r>
      <w:r>
        <w:t xml:space="preserve"> </w:t>
      </w:r>
      <w:r>
        <w:t xml:space="preserve">“</w:t>
      </w:r>
      <w:r>
        <w:t xml:space="preserve">Variance</w:t>
      </w:r>
      <w:r>
        <w:t xml:space="preserve">”</w:t>
      </w:r>
      <w:r>
        <w:t xml:space="preserve"> </w:t>
      </w:r>
      <w:r>
        <w:t xml:space="preserve">column.</w:t>
      </w:r>
    </w:p>
    <w:p>
      <w:pPr>
        <w:numPr>
          <w:ilvl w:val="0"/>
          <w:numId w:val="1084"/>
        </w:numPr>
        <w:pStyle w:val="Compact"/>
      </w:pPr>
      <w:r>
        <w:t xml:space="preserve">In the menu at the top of the screen, select Insert &gt; Chart.</w:t>
      </w:r>
    </w:p>
    <w:p>
      <w:pPr>
        <w:numPr>
          <w:ilvl w:val="0"/>
          <w:numId w:val="1084"/>
        </w:numPr>
        <w:pStyle w:val="Compact"/>
      </w:pPr>
      <w:r>
        <w:t xml:space="preserve">Make sure your graph is a bar plot: click on the 3 dots in the top right corner of the plot → edit chart and in the Chart editor, under Chart type, selecting Column Chart.</w:t>
      </w:r>
    </w:p>
    <w:p>
      <w:pPr>
        <w:numPr>
          <w:ilvl w:val="0"/>
          <w:numId w:val="1084"/>
        </w:numPr>
        <w:pStyle w:val="Compact"/>
      </w:pPr>
      <w:r>
        <w:t xml:space="preserve">Copy the bar graph into a box below: click on the 3 dots in the top right corner of the plot, select copy chart, then, paste it below. Your chart should look similar to the example chart with different ASVs</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chart here</w:t>
            </w:r>
          </w:p>
        </w:tc>
      </w:tr>
    </w:tbl>
    <w:bookmarkEnd w:id="244"/>
    <w:bookmarkStart w:id="245" w:name="X5d3901860f3ef04d423686540b59fbfcb35f9c6"/>
    <w:p>
      <w:pPr>
        <w:pStyle w:val="Heading4"/>
      </w:pPr>
      <w:r>
        <w:rPr>
          <w:rStyle w:val="SectionNumber"/>
        </w:rPr>
        <w:t xml:space="preserve">3.4.7.2</w:t>
      </w:r>
      <w:r>
        <w:tab/>
      </w:r>
      <w:r>
        <w:t xml:space="preserve">Activity 3-2. Are there any ASVs whose abundance changes with different diets?</w:t>
      </w:r>
    </w:p>
    <w:p>
      <w:pPr>
        <w:pStyle w:val="FirstParagraph"/>
      </w:pPr>
      <w:r>
        <w:t xml:space="preserve">Recall that there samples 1 and 2 are from the baseline diet (BD), samples 3 and 4 are on the uniform homogenized diet (HD) and sample 5 is from the washout diet.</w:t>
      </w:r>
    </w:p>
    <w:p>
      <w:pPr>
        <w:numPr>
          <w:ilvl w:val="0"/>
          <w:numId w:val="1085"/>
        </w:numPr>
        <w:pStyle w:val="Compact"/>
      </w:pPr>
      <w:r>
        <w:t xml:space="preserve">ASV_A in the example graph seems tightly linked to diet - timepoints from the same diet are similar to each other, and timepoints from different diets are different from each other.</w:t>
      </w:r>
    </w:p>
    <w:p>
      <w:pPr>
        <w:numPr>
          <w:ilvl w:val="0"/>
          <w:numId w:val="1085"/>
        </w:numPr>
        <w:pStyle w:val="Compact"/>
      </w:pPr>
      <w:r>
        <w:t xml:space="preserve">ASV_B shows a pattern that doesn’t seem connected to diet. Samples from timepoints within the same diet are not similar, while samples from different diets 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List an ASV that changes with diet and one that changes seemingly without the influence of diet:</w:t>
            </w:r>
          </w:p>
        </w:tc>
      </w:tr>
      <w:tr>
        <w:tc>
          <w:tcPr/>
          <w:p>
            <w:pPr>
              <w:pStyle w:val="Compact"/>
              <w:jc w:val="left"/>
            </w:pPr>
            <w:r>
              <w:t xml:space="preserve">ASVs that seem to change in abundance based on diet:</w:t>
            </w:r>
          </w:p>
        </w:tc>
      </w:tr>
      <w:tr>
        <w:tc>
          <w:tcPr/>
          <w:p>
            <w:pPr>
              <w:pStyle w:val="Compact"/>
              <w:jc w:val="left"/>
            </w:pPr>
            <w:r>
              <w:t xml:space="preserve">ASVs that seem to change in abundance that do not appear connected to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factors other than diet do you think might change the abundance of a microbe in the gut microbiome?</w:t>
            </w:r>
          </w:p>
        </w:tc>
      </w:tr>
      <w:tr>
        <w:tc>
          <w:tcPr/>
          <w:p>
            <w:pPr>
              <w:pStyle w:val="Compact"/>
              <w:jc w:val="left"/>
            </w:pPr>
          </w:p>
        </w:tc>
      </w:tr>
    </w:tbl>
    <w:bookmarkEnd w:id="245"/>
    <w:bookmarkEnd w:id="246"/>
    <w:bookmarkStart w:id="247" w:name="grading-criteria-2"/>
    <w:p>
      <w:pPr>
        <w:pStyle w:val="Heading3"/>
      </w:pPr>
      <w:r>
        <w:rPr>
          <w:rStyle w:val="SectionNumber"/>
        </w:rPr>
        <w:t xml:space="preserve">3.4.8</w:t>
      </w:r>
      <w:r>
        <w:tab/>
      </w:r>
      <w:r>
        <w:t xml:space="preserve">Grading criteria</w:t>
      </w:r>
    </w:p>
    <w:p>
      <w:pPr>
        <w:numPr>
          <w:ilvl w:val="0"/>
          <w:numId w:val="1086"/>
        </w:numPr>
        <w:pStyle w:val="Compact"/>
      </w:pPr>
      <w:r>
        <w:t xml:space="preserve">Download the assignment to your local computer as a .docx, complete it, and upload the assignment to your LMS (Blackboard, Canvas, Google Classroom).</w:t>
      </w:r>
    </w:p>
    <w:bookmarkEnd w:id="247"/>
    <w:bookmarkStart w:id="251" w:name="footnotes-6"/>
    <w:p>
      <w:pPr>
        <w:pStyle w:val="Heading3"/>
      </w:pPr>
      <w:r>
        <w:rPr>
          <w:rStyle w:val="SectionNumber"/>
        </w:rPr>
        <w:t xml:space="preserve">3.4.9</w:t>
      </w:r>
      <w:r>
        <w:tab/>
      </w:r>
      <w:r>
        <w:t xml:space="preserve">Footnotes</w:t>
      </w:r>
    </w:p>
    <w:bookmarkStart w:id="249" w:name="resources-10"/>
    <w:p>
      <w:pPr>
        <w:pStyle w:val="Heading4"/>
      </w:pPr>
      <w:r>
        <w:rPr>
          <w:rStyle w:val="SectionNumber"/>
        </w:rPr>
        <w:t xml:space="preserve">3.4.9.1</w:t>
      </w:r>
      <w:r>
        <w:tab/>
      </w:r>
      <w:r>
        <w:t xml:space="preserve">Resources</w:t>
      </w:r>
    </w:p>
    <w:p>
      <w:pPr>
        <w:numPr>
          <w:ilvl w:val="0"/>
          <w:numId w:val="1087"/>
        </w:numPr>
        <w:pStyle w:val="Compact"/>
      </w:pPr>
      <w:hyperlink r:id="rId248">
        <w:r>
          <w:rPr>
            <w:rStyle w:val="Hyperlink"/>
          </w:rPr>
          <w:t xml:space="preserve">Google Doc</w:t>
        </w:r>
      </w:hyperlink>
    </w:p>
    <w:p>
      <w:pPr>
        <w:numPr>
          <w:ilvl w:val="0"/>
          <w:numId w:val="1087"/>
        </w:numPr>
        <w:pStyle w:val="Compact"/>
      </w:pPr>
      <w:hyperlink r:id="rId231">
        <w:r>
          <w:rPr>
            <w:rStyle w:val="Hyperlink"/>
          </w:rPr>
          <w:t xml:space="preserve">Spreadsheets 101</w:t>
        </w:r>
      </w:hyperlink>
    </w:p>
    <w:p>
      <w:pPr>
        <w:numPr>
          <w:ilvl w:val="0"/>
          <w:numId w:val="1087"/>
        </w:numPr>
        <w:pStyle w:val="Compact"/>
      </w:pPr>
      <w:hyperlink r:id="rId235">
        <w:r>
          <w:rPr>
            <w:rStyle w:val="Hyperlink"/>
          </w:rPr>
          <w:t xml:space="preserve">‘</w:t>
        </w:r>
        <w:r>
          <w:rPr>
            <w:rStyle w:val="Hyperlink"/>
          </w:rPr>
          <w:t xml:space="preserve">MISO1-S02-1</w:t>
        </w:r>
        <w:r>
          <w:rPr>
            <w:rStyle w:val="Hyperlink"/>
          </w:rPr>
          <w:t xml:space="preserve">’</w:t>
        </w:r>
      </w:hyperlink>
      <w:r>
        <w:t xml:space="preserve"> </w:t>
      </w:r>
      <w:r>
        <w:t xml:space="preserve">spreadsheet</w:t>
      </w:r>
    </w:p>
    <w:p>
      <w:pPr>
        <w:numPr>
          <w:ilvl w:val="0"/>
          <w:numId w:val="1087"/>
        </w:numPr>
        <w:pStyle w:val="Compact"/>
      </w:pPr>
      <w:hyperlink r:id="rId238">
        <w:r>
          <w:rPr>
            <w:rStyle w:val="Hyperlink"/>
          </w:rPr>
          <w:t xml:space="preserve">MISO_WO</w:t>
        </w:r>
      </w:hyperlink>
      <w:r>
        <w:t xml:space="preserve"> </w:t>
      </w:r>
      <w:r>
        <w:t xml:space="preserve">spreadsheet</w:t>
      </w:r>
    </w:p>
    <w:p>
      <w:pPr>
        <w:numPr>
          <w:ilvl w:val="0"/>
          <w:numId w:val="1087"/>
        </w:numPr>
        <w:pStyle w:val="Compact"/>
      </w:pPr>
      <w:hyperlink r:id="rId243">
        <w:r>
          <w:rPr>
            <w:rStyle w:val="Hyperlink"/>
          </w:rPr>
          <w:t xml:space="preserve">‘</w:t>
        </w:r>
        <w:r>
          <w:rPr>
            <w:rStyle w:val="Hyperlink"/>
          </w:rPr>
          <w:t xml:space="preserve">MISO_Subject1</w:t>
        </w:r>
        <w:r>
          <w:rPr>
            <w:rStyle w:val="Hyperlink"/>
          </w:rPr>
          <w:t xml:space="preserve">’</w:t>
        </w:r>
      </w:hyperlink>
      <w:r>
        <w:t xml:space="preserve"> </w:t>
      </w:r>
      <w:r>
        <w:t xml:space="preserve">spreadsheet</w:t>
      </w:r>
    </w:p>
    <w:bookmarkEnd w:id="249"/>
    <w:bookmarkStart w:id="250" w:name="contributions-and-affiliations-6"/>
    <w:p>
      <w:pPr>
        <w:pStyle w:val="Heading4"/>
      </w:pPr>
      <w:r>
        <w:rPr>
          <w:rStyle w:val="SectionNumber"/>
        </w:rPr>
        <w:t xml:space="preserve">3.4.9.2</w:t>
      </w:r>
      <w:r>
        <w:tab/>
      </w:r>
      <w: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Gauri Paul, Clovis Community College</w:t>
      </w:r>
    </w:p>
    <w:p>
      <w:pPr>
        <w:numPr>
          <w:ilvl w:val="0"/>
          <w:numId w:val="1088"/>
        </w:numPr>
        <w:pStyle w:val="Compact"/>
      </w:pPr>
      <w:r>
        <w:t xml:space="preserve">Frederick Tan, Johns Hopkins University</w:t>
      </w:r>
    </w:p>
    <w:p>
      <w:pPr>
        <w:numPr>
          <w:ilvl w:val="0"/>
          <w:numId w:val="1088"/>
        </w:numPr>
        <w:pStyle w:val="Compact"/>
      </w:pPr>
      <w:r>
        <w:t xml:space="preserve">Sayumi York, Notre Dame of Maryland University</w:t>
      </w:r>
    </w:p>
    <w:p>
      <w:pPr>
        <w:pStyle w:val="FirstParagraph"/>
      </w:pPr>
      <w:r>
        <w:t xml:space="preserve">Last Revised: January 2026</w:t>
      </w:r>
    </w:p>
    <w:bookmarkEnd w:id="250"/>
    <w:bookmarkEnd w:id="251"/>
    <w:bookmarkEnd w:id="252"/>
    <w:bookmarkEnd w:id="253"/>
    <w:bookmarkStart w:id="310" w:name="exploring-16s-rrna-data-with-phyloseq"/>
    <w:p>
      <w:pPr>
        <w:pStyle w:val="Heading1"/>
      </w:pPr>
      <w:r>
        <w:rPr>
          <w:rStyle w:val="SectionNumber"/>
        </w:rPr>
        <w:t xml:space="preserve">4</w:t>
      </w:r>
      <w:r>
        <w:tab/>
      </w:r>
      <w:r>
        <w:t xml:space="preserve">Exploring 16S rRNA Data with phyloseq</w:t>
      </w:r>
    </w:p>
    <w:bookmarkStart w:id="254" w:name="exploring-16s-rrna-data-with-phyloseq-1"/>
    <w:p>
      <w:pPr>
        <w:pStyle w:val="Heading2"/>
      </w:pPr>
      <w:r>
        <w:rPr>
          <w:rStyle w:val="SectionNumber"/>
        </w:rPr>
        <w:t xml:space="preserve">4.1</w:t>
      </w:r>
      <w:r>
        <w:tab/>
      </w:r>
      <w:r>
        <w:t xml:space="preserve">Exploring 16S rRNA Data with phyloseq</w:t>
      </w:r>
    </w:p>
    <w:bookmarkEnd w:id="254"/>
    <w:bookmarkStart w:id="259" w:name="Xfcffbdcf25bedde438c04e8687daab58b4477b9"/>
    <w:p>
      <w:pPr>
        <w:pStyle w:val="Heading2"/>
      </w:pPr>
      <w:r>
        <w:rPr>
          <w:rStyle w:val="SectionNumber"/>
        </w:rPr>
        <w:t xml:space="preserve">4.2</w:t>
      </w:r>
      <w:r>
        <w:tab/>
      </w:r>
      <w:r>
        <w:t xml:space="preserve">Lecture - Exploring 16S rRNA Data with phyloseq</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256" name="Picture"/>
            <a:graphic>
              <a:graphicData uri="http://schemas.openxmlformats.org/drawingml/2006/picture">
                <pic:pic>
                  <pic:nvPicPr>
                    <pic:cNvPr descr="explore-phyloseq_files/figure-docx//15tv_IS177gF_px3JYKcQZmOsJg2d-GkjVXi7a-Skgs8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Lecture</w:t>
        </w:r>
      </w:hyperlink>
    </w:p>
    <w:bookmarkEnd w:id="259"/>
    <w:bookmarkStart w:id="275" w:name="X3e9a8c427ff3d180216de2316d0bc005457f816"/>
    <w:p>
      <w:pPr>
        <w:pStyle w:val="Heading2"/>
      </w:pPr>
      <w:r>
        <w:rPr>
          <w:rStyle w:val="SectionNumber"/>
        </w:rPr>
        <w:t xml:space="preserve">4.3</w:t>
      </w:r>
      <w:r>
        <w:tab/>
      </w:r>
      <w:r>
        <w:t xml:space="preserve">Activity - Exploring 16S rRNA Data with phyloseq</w:t>
      </w:r>
    </w:p>
    <w:bookmarkStart w:id="260" w:name="purpose-7"/>
    <w:p>
      <w:pPr>
        <w:pStyle w:val="Heading4"/>
      </w:pPr>
      <w:r>
        <w:rPr>
          <w:rStyle w:val="SectionNumber"/>
        </w:rPr>
        <w:t xml:space="preserve">4.3.0.1</w:t>
      </w:r>
      <w:r>
        <w:tab/>
      </w:r>
      <w:r>
        <w:t xml:space="preserve">Purpose</w:t>
      </w:r>
    </w:p>
    <w:p>
      <w:pPr>
        <w:pStyle w:val="FirstParagraph"/>
      </w:pPr>
      <w:r>
        <w:t xml:space="preserve">To explore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across individuals.</w:t>
      </w:r>
    </w:p>
    <w:p>
      <w:pPr>
        <w:pStyle w:val="BodyText"/>
      </w:pPr>
      <w:r>
        <w:t xml:space="preserve">This activity aims to explore and profile the metagenomic diversity using the R/Bioconductor package phyloseq which leverages various R-based tools to produce publication-quality taxonomy profiling and analysis graphics.</w:t>
      </w:r>
    </w:p>
    <w:bookmarkEnd w:id="260"/>
    <w:bookmarkStart w:id="261" w:name="learning-objectives-6"/>
    <w:p>
      <w:pPr>
        <w:pStyle w:val="Heading3"/>
      </w:pPr>
      <w:r>
        <w:rPr>
          <w:rStyle w:val="SectionNumber"/>
        </w:rPr>
        <w:t xml:space="preserve">4.3.1</w:t>
      </w:r>
      <w:r>
        <w:tab/>
      </w:r>
      <w:r>
        <w:t xml:space="preserve">Learning objectives</w:t>
      </w:r>
    </w:p>
    <w:p>
      <w:pPr>
        <w:numPr>
          <w:ilvl w:val="0"/>
          <w:numId w:val="1089"/>
        </w:numPr>
        <w:pStyle w:val="Compact"/>
      </w:pPr>
      <w:r>
        <w:t xml:space="preserve">Use phyloseq to explore data associated with Amplicon Sequence Variants (ASVs).</w:t>
      </w:r>
    </w:p>
    <w:p>
      <w:pPr>
        <w:numPr>
          <w:ilvl w:val="0"/>
          <w:numId w:val="1089"/>
        </w:numPr>
        <w:pStyle w:val="Compact"/>
      </w:pPr>
      <w:r>
        <w:t xml:space="preserve">In phyloseq, subset data based on metadata and taxonomy.</w:t>
      </w:r>
    </w:p>
    <w:p>
      <w:pPr>
        <w:numPr>
          <w:ilvl w:val="0"/>
          <w:numId w:val="1089"/>
        </w:numPr>
        <w:pStyle w:val="Compact"/>
      </w:pPr>
      <w:r>
        <w:t xml:space="preserve">In phyloseq, profile and plot taxonomy.</w:t>
      </w:r>
    </w:p>
    <w:bookmarkEnd w:id="261"/>
    <w:bookmarkStart w:id="262" w:name="introduction-7"/>
    <w:p>
      <w:pPr>
        <w:pStyle w:val="Heading3"/>
      </w:pPr>
      <w:r>
        <w:rPr>
          <w:rStyle w:val="SectionNumber"/>
        </w:rPr>
        <w:t xml:space="preserve">4.3.2</w:t>
      </w:r>
      <w:r>
        <w:tab/>
      </w:r>
      <w:r>
        <w:t xml:space="preserve">Introduction</w:t>
      </w:r>
    </w:p>
    <w:p>
      <w:pPr>
        <w:pStyle w:val="FirstParagraph"/>
      </w:pPr>
      <w:r>
        <w:t xml:space="preserve">The most popular sequencing technique for the analysis of bacterial diversity is targeted sequencing, or sequencing of a specific gene (or region of a gene, e.g. a hypervariable region of the bacterial 16S ribosomal rRNA gene) using polymerase chain reaction (PCR) to create sequences called amplicons. Sequence variation in the resulting amplicons creates amplicon sequence variants (ASVs). ASVs varying from as little as one single nucleotide can be defined as separate ASVs, which can be further clustered into OTUs (Operational Taxonomic Units) based on sequence similarity; e.g. as ASVs within 1% sequence difference can clustered into the same species/OTU.</w:t>
      </w:r>
    </w:p>
    <w:bookmarkEnd w:id="262"/>
    <w:bookmarkStart w:id="263" w:name="Xe45af9acbb28abccd6a23dcf034e37d37ee88bd"/>
    <w:p>
      <w:pPr>
        <w:pStyle w:val="Heading3"/>
      </w:pPr>
      <w:r>
        <w:rPr>
          <w:rStyle w:val="SectionNumber"/>
        </w:rPr>
        <w:t xml:space="preserve">4.3.3</w:t>
      </w:r>
      <w:r>
        <w:tab/>
      </w:r>
      <w:r>
        <w:t xml:space="preserve">Activity 1 – Explore 16S rRNA Data with phyloseq tutorial</w:t>
      </w:r>
    </w:p>
    <w:p>
      <w:pPr>
        <w:pStyle w:val="FirstParagraph"/>
      </w:pPr>
      <w:r>
        <w:rPr>
          <w:iCs/>
          <w:i/>
        </w:rPr>
        <w:t xml:space="preserve">Estimated time: 25 min</w:t>
      </w:r>
    </w:p>
    <w:p>
      <w:pPr>
        <w:pStyle w:val="BodyText"/>
      </w:pPr>
      <w:r>
        <w:t xml:space="preserve">Explore a phyloseq object through the</w:t>
      </w:r>
      <w:r>
        <w:t xml:space="preserve"> </w:t>
      </w:r>
      <w:r>
        <w:t xml:space="preserve">“</w:t>
      </w:r>
      <w:r>
        <w:t xml:space="preserve">Explore 16S rRNA Data with phyloseq</w:t>
      </w:r>
      <w:r>
        <w:t xml:space="preserve">”</w:t>
      </w:r>
      <w:r>
        <w:t xml:space="preserve"> </w:t>
      </w:r>
      <w:r>
        <w:t xml:space="preserve">tutorial on your cloud platform.</w:t>
      </w:r>
    </w:p>
    <w:p>
      <w:pPr>
        <w:numPr>
          <w:ilvl w:val="0"/>
          <w:numId w:val="1090"/>
        </w:numPr>
        <w:pStyle w:val="Compact"/>
      </w:pPr>
      <w:r>
        <w:t xml:space="preserve">Access the C-MOOR Tutorials</w:t>
      </w:r>
    </w:p>
    <w:p>
      <w:pPr>
        <w:numPr>
          <w:ilvl w:val="0"/>
          <w:numId w:val="1091"/>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091"/>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1-explore-ps</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091"/>
        </w:numPr>
      </w:pPr>
      <w:r>
        <w:t xml:space="preserve">If you are using an alternative setup, follow the instructions provided by your instructor.</w:t>
      </w:r>
    </w:p>
    <w:p>
      <w:pPr>
        <w:numPr>
          <w:ilvl w:val="0"/>
          <w:numId w:val="1092"/>
        </w:numPr>
        <w:pStyle w:val="Compact"/>
      </w:pPr>
      <w:r>
        <w:t xml:space="preserve">Start the</w:t>
      </w:r>
      <w:r>
        <w:t xml:space="preserve"> </w:t>
      </w:r>
      <w:r>
        <w:t xml:space="preserve">“</w:t>
      </w:r>
      <w:r>
        <w:t xml:space="preserve">Explore 16S rRNA Data with phyloseq</w:t>
      </w:r>
      <w:r>
        <w:t xml:space="preserve">”</w:t>
      </w:r>
      <w:r>
        <w:t xml:space="preserve"> </w:t>
      </w:r>
      <w:r>
        <w:t xml:space="preserve">tutorial.</w:t>
      </w:r>
    </w:p>
    <w:p>
      <w:pPr>
        <w:numPr>
          <w:ilvl w:val="0"/>
          <w:numId w:val="1092"/>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92"/>
        </w:numPr>
        <w:pStyle w:val="Compact"/>
      </w:pPr>
      <w:r>
        <w:t xml:space="preserve">This tutorial has small boxes in which you can enter and run short lines of code to analyze the data.</w:t>
      </w:r>
    </w:p>
    <w:p>
      <w:pPr>
        <w:numPr>
          <w:ilvl w:val="0"/>
          <w:numId w:val="1092"/>
        </w:numPr>
        <w:pStyle w:val="Compact"/>
      </w:pPr>
      <w:r>
        <w:t xml:space="preserve">As you work through the tutorial, take snapshots of your work and paste your answers in the grey boxes below: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 OTU_table section – Take a snapshot and paste your code and the output for the following question in the tutorial:</w:t>
            </w:r>
            <w:r>
              <w:rPr>
                <w:bCs/>
                <w:b/>
              </w:rPr>
              <w:t xml:space="preserve"> </w:t>
            </w:r>
            <w:r>
              <w:rPr>
                <w:bCs/>
                <w:b/>
              </w:rPr>
              <w:t xml:space="preserve">“</w:t>
            </w:r>
            <w:r>
              <w:rPr>
                <w:bCs/>
                <w:b/>
              </w:rPr>
              <w:t xml:space="preserve">What is the normalized count for ASV115 in sample 10?</w:t>
            </w:r>
            <w:r>
              <w:rPr>
                <w:bCs/>
                <w:b/>
              </w:rP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1-2. Visualizing Taxonomy section – Take a snapshot and paste your code and the output for the following question in the tutorial:</w:t>
            </w:r>
            <w:r>
              <w:rPr>
                <w:bCs/>
                <w:b/>
              </w:rPr>
              <w:t xml:space="preserve"> </w:t>
            </w:r>
            <w:r>
              <w:rPr>
                <w:bCs/>
                <w:b/>
              </w:rPr>
              <w:t xml:space="preserve">“</w:t>
            </w:r>
            <w:r>
              <w:rPr>
                <w:bCs/>
                <w:b/>
              </w:rPr>
              <w:t xml:space="preserve">What timepoint has the lowest proportion of phylum Verrucomicrobia?</w:t>
            </w:r>
            <w:r>
              <w:rPr>
                <w:bCs/>
                <w:b/>
              </w:rP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Using subset_taxa() section – Take a snapshot and paste your code and the output for the following question in the tutorial:</w:t>
            </w:r>
            <w:r>
              <w:rPr>
                <w:bCs/>
                <w:b/>
              </w:rPr>
              <w:t xml:space="preserve"> </w:t>
            </w:r>
            <w:r>
              <w:rPr>
                <w:bCs/>
                <w:b/>
              </w:rPr>
              <w:t xml:space="preserve">“</w:t>
            </w:r>
            <w:r>
              <w:rPr>
                <w:bCs/>
                <w:b/>
              </w:rPr>
              <w:t xml:space="preserve">What are the 2 most abundant orders in the class Gammaproteobacteria?</w:t>
            </w:r>
            <w:r>
              <w:rPr>
                <w:bCs/>
                <w:b/>
              </w:rPr>
              <w:t xml:space="preserve">”</w:t>
            </w:r>
          </w:p>
        </w:tc>
      </w:tr>
      <w:tr>
        <w:tc>
          <w:tcPr/>
          <w:p>
            <w:pPr>
              <w:pStyle w:val="Compact"/>
              <w:jc w:val="left"/>
            </w:pPr>
          </w:p>
        </w:tc>
      </w:tr>
    </w:tbl>
    <w:p>
      <w:pPr>
        <w:pStyle w:val="BodyText"/>
      </w:pPr>
    </w:p>
    <w:bookmarkEnd w:id="263"/>
    <w:bookmarkStart w:id="268" w:name="activity-2-try-it-out-questions"/>
    <w:p>
      <w:pPr>
        <w:pStyle w:val="Heading3"/>
      </w:pPr>
      <w:r>
        <w:rPr>
          <w:rStyle w:val="SectionNumber"/>
        </w:rPr>
        <w:t xml:space="preserve">4.3.4</w:t>
      </w:r>
      <w:r>
        <w:tab/>
      </w:r>
      <w:r>
        <w:t xml:space="preserve">Activity 2 – Try it out questions</w:t>
      </w:r>
    </w:p>
    <w:p>
      <w:pPr>
        <w:pStyle w:val="FirstParagraph"/>
      </w:pPr>
      <w:r>
        <w:rPr>
          <w:iCs/>
          <w:i/>
        </w:rPr>
        <w:t xml:space="preserve">Estimated time: 60 min</w:t>
      </w:r>
    </w:p>
    <w:p>
      <w:pPr>
        <w:pStyle w:val="BodyText"/>
      </w:pPr>
      <w:r>
        <w:t xml:space="preserve">With your group, perform some exploratory data analysis selecting from one of the four questions below or coming up with your own question. Each question has its own section with code templates for you to use below. Select a question here, then go to the page specific to your question.</w:t>
      </w:r>
    </w:p>
    <w:bookmarkStart w:id="264" w:name="X3970f89dd765a83559f7ef93a84d5c8174de857"/>
    <w:p>
      <w:pPr>
        <w:pStyle w:val="Heading4"/>
      </w:pPr>
      <w:r>
        <w:rPr>
          <w:rStyle w:val="SectionNumber"/>
        </w:rPr>
        <w:t xml:space="preserve">4.3.4.1</w:t>
      </w:r>
      <w:r>
        <w:tab/>
      </w:r>
      <w:r>
        <w:t xml:space="preserve">Question 1. What has more impact on human microbial variation, diet or individuality?</w:t>
      </w:r>
    </w:p>
    <w:p>
      <w:pPr>
        <w:pStyle w:val="FirstParagraph"/>
      </w:pPr>
      <w:r>
        <w:t xml:space="preserve">Diet is suggested to play an important role in shaping the human gut microbiome. However, other factors that are specific to an individual such as their physical fitness, metabolism, and genotype are also suspected to play a strong role. Here we will explore the impact of diet and individuality on human gut microbiome.</w:t>
      </w:r>
    </w:p>
    <w:p>
      <w:pPr>
        <w:pStyle w:val="BodyText"/>
      </w:pPr>
      <w:r>
        <w:t xml:space="preserve">Approach: Examine high-level (Phylum) taxonomy for 5 timepoints and 21 individuals and evaluate if the change of diet or inter-individual differences have more impact on microbe variation.</w:t>
      </w:r>
    </w:p>
    <w:p>
      <w:pPr>
        <w:numPr>
          <w:ilvl w:val="0"/>
          <w:numId w:val="1093"/>
        </w:numPr>
        <w:pStyle w:val="Compact"/>
      </w:pPr>
      <w:r>
        <w:t xml:space="preserve">Evaluate the effect of diet – Plot the three dietary groups BD, HD, and WO corresponding to 5 experimental timepoints (where timepoints 1 and 2 are BD, timepoints 3 and 4 are HD and timepoint 5 is WO).</w:t>
      </w:r>
    </w:p>
    <w:p>
      <w:pPr>
        <w:numPr>
          <w:ilvl w:val="0"/>
          <w:numId w:val="1093"/>
        </w:numPr>
        <w:pStyle w:val="Compact"/>
      </w:pPr>
      <w:r>
        <w:t xml:space="preserve">Evaluate the effect of individuality – Plot the microbiome for all 21 individuals but focus on just the HD timepointgroup (where diet is the same).</w:t>
      </w:r>
    </w:p>
    <w:bookmarkEnd w:id="264"/>
    <w:bookmarkStart w:id="265" w:name="Xff240a2d483d54ced52f51f9c4c7d07d2360700"/>
    <w:p>
      <w:pPr>
        <w:pStyle w:val="Heading4"/>
      </w:pPr>
      <w:r>
        <w:rPr>
          <w:rStyle w:val="SectionNumber"/>
        </w:rPr>
        <w:t xml:space="preserve">4.3.4.2</w:t>
      </w:r>
      <w:r>
        <w:tab/>
      </w:r>
      <w:r>
        <w:t xml:space="preserve">Question 2. What are some of the most abundant microbes when viewed at different taxonomic resolutions?</w:t>
      </w:r>
    </w:p>
    <w:p>
      <w:pPr>
        <w:pStyle w:val="FirstParagraph"/>
      </w:pPr>
      <w:r>
        <w:t xml:space="preserve">Microbes within the core microbiome - the most common and abundant species across samples in a given group - are likely to be involved in key functions of the holobiont. Here we will explore some of the most common microbes at increasing levels of taxonomic resolution.</w:t>
      </w:r>
    </w:p>
    <w:p>
      <w:pPr>
        <w:pStyle w:val="BodyText"/>
      </w:pPr>
      <w:r>
        <w:t xml:space="preserve">Approach: Examine microbial composition for most abundant taxonomic ranks in the human gut of the 21 individuals. To do so, you will use progressive sub-setting of the most abundant taxonomic ranks ranging from Phylum down to Species.</w:t>
      </w:r>
    </w:p>
    <w:p>
      <w:pPr>
        <w:numPr>
          <w:ilvl w:val="0"/>
          <w:numId w:val="1094"/>
        </w:numPr>
        <w:pStyle w:val="Compact"/>
      </w:pPr>
      <w:r>
        <w:t xml:space="preserve">Plot all the Phyla and identify the most abundant Phylum</w:t>
      </w:r>
    </w:p>
    <w:p>
      <w:pPr>
        <w:numPr>
          <w:ilvl w:val="0"/>
          <w:numId w:val="1094"/>
        </w:numPr>
        <w:pStyle w:val="Compact"/>
      </w:pPr>
      <w:r>
        <w:t xml:space="preserve">Subset the most abundant Phylum, and plot all the Orders</w:t>
      </w:r>
    </w:p>
    <w:p>
      <w:pPr>
        <w:numPr>
          <w:ilvl w:val="0"/>
          <w:numId w:val="1094"/>
        </w:numPr>
        <w:pStyle w:val="Compact"/>
      </w:pPr>
      <w:r>
        <w:t xml:space="preserve">Subset the most abundant Order, and plot all the Families</w:t>
      </w:r>
    </w:p>
    <w:p>
      <w:pPr>
        <w:numPr>
          <w:ilvl w:val="0"/>
          <w:numId w:val="1094"/>
        </w:numPr>
        <w:pStyle w:val="Compact"/>
      </w:pPr>
      <w:r>
        <w:t xml:space="preserve">Subset the most abundant Family, and plot all the Genera</w:t>
      </w:r>
    </w:p>
    <w:p>
      <w:pPr>
        <w:numPr>
          <w:ilvl w:val="0"/>
          <w:numId w:val="1094"/>
        </w:numPr>
        <w:pStyle w:val="Compact"/>
      </w:pPr>
      <w:r>
        <w:t xml:space="preserve">Subset the most abundant Genus, and plot all the Species</w:t>
      </w:r>
    </w:p>
    <w:bookmarkEnd w:id="265"/>
    <w:bookmarkStart w:id="266" w:name="Xceaa160192ac623c0852540bd90f0b232ee8573"/>
    <w:p>
      <w:pPr>
        <w:pStyle w:val="Heading4"/>
      </w:pPr>
      <w:r>
        <w:rPr>
          <w:rStyle w:val="SectionNumber"/>
        </w:rPr>
        <w:t xml:space="preserve">4.3.4.3</w:t>
      </w:r>
      <w:r>
        <w:tab/>
      </w:r>
      <w:r>
        <w:t xml:space="preserve">Question 3. Does gender have an impact on the human gut microbiome?</w:t>
      </w:r>
    </w:p>
    <w:p>
      <w:pPr>
        <w:pStyle w:val="FirstParagraph"/>
      </w:pPr>
      <w:r>
        <w:t xml:space="preserve">The biological sex of the host has been suggested to help shape or influence its gut microbiome. Some candidate microbes have been implicated in sex differences. Here we will explore the potential gender-based differences in the human gut microbiome.</w:t>
      </w:r>
    </w:p>
    <w:p>
      <w:pPr>
        <w:pStyle w:val="BodyText"/>
      </w:pPr>
      <w:r>
        <w:t xml:space="preserve">Approach: Test if Phyla and/or species vary based on gender. First you will survey the differences between male and female subjects in the composition of their Phylum and species. Then you will select some candidate microbes of interest to examine in further detail.</w:t>
      </w:r>
    </w:p>
    <w:p>
      <w:pPr>
        <w:numPr>
          <w:ilvl w:val="0"/>
          <w:numId w:val="1095"/>
        </w:numPr>
        <w:pStyle w:val="Compact"/>
      </w:pPr>
      <w:r>
        <w:t xml:space="preserve">Survey differences in phylum and species composition by gender.</w:t>
      </w:r>
    </w:p>
    <w:p>
      <w:pPr>
        <w:numPr>
          <w:ilvl w:val="0"/>
          <w:numId w:val="1095"/>
        </w:numPr>
        <w:pStyle w:val="Compact"/>
      </w:pPr>
      <w:r>
        <w:t xml:space="preserve">Plot differences in species for a high abundance phylum by gender.</w:t>
      </w:r>
    </w:p>
    <w:p>
      <w:pPr>
        <w:numPr>
          <w:ilvl w:val="0"/>
          <w:numId w:val="1095"/>
        </w:numPr>
        <w:pStyle w:val="Compact"/>
      </w:pPr>
      <w:r>
        <w:t xml:space="preserve">Plot differences in species for a low abundance phylum by gender.</w:t>
      </w:r>
    </w:p>
    <w:p>
      <w:pPr>
        <w:numPr>
          <w:ilvl w:val="0"/>
          <w:numId w:val="1095"/>
        </w:numPr>
        <w:pStyle w:val="Compact"/>
      </w:pPr>
      <w:r>
        <w:t xml:space="preserve">Plot two candidate microbes reported in the literature to vary with gender.</w:t>
      </w:r>
    </w:p>
    <w:bookmarkEnd w:id="266"/>
    <w:bookmarkStart w:id="267" w:name="X1ad1701246c1eca43dcadb7b5da61951b044c41"/>
    <w:p>
      <w:pPr>
        <w:pStyle w:val="Heading4"/>
      </w:pPr>
      <w:r>
        <w:rPr>
          <w:rStyle w:val="SectionNumber"/>
        </w:rPr>
        <w:t xml:space="preserve">4.3.4.4</w:t>
      </w:r>
      <w:r>
        <w:tab/>
      </w:r>
      <w:r>
        <w:t xml:space="preserve">Question 4. Does age have an impact on human gut microbiomes?</w:t>
      </w:r>
    </w:p>
    <w:p>
      <w:pPr>
        <w:pStyle w:val="FirstParagraph"/>
      </w:pPr>
      <w:r>
        <w:t xml:space="preserve">The human gut microbiome has been associated with age-related disease states, immune-system changes, and metabolic function. Here we will explore the potential microbiome changes associated with aging.</w:t>
      </w:r>
    </w:p>
    <w:p>
      <w:pPr>
        <w:pStyle w:val="BodyText"/>
      </w:pPr>
      <w:r>
        <w:t xml:space="preserve">Approach: Test if Phylum and/or species composition differs by age across the dataset. First you will plot the relationship between age and phylum; we will see that age is a more challenging variable to work with than our categorical variables. You will collapse and transform the data to fix this issue to create a final plot for your interpretation.</w:t>
      </w:r>
    </w:p>
    <w:p>
      <w:pPr>
        <w:numPr>
          <w:ilvl w:val="0"/>
          <w:numId w:val="1096"/>
        </w:numPr>
        <w:pStyle w:val="Compact"/>
      </w:pPr>
      <w:r>
        <w:t xml:space="preserve">Plot all Phyla based on age.</w:t>
      </w:r>
    </w:p>
    <w:p>
      <w:pPr>
        <w:numPr>
          <w:ilvl w:val="0"/>
          <w:numId w:val="1096"/>
        </w:numPr>
        <w:pStyle w:val="Compact"/>
      </w:pPr>
      <w:r>
        <w:t xml:space="preserve">Normalize age that includes multiple individuals to avoid overestimation (e.g., 2 individuals are of age 27, 46 and 58, and 3 individuals are 54).</w:t>
      </w:r>
    </w:p>
    <w:p>
      <w:pPr>
        <w:numPr>
          <w:ilvl w:val="0"/>
          <w:numId w:val="1096"/>
        </w:numPr>
        <w:pStyle w:val="Compact"/>
      </w:pPr>
      <w:r>
        <w:t xml:space="preserve">Profile candidate Phyla Firmicutes based on age.</w:t>
      </w:r>
    </w:p>
    <w:p>
      <w:pPr>
        <w:numPr>
          <w:ilvl w:val="0"/>
          <w:numId w:val="1096"/>
        </w:numPr>
        <w:pStyle w:val="Compact"/>
      </w:pPr>
      <w:r>
        <w:t xml:space="preserve">Profile candidate Phyla Bacteroidetes based on age.</w:t>
      </w:r>
    </w:p>
    <w:bookmarkEnd w:id="267"/>
    <w:bookmarkEnd w:id="268"/>
    <w:bookmarkStart w:id="269" w:name="grading-criteria-3"/>
    <w:p>
      <w:pPr>
        <w:pStyle w:val="Heading3"/>
      </w:pPr>
      <w:r>
        <w:rPr>
          <w:rStyle w:val="SectionNumber"/>
        </w:rPr>
        <w:t xml:space="preserve">4.3.5</w:t>
      </w:r>
      <w:r>
        <w:tab/>
      </w:r>
      <w:r>
        <w:t xml:space="preserve">Grading criteria</w:t>
      </w:r>
    </w:p>
    <w:p>
      <w:pPr>
        <w:numPr>
          <w:ilvl w:val="0"/>
          <w:numId w:val="1097"/>
        </w:numPr>
        <w:pStyle w:val="Compact"/>
      </w:pPr>
      <w:r>
        <w:t xml:space="preserve">Download the assignment to your local computer as a .docx, complete it, and upload the assignment to your LMS (Blackboard, Canvas, Google Classroom).</w:t>
      </w:r>
    </w:p>
    <w:bookmarkEnd w:id="269"/>
    <w:bookmarkStart w:id="274" w:name="footnotes-7"/>
    <w:p>
      <w:pPr>
        <w:pStyle w:val="Heading3"/>
      </w:pPr>
      <w:r>
        <w:rPr>
          <w:rStyle w:val="SectionNumber"/>
        </w:rPr>
        <w:t xml:space="preserve">4.3.6</w:t>
      </w:r>
      <w:r>
        <w:tab/>
      </w:r>
      <w:r>
        <w:t xml:space="preserve">Footnotes</w:t>
      </w:r>
    </w:p>
    <w:bookmarkStart w:id="272" w:name="resources-11"/>
    <w:p>
      <w:pPr>
        <w:pStyle w:val="Heading4"/>
      </w:pPr>
      <w:r>
        <w:rPr>
          <w:rStyle w:val="SectionNumber"/>
        </w:rPr>
        <w:t xml:space="preserve">4.3.6.1</w:t>
      </w:r>
      <w:r>
        <w:tab/>
      </w:r>
      <w:r>
        <w:t xml:space="preserve">Resources</w:t>
      </w:r>
    </w:p>
    <w:p>
      <w:pPr>
        <w:numPr>
          <w:ilvl w:val="0"/>
          <w:numId w:val="1098"/>
        </w:numPr>
        <w:pStyle w:val="Compact"/>
      </w:pPr>
      <w:hyperlink r:id="rId270">
        <w:r>
          <w:rPr>
            <w:rStyle w:val="Hyperlink"/>
          </w:rPr>
          <w:t xml:space="preserve">Google Doc</w:t>
        </w:r>
      </w:hyperlink>
    </w:p>
    <w:p>
      <w:pPr>
        <w:numPr>
          <w:ilvl w:val="0"/>
          <w:numId w:val="1098"/>
        </w:numPr>
        <w:pStyle w:val="Compact"/>
      </w:pPr>
      <w:hyperlink r:id="rId271">
        <w:r>
          <w:rPr>
            <w:rStyle w:val="Hyperlink"/>
          </w:rPr>
          <w:t xml:space="preserve">16S rRNA R Quick Reference</w:t>
        </w:r>
      </w:hyperlink>
    </w:p>
    <w:bookmarkEnd w:id="272"/>
    <w:bookmarkStart w:id="273" w:name="contributions-and-affiliations-7"/>
    <w:p>
      <w:pPr>
        <w:pStyle w:val="Heading4"/>
      </w:pPr>
      <w:r>
        <w:rPr>
          <w:rStyle w:val="SectionNumber"/>
        </w:rPr>
        <w:t xml:space="preserve">4.3.6.2</w:t>
      </w:r>
      <w:r>
        <w:tab/>
      </w:r>
      <w:r>
        <w:t xml:space="preserve">Contributions and affiliations</w:t>
      </w:r>
    </w:p>
    <w:p>
      <w:pPr>
        <w:numPr>
          <w:ilvl w:val="0"/>
          <w:numId w:val="1099"/>
        </w:numPr>
        <w:pStyle w:val="Compact"/>
      </w:pPr>
      <w:r>
        <w:t xml:space="preserve">Valeriya Gaysinskaya, Johns Hopkins University</w:t>
      </w:r>
    </w:p>
    <w:p>
      <w:pPr>
        <w:numPr>
          <w:ilvl w:val="0"/>
          <w:numId w:val="1099"/>
        </w:numPr>
        <w:pStyle w:val="Compact"/>
      </w:pPr>
      <w:r>
        <w:t xml:space="preserve">Gauri Paul, Clovis Community College</w:t>
      </w:r>
    </w:p>
    <w:p>
      <w:pPr>
        <w:numPr>
          <w:ilvl w:val="0"/>
          <w:numId w:val="1099"/>
        </w:numPr>
        <w:pStyle w:val="Compact"/>
      </w:pPr>
      <w:r>
        <w:t xml:space="preserve">Frederick Tan, Johns Hopkins University</w:t>
      </w:r>
    </w:p>
    <w:p>
      <w:pPr>
        <w:numPr>
          <w:ilvl w:val="0"/>
          <w:numId w:val="1099"/>
        </w:numPr>
        <w:pStyle w:val="Compact"/>
      </w:pPr>
      <w:r>
        <w:t xml:space="preserve">Sayumi York, Notre Dame of Maryland University</w:t>
      </w:r>
    </w:p>
    <w:bookmarkEnd w:id="273"/>
    <w:bookmarkEnd w:id="274"/>
    <w:bookmarkEnd w:id="275"/>
    <w:bookmarkStart w:id="282" w:name="X4d4ca1b452e7987c69de277e9ce95c54822fb0d"/>
    <w:p>
      <w:pPr>
        <w:pStyle w:val="Heading2"/>
      </w:pPr>
      <w:r>
        <w:rPr>
          <w:rStyle w:val="SectionNumber"/>
        </w:rPr>
        <w:t xml:space="preserve">4.4</w:t>
      </w:r>
      <w:r>
        <w:tab/>
      </w:r>
      <w:r>
        <w:t xml:space="preserve">Try it Question 1 - What has more impact on human microbial variation, diet or individuality</w:t>
      </w:r>
    </w:p>
    <w:p>
      <w:pPr>
        <w:pStyle w:val="FirstParagraph"/>
      </w:pPr>
      <w:r>
        <w:t xml:space="preserve">Diet is suggested to play an important role in shaping the human gut microbiome. However, other factors that are specific to an individual such as their physical fitness, metabolism, and genotype are also suspected to play a strong role. Here we will explore the impact of diet and individuality on the human gut microbiome.</w:t>
      </w:r>
    </w:p>
    <w:p>
      <w:pPr>
        <w:pStyle w:val="BodyText"/>
      </w:pPr>
      <w:r>
        <w:t xml:space="preserve">Approach: Plot high level taxa (Phyla) for all timepoints and subjects and compare the plots to determine which factor has a stronger effect on microbiome composition.</w:t>
      </w:r>
    </w:p>
    <w:bookmarkStart w:id="276" w:name="Xc42490a7e52876b0cf8b34ba878c458ecf6c0d4"/>
    <w:p>
      <w:pPr>
        <w:pStyle w:val="Heading3"/>
      </w:pPr>
      <w:r>
        <w:rPr>
          <w:rStyle w:val="SectionNumber"/>
        </w:rPr>
        <w:t xml:space="preserve">4.4.1</w:t>
      </w:r>
      <w:r>
        <w:tab/>
      </w:r>
      <w:r>
        <w:t xml:space="preserve">Step 1A: Plot high-level taxonomy (Phylum level) for each timepoint using the plot_bar() function.** Specifically, your plot should show Phyla diversity across all 5 timepoints.</w:t>
      </w:r>
    </w:p>
    <w:p>
      <w:pPr>
        <w:numPr>
          <w:ilvl w:val="0"/>
          <w:numId w:val="1100"/>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00"/>
        </w:numPr>
        <w:pStyle w:val="Compact"/>
      </w:pPr>
      <w:r>
        <w:t xml:space="preserve">Ensure your plot has a title</w:t>
      </w:r>
    </w:p>
    <w:p>
      <w:pPr>
        <w:numPr>
          <w:ilvl w:val="0"/>
          <w:numId w:val="1100"/>
        </w:numPr>
        <w:pStyle w:val="Compact"/>
      </w:pPr>
      <w:r>
        <w:t xml:space="preserve">Remember, the BD diet includes timepoints 1 and 2, the HD diet includes timepoints 3 and 4, and the WO diet includes timepoint 5.</w:t>
      </w:r>
    </w:p>
    <w:p>
      <w:pPr>
        <w:numPr>
          <w:ilvl w:val="0"/>
          <w:numId w:val="1100"/>
        </w:numPr>
        <w:pStyle w:val="Compact"/>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figure 1A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the gut microbiome at the phyla-level look similar for the two samples within the baseline diet treatment (timepoints 1&amp;2)?</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Does the gut microbiome at the phyla-level look similar for the two samples within the homogenous diet treatment (timepoints 3&amp;4)?</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1A-4. Does the gut microbiome at the phyla-level look different between diet treatments (timepoints 1 &amp; 2 vs. 3 &amp; 4 vs 5?)</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1A-5 Based on what you wrote above, conclude the effect of diet on the gut microbiome at the level of phylum.</w:t>
            </w:r>
          </w:p>
        </w:tc>
      </w:tr>
      <w:tr>
        <w:tc>
          <w:tcPr/>
          <w:p>
            <w:pPr>
              <w:pStyle w:val="Compact"/>
              <w:jc w:val="left"/>
            </w:pPr>
          </w:p>
        </w:tc>
      </w:tr>
    </w:tbl>
    <w:p>
      <w:pPr>
        <w:pStyle w:val="BodyText"/>
      </w:pPr>
    </w:p>
    <w:bookmarkEnd w:id="276"/>
    <w:bookmarkStart w:id="277" w:name="X2d4d82d780c68e758a74280799ee71fc953bd97"/>
    <w:p>
      <w:pPr>
        <w:pStyle w:val="Heading3"/>
      </w:pPr>
      <w:r>
        <w:rPr>
          <w:rStyle w:val="SectionNumber"/>
        </w:rPr>
        <w:t xml:space="preserve">4.4.2</w:t>
      </w:r>
      <w:r>
        <w:tab/>
      </w:r>
      <w:r>
        <w:t xml:space="preserve">Step 1B: Plot high-level taxonomy (Phylum level) for each individual, using only normalized homogenized diet</w:t>
      </w:r>
      <w:r>
        <w:t xml:space="preserve"> </w:t>
      </w:r>
      <w:r>
        <w:t xml:space="preserve">“</w:t>
      </w:r>
      <w:r>
        <w:t xml:space="preserve">HD</w:t>
      </w:r>
      <w:r>
        <w:t xml:space="preserve">”</w:t>
      </w:r>
      <w:r>
        <w:t xml:space="preserve"> </w:t>
      </w:r>
      <w:r>
        <w:t xml:space="preserve">timepoints to minimize contribution of diet to the analysis using the plot_bar() function.</w:t>
      </w:r>
    </w:p>
    <w:p>
      <w:pPr>
        <w:pStyle w:val="SourceCode"/>
      </w:pPr>
      <w:r>
        <w:rPr>
          <w:rStyle w:val="NormalTok"/>
        </w:rPr>
        <w:t xml:space="preserve">misoHD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"HD"</w:t>
      </w:r>
      <w:r>
        <w:rPr>
          <w:rStyle w:val="NormalTok"/>
        </w:rPr>
        <w:t xml:space="preserve">)</w:t>
      </w:r>
      <w:r>
        <w:br/>
      </w:r>
      <w:r>
        <w:rPr>
          <w:rStyle w:val="FunctionTok"/>
        </w:rPr>
        <w:t xml:space="preserve">plot_bar</w:t>
      </w:r>
      <w:r>
        <w:rPr>
          <w:rStyle w:val="NormalTok"/>
        </w:rPr>
        <w:t xml:space="preserve">(misoHD,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p>
      <w:pPr>
        <w:numPr>
          <w:ilvl w:val="0"/>
          <w:numId w:val="1101"/>
        </w:numPr>
        <w:pStyle w:val="Compact"/>
      </w:pPr>
      <w:r>
        <w:t xml:space="preserve">Specifically, your plot should show Phyla diversity across all 21 individuals at HD timepoints.</w:t>
      </w:r>
    </w:p>
    <w:p>
      <w:pPr>
        <w:numPr>
          <w:ilvl w:val="0"/>
          <w:numId w:val="1101"/>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01"/>
        </w:numPr>
        <w:pStyle w:val="Compact"/>
      </w:pPr>
      <w:r>
        <w:t xml:space="preserve">Check that your plot has a title</w:t>
      </w:r>
    </w:p>
    <w:p>
      <w:pPr>
        <w:numPr>
          <w:ilvl w:val="0"/>
          <w:numId w:val="1101"/>
        </w:numPr>
        <w:pStyle w:val="Compact"/>
      </w:pPr>
      <w:r>
        <w:t xml:space="preserve">Use the command below to create a phyloseq object with only</w:t>
      </w:r>
      <w:r>
        <w:t xml:space="preserve"> </w:t>
      </w:r>
      <w:r>
        <w:t xml:space="preserve">“</w:t>
      </w:r>
      <w:r>
        <w:t xml:space="preserve">HD</w:t>
      </w:r>
      <w:r>
        <w:t xml:space="preserve">”</w:t>
      </w:r>
      <w:r>
        <w:t xml:space="preserve"> </w:t>
      </w:r>
      <w:r>
        <w:t xml:space="preserve">timepoints and fill in the template code to make your plot.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1B-1. Paste your Figure 1B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1B-2. How different is the gut microbiome between subjects?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1B-3. Based on this figure, what is the effect of the individual on the gut microbiome composition at the level of phylum?</w:t>
            </w:r>
            <w:r>
              <w:t xml:space="preserve"> </w:t>
            </w:r>
            <w:r>
              <w:t xml:space="preserve">Remember, this figure contains data for subjects who were all eating the same homogenized diet. So, the effect of diet is controlled for here and we can see the effect of the individual, which encompasses their lifestyle, genetic factors, age, and unique biology.</w:t>
            </w:r>
          </w:p>
        </w:tc>
      </w:tr>
      <w:tr>
        <w:tc>
          <w:tcPr/>
          <w:p>
            <w:pPr>
              <w:pStyle w:val="Compact"/>
              <w:jc w:val="left"/>
            </w:pPr>
          </w:p>
        </w:tc>
      </w:tr>
    </w:tbl>
    <w:p>
      <w:pPr>
        <w:pStyle w:val="BodyText"/>
      </w:pPr>
    </w:p>
    <w:bookmarkEnd w:id="277"/>
    <w:bookmarkStart w:id="278" w:name="grading-criteria-4"/>
    <w:p>
      <w:pPr>
        <w:pStyle w:val="Heading3"/>
      </w:pPr>
      <w:r>
        <w:rPr>
          <w:rStyle w:val="SectionNumber"/>
        </w:rPr>
        <w:t xml:space="preserve">4.4.3</w:t>
      </w:r>
      <w:r>
        <w:tab/>
      </w:r>
      <w:r>
        <w:t xml:space="preserve">Grading criteria</w:t>
      </w:r>
    </w:p>
    <w:p>
      <w:pPr>
        <w:numPr>
          <w:ilvl w:val="0"/>
          <w:numId w:val="1102"/>
        </w:numPr>
        <w:pStyle w:val="Compact"/>
      </w:pPr>
      <w:r>
        <w:t xml:space="preserve">Download the assignment to your local computer as a .docx, complete it, and upload the assignment to your LMS (Blackboard, Canvas, Google Classroom).</w:t>
      </w:r>
    </w:p>
    <w:bookmarkEnd w:id="278"/>
    <w:bookmarkStart w:id="281" w:name="footnotes-8"/>
    <w:p>
      <w:pPr>
        <w:pStyle w:val="Heading3"/>
      </w:pPr>
      <w:r>
        <w:rPr>
          <w:rStyle w:val="SectionNumber"/>
        </w:rPr>
        <w:t xml:space="preserve">4.4.4</w:t>
      </w:r>
      <w:r>
        <w:tab/>
      </w:r>
      <w:r>
        <w:t xml:space="preserve">Footnotes</w:t>
      </w:r>
    </w:p>
    <w:bookmarkStart w:id="279" w:name="resources-12"/>
    <w:p>
      <w:pPr>
        <w:pStyle w:val="Heading4"/>
      </w:pPr>
      <w:r>
        <w:rPr>
          <w:rStyle w:val="SectionNumber"/>
        </w:rPr>
        <w:t xml:space="preserve">4.4.4.1</w:t>
      </w:r>
      <w:r>
        <w:tab/>
      </w:r>
      <w:r>
        <w:t xml:space="preserve">Resources</w:t>
      </w:r>
    </w:p>
    <w:p>
      <w:pPr>
        <w:numPr>
          <w:ilvl w:val="0"/>
          <w:numId w:val="1103"/>
        </w:numPr>
        <w:pStyle w:val="Compact"/>
      </w:pPr>
      <w:hyperlink r:id="rId270">
        <w:r>
          <w:rPr>
            <w:rStyle w:val="Hyperlink"/>
          </w:rPr>
          <w:t xml:space="preserve">Google Doc</w:t>
        </w:r>
      </w:hyperlink>
    </w:p>
    <w:p>
      <w:pPr>
        <w:numPr>
          <w:ilvl w:val="0"/>
          <w:numId w:val="1103"/>
        </w:numPr>
        <w:pStyle w:val="Compact"/>
      </w:pPr>
      <w:hyperlink r:id="rId271">
        <w:r>
          <w:rPr>
            <w:rStyle w:val="Hyperlink"/>
          </w:rPr>
          <w:t xml:space="preserve">16S rRNA R Quick Reference</w:t>
        </w:r>
      </w:hyperlink>
    </w:p>
    <w:bookmarkEnd w:id="279"/>
    <w:bookmarkStart w:id="280" w:name="contributions-and-affiliations-8"/>
    <w:p>
      <w:pPr>
        <w:pStyle w:val="Heading4"/>
      </w:pPr>
      <w:r>
        <w:rPr>
          <w:rStyle w:val="SectionNumber"/>
        </w:rPr>
        <w:t xml:space="preserve">4.4.4.2</w:t>
      </w:r>
      <w:r>
        <w:tab/>
      </w:r>
      <w:r>
        <w:t xml:space="preserve">Contributions and affiliations</w:t>
      </w:r>
    </w:p>
    <w:p>
      <w:pPr>
        <w:numPr>
          <w:ilvl w:val="0"/>
          <w:numId w:val="1104"/>
        </w:numPr>
        <w:pStyle w:val="Compact"/>
      </w:pPr>
      <w:r>
        <w:t xml:space="preserve">Valeriya Gaysinskaya, Johns Hopkins University</w:t>
      </w:r>
    </w:p>
    <w:p>
      <w:pPr>
        <w:numPr>
          <w:ilvl w:val="0"/>
          <w:numId w:val="1104"/>
        </w:numPr>
        <w:pStyle w:val="Compact"/>
      </w:pPr>
      <w:r>
        <w:t xml:space="preserve">Gauri Paul, Clovis Community College</w:t>
      </w:r>
    </w:p>
    <w:p>
      <w:pPr>
        <w:numPr>
          <w:ilvl w:val="0"/>
          <w:numId w:val="1104"/>
        </w:numPr>
        <w:pStyle w:val="Compact"/>
      </w:pPr>
      <w:r>
        <w:t xml:space="preserve">Frederick Tan, Johns Hopkins University</w:t>
      </w:r>
    </w:p>
    <w:p>
      <w:pPr>
        <w:numPr>
          <w:ilvl w:val="0"/>
          <w:numId w:val="1104"/>
        </w:numPr>
        <w:pStyle w:val="Compact"/>
      </w:pPr>
      <w:r>
        <w:t xml:space="preserve">Sayumi York, Notre Dame of Maryland University</w:t>
      </w:r>
    </w:p>
    <w:bookmarkEnd w:id="280"/>
    <w:bookmarkEnd w:id="281"/>
    <w:bookmarkEnd w:id="282"/>
    <w:bookmarkStart w:id="292" w:name="X52620bebbd61fa8f7bc585afe2b70105c561004"/>
    <w:p>
      <w:pPr>
        <w:pStyle w:val="Heading2"/>
      </w:pPr>
      <w:r>
        <w:rPr>
          <w:rStyle w:val="SectionNumber"/>
        </w:rPr>
        <w:t xml:space="preserve">4.5</w:t>
      </w:r>
      <w:r>
        <w:tab/>
      </w:r>
      <w:r>
        <w:t xml:space="preserve">Try it Question 2 - What are some of the most abundant microbes when viewed at different taxonomic resolutions</w:t>
      </w:r>
    </w:p>
    <w:p>
      <w:pPr>
        <w:pStyle w:val="FirstParagraph"/>
      </w:pPr>
      <w:r>
        <w:t xml:space="preserve">Microbes within the core microbiome - the most common and abundant species across samples in a given group - are likely to be involved in key functions of the holobiont. Here we will explore some of the most common microbes at increasing levels of taxonomic resolution.</w:t>
      </w:r>
    </w:p>
    <w:p>
      <w:pPr>
        <w:pStyle w:val="BodyText"/>
      </w:pPr>
      <w:r>
        <w:t xml:space="preserve">Approach: Plot progressively lower level taxa for all individuals, subsetting most abundant from each rank.</w:t>
      </w:r>
    </w:p>
    <w:bookmarkStart w:id="283" w:name="X7b48b8da6143e29cbbda40ca37a070df2933ae3"/>
    <w:p>
      <w:pPr>
        <w:pStyle w:val="Heading3"/>
      </w:pPr>
      <w:r>
        <w:rPr>
          <w:rStyle w:val="SectionNumber"/>
        </w:rPr>
        <w:t xml:space="preserve">4.5.1</w:t>
      </w:r>
      <w:r>
        <w:tab/>
      </w:r>
      <w:r>
        <w:t xml:space="preserve">Step 2A. Plot Phyla across all subjects and identify the most abundant Phyla. Specifically, your plot should show Phyla diversity across all 21 individuals.</w:t>
      </w:r>
    </w:p>
    <w:p>
      <w:pPr>
        <w:numPr>
          <w:ilvl w:val="0"/>
          <w:numId w:val="1105"/>
        </w:numPr>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05"/>
        </w:numPr>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2A-2. Enter the name of the most abundant Phyla below:</w:t>
            </w:r>
          </w:p>
        </w:tc>
      </w:tr>
      <w:tr>
        <w:tc>
          <w:tcPr/>
          <w:p>
            <w:pPr>
              <w:pStyle w:val="Compact"/>
              <w:jc w:val="left"/>
            </w:pPr>
          </w:p>
        </w:tc>
      </w:tr>
    </w:tbl>
    <w:p>
      <w:pPr>
        <w:pStyle w:val="BodyText"/>
      </w:pPr>
    </w:p>
    <w:bookmarkEnd w:id="283"/>
    <w:bookmarkStart w:id="287" w:name="X7139f1be24f956f0f40afe6682cc8c0c7c9716b"/>
    <w:p>
      <w:pPr>
        <w:pStyle w:val="Heading3"/>
      </w:pPr>
      <w:r>
        <w:rPr>
          <w:rStyle w:val="SectionNumber"/>
        </w:rPr>
        <w:t xml:space="preserve">4.5.2</w:t>
      </w:r>
      <w:r>
        <w:tab/>
      </w:r>
      <w:r>
        <w:t xml:space="preserve">Step 2B. Subset the most abundant Phyla, and plot Order (Skip Class)</w:t>
      </w:r>
    </w:p>
    <w:p>
      <w:pPr>
        <w:numPr>
          <w:ilvl w:val="0"/>
          <w:numId w:val="1106"/>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6"/>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"Order"</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2B-1. Insert the resulting plot below. Your plot’s abundance should be more varied and less than all the previous plots you have made so far, as it is only including a subset of the overall dataset.</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2B-2. Enter the name of the most abundant Order of your chosen phylum below:</w:t>
            </w:r>
          </w:p>
        </w:tc>
      </w:tr>
      <w:tr>
        <w:tc>
          <w:tcPr/>
          <w:p>
            <w:pPr>
              <w:pStyle w:val="Compact"/>
              <w:jc w:val="left"/>
            </w:pPr>
          </w:p>
        </w:tc>
      </w:tr>
    </w:tbl>
    <w:p>
      <w:pPr>
        <w:pStyle w:val="BodyText"/>
      </w:pPr>
    </w:p>
    <w:bookmarkStart w:id="284" w:name="Xabbdf55606f58d7d6fafd9bc2edb7defe600b03"/>
    <w:p>
      <w:pPr>
        <w:pStyle w:val="Heading4"/>
      </w:pPr>
      <w:r>
        <w:rPr>
          <w:rStyle w:val="SectionNumber"/>
        </w:rPr>
        <w:t xml:space="preserve">4.5.2.1</w:t>
      </w:r>
      <w:r>
        <w:tab/>
      </w:r>
      <w:r>
        <w:t xml:space="preserve">Step 2C. Subset the most abundant Order, and plot associated Family</w:t>
      </w:r>
    </w:p>
    <w:p>
      <w:pPr>
        <w:numPr>
          <w:ilvl w:val="0"/>
          <w:numId w:val="1107"/>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7"/>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Order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"Family"</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2C-2. Enter the name of the most abundant Family below:</w:t>
            </w:r>
          </w:p>
        </w:tc>
      </w:tr>
      <w:tr>
        <w:tc>
          <w:tcPr/>
          <w:p>
            <w:pPr>
              <w:pStyle w:val="Compact"/>
              <w:jc w:val="left"/>
            </w:pPr>
          </w:p>
        </w:tc>
      </w:tr>
    </w:tbl>
    <w:p>
      <w:pPr>
        <w:pStyle w:val="BodyText"/>
      </w:pPr>
    </w:p>
    <w:bookmarkEnd w:id="284"/>
    <w:bookmarkStart w:id="285" w:name="X8503efb866327a0b909fbc74abc6bbf2b7abd54"/>
    <w:p>
      <w:pPr>
        <w:pStyle w:val="Heading4"/>
      </w:pPr>
      <w:r>
        <w:rPr>
          <w:rStyle w:val="SectionNumber"/>
        </w:rPr>
        <w:t xml:space="preserve">4.5.2.2</w:t>
      </w:r>
      <w:r>
        <w:tab/>
      </w:r>
      <w:r>
        <w:t xml:space="preserve">Step 2D. Subset most abundant Family, and plot associated Genus</w:t>
      </w:r>
    </w:p>
    <w:p>
      <w:pPr>
        <w:numPr>
          <w:ilvl w:val="0"/>
          <w:numId w:val="1108"/>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8"/>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Family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"Genus"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2D-1.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2D-2. Enter the name of the most abundant Genus of your chosen Family below:</w:t>
            </w:r>
          </w:p>
        </w:tc>
      </w:tr>
      <w:tr>
        <w:tc>
          <w:tcPr/>
          <w:p>
            <w:pPr>
              <w:pStyle w:val="Compact"/>
              <w:jc w:val="left"/>
            </w:pPr>
          </w:p>
        </w:tc>
      </w:tr>
    </w:tbl>
    <w:p>
      <w:pPr>
        <w:pStyle w:val="BodyText"/>
      </w:pPr>
    </w:p>
    <w:bookmarkEnd w:id="285"/>
    <w:bookmarkStart w:id="286" w:name="X297f878056c0b28dc2a46fdbf7aa111b883b0b1"/>
    <w:p>
      <w:pPr>
        <w:pStyle w:val="Heading4"/>
      </w:pPr>
      <w:r>
        <w:rPr>
          <w:rStyle w:val="SectionNumber"/>
        </w:rPr>
        <w:t xml:space="preserve">4.5.2.3</w:t>
      </w:r>
      <w:r>
        <w:tab/>
      </w:r>
      <w:r>
        <w:t xml:space="preserve">Step 2E. Subset the most abundant Genus, and plot associated Species</w:t>
      </w:r>
    </w:p>
    <w:p>
      <w:pPr>
        <w:numPr>
          <w:ilvl w:val="0"/>
          <w:numId w:val="1109"/>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9"/>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Genus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10"/>
        </w:numPr>
        <w:pStyle w:val="Compact"/>
      </w:pPr>
      <w:r>
        <w:t xml:space="preserve">Note, given the many different Species associated with an abundant Genus, we may need to reduce the legend text and key size in order to visualize the plot better. We have added some code above to help see the legend.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2E-1.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2E-2. Enter the name of the some of the most abundant species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2E-3. After looking through all your plots, summarize your conclusion regarding individual microbiome composition diversity. Explain what reasoning led you to your conclusion.</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2E-4. If an ASV is listed as NA at a given taxonomic rank, it means taxonomic information is not available at that level for that microbe. Are there are lot of ASVs with NA annotations across different levels?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2E-5. Look up one of the species you found. How might it serve a function in the gut microbiome?</w:t>
            </w:r>
          </w:p>
        </w:tc>
      </w:tr>
      <w:tr>
        <w:tc>
          <w:tcPr/>
          <w:p>
            <w:pPr>
              <w:pStyle w:val="Compact"/>
              <w:jc w:val="left"/>
            </w:pPr>
          </w:p>
        </w:tc>
      </w:tr>
    </w:tbl>
    <w:p>
      <w:pPr>
        <w:pStyle w:val="BodyText"/>
      </w:pPr>
    </w:p>
    <w:bookmarkEnd w:id="286"/>
    <w:bookmarkEnd w:id="287"/>
    <w:bookmarkStart w:id="288" w:name="grading-criteria-5"/>
    <w:p>
      <w:pPr>
        <w:pStyle w:val="Heading3"/>
      </w:pPr>
      <w:r>
        <w:rPr>
          <w:rStyle w:val="SectionNumber"/>
        </w:rPr>
        <w:t xml:space="preserve">4.5.3</w:t>
      </w:r>
      <w:r>
        <w:tab/>
      </w:r>
      <w:r>
        <w:t xml:space="preserve">Grading criteria</w:t>
      </w:r>
    </w:p>
    <w:p>
      <w:pPr>
        <w:numPr>
          <w:ilvl w:val="0"/>
          <w:numId w:val="1111"/>
        </w:numPr>
        <w:pStyle w:val="Compact"/>
      </w:pPr>
      <w:r>
        <w:t xml:space="preserve">Download the assignment to your local computer as a .docx, complete it, and upload the assignment to your LMS (Blackboard, Canvas, Google Classroom).</w:t>
      </w:r>
    </w:p>
    <w:bookmarkEnd w:id="288"/>
    <w:bookmarkStart w:id="291" w:name="footnotes-9"/>
    <w:p>
      <w:pPr>
        <w:pStyle w:val="Heading3"/>
      </w:pPr>
      <w:r>
        <w:rPr>
          <w:rStyle w:val="SectionNumber"/>
        </w:rPr>
        <w:t xml:space="preserve">4.5.4</w:t>
      </w:r>
      <w:r>
        <w:tab/>
      </w:r>
      <w:r>
        <w:t xml:space="preserve">Footnotes</w:t>
      </w:r>
    </w:p>
    <w:bookmarkStart w:id="289" w:name="resources-13"/>
    <w:p>
      <w:pPr>
        <w:pStyle w:val="Heading4"/>
      </w:pPr>
      <w:r>
        <w:rPr>
          <w:rStyle w:val="SectionNumber"/>
        </w:rPr>
        <w:t xml:space="preserve">4.5.4.1</w:t>
      </w:r>
      <w:r>
        <w:tab/>
      </w:r>
      <w:r>
        <w:t xml:space="preserve">Resources</w:t>
      </w:r>
    </w:p>
    <w:p>
      <w:pPr>
        <w:numPr>
          <w:ilvl w:val="0"/>
          <w:numId w:val="1112"/>
        </w:numPr>
        <w:pStyle w:val="Compact"/>
      </w:pPr>
      <w:hyperlink r:id="rId270">
        <w:r>
          <w:rPr>
            <w:rStyle w:val="Hyperlink"/>
          </w:rPr>
          <w:t xml:space="preserve">Google Doc</w:t>
        </w:r>
      </w:hyperlink>
    </w:p>
    <w:p>
      <w:pPr>
        <w:numPr>
          <w:ilvl w:val="0"/>
          <w:numId w:val="1112"/>
        </w:numPr>
        <w:pStyle w:val="Compact"/>
      </w:pPr>
      <w:hyperlink r:id="rId271">
        <w:r>
          <w:rPr>
            <w:rStyle w:val="Hyperlink"/>
          </w:rPr>
          <w:t xml:space="preserve">16S rRNA R Quick Reference</w:t>
        </w:r>
      </w:hyperlink>
    </w:p>
    <w:bookmarkEnd w:id="289"/>
    <w:bookmarkStart w:id="290" w:name="contributions-and-affiliations-9"/>
    <w:p>
      <w:pPr>
        <w:pStyle w:val="Heading4"/>
      </w:pPr>
      <w:r>
        <w:rPr>
          <w:rStyle w:val="SectionNumber"/>
        </w:rPr>
        <w:t xml:space="preserve">4.5.4.2</w:t>
      </w:r>
      <w:r>
        <w:tab/>
      </w:r>
      <w:r>
        <w:t xml:space="preserve">Contributions and affiliations</w:t>
      </w:r>
    </w:p>
    <w:p>
      <w:pPr>
        <w:numPr>
          <w:ilvl w:val="0"/>
          <w:numId w:val="1113"/>
        </w:numPr>
        <w:pStyle w:val="Compact"/>
      </w:pPr>
      <w:r>
        <w:t xml:space="preserve">Valeriya Gaysinskaya, Johns Hopkins University</w:t>
      </w:r>
    </w:p>
    <w:p>
      <w:pPr>
        <w:numPr>
          <w:ilvl w:val="0"/>
          <w:numId w:val="1113"/>
        </w:numPr>
        <w:pStyle w:val="Compact"/>
      </w:pPr>
      <w:r>
        <w:t xml:space="preserve">Gauri Paul, Clovis Community College</w:t>
      </w:r>
    </w:p>
    <w:p>
      <w:pPr>
        <w:numPr>
          <w:ilvl w:val="0"/>
          <w:numId w:val="1113"/>
        </w:numPr>
        <w:pStyle w:val="Compact"/>
      </w:pPr>
      <w:r>
        <w:t xml:space="preserve">Frederick Tan, Johns Hopkins University</w:t>
      </w:r>
    </w:p>
    <w:p>
      <w:pPr>
        <w:numPr>
          <w:ilvl w:val="0"/>
          <w:numId w:val="1113"/>
        </w:numPr>
        <w:pStyle w:val="Compact"/>
      </w:pPr>
      <w:r>
        <w:t xml:space="preserve">Sayumi York, Notre Dame of Maryland University</w:t>
      </w:r>
    </w:p>
    <w:bookmarkEnd w:id="290"/>
    <w:bookmarkEnd w:id="291"/>
    <w:bookmarkEnd w:id="292"/>
    <w:bookmarkStart w:id="301" w:name="Xf07bdb27473f6c68d614de5835bcfe771092cc5"/>
    <w:p>
      <w:pPr>
        <w:pStyle w:val="Heading2"/>
      </w:pPr>
      <w:r>
        <w:rPr>
          <w:rStyle w:val="SectionNumber"/>
        </w:rPr>
        <w:t xml:space="preserve">4.6</w:t>
      </w:r>
      <w:r>
        <w:tab/>
      </w:r>
      <w:r>
        <w:t xml:space="preserve">Try it Question 3 - Does gender contribute to individual microbiome variation</w:t>
      </w:r>
    </w:p>
    <w:p>
      <w:pPr>
        <w:pStyle w:val="FirstParagraph"/>
      </w:pPr>
      <w:r>
        <w:t xml:space="preserve">The biological sex of the host has been suggested to help shape or influence its gut microbiome. Some candidate microbes have been implicated in sex differences. Here we will explore the potential sex-based differences in the human gut microbiome.</w:t>
      </w:r>
    </w:p>
    <w:p>
      <w:pPr>
        <w:pStyle w:val="BodyText"/>
      </w:pPr>
      <w:r>
        <w:t xml:space="preserve">Approach: First survey the differences in microbiome across gender at the level of phyla and species, and identify potential candidates that may differ between males and females. Then, plot your candidates of interest and additional candidate microbes previously associated with gender-based variation.</w:t>
      </w:r>
    </w:p>
    <w:bookmarkStart w:id="293" w:name="X30c62400bcd05f0224a1b73321b93f9cca6d687"/>
    <w:p>
      <w:pPr>
        <w:pStyle w:val="Heading4"/>
      </w:pPr>
      <w:r>
        <w:rPr>
          <w:rStyle w:val="SectionNumber"/>
        </w:rPr>
        <w:t xml:space="preserve">4.6.0.1</w:t>
      </w:r>
      <w:r>
        <w:tab/>
      </w:r>
      <w:r>
        <w:t xml:space="preserve">Step 3A. Perform an initial survey to see if there are any differences in phyla and species composition between genders.</w:t>
      </w:r>
    </w:p>
    <w:p>
      <w:pPr>
        <w:pStyle w:val="FirstParagraph"/>
      </w:pPr>
      <w:r>
        <w:t xml:space="preserve">Specifically, your plot should show phyla diversity within male and female groups.</w:t>
      </w:r>
    </w:p>
    <w:p>
      <w:pPr>
        <w:numPr>
          <w:ilvl w:val="0"/>
          <w:numId w:val="1114"/>
        </w:numPr>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14"/>
        </w:numPr>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Insert the resulting plot below:</w:t>
            </w:r>
          </w:p>
        </w:tc>
      </w:tr>
      <w:tr>
        <w:tc>
          <w:tcPr/>
          <w:p>
            <w:pPr>
              <w:pStyle w:val="Compact"/>
              <w:jc w:val="left"/>
            </w:pPr>
          </w:p>
        </w:tc>
      </w:tr>
    </w:tbl>
    <w:p>
      <w:pPr>
        <w:pStyle w:val="BodyText"/>
      </w:pPr>
    </w:p>
    <w:p>
      <w:pPr>
        <w:pStyle w:val="BodyText"/>
      </w:pPr>
      <w:r>
        <w:t xml:space="preserve">Consider any initial differences you see, then choose one high-abundant and one low-abundant candidate Phylum that shows hints of being differentially abundant between genders.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3A-2. Record the phylum you chose:</w:t>
            </w:r>
          </w:p>
        </w:tc>
      </w:tr>
      <w:tr>
        <w:tc>
          <w:tcPr/>
          <w:p>
            <w:pPr>
              <w:pStyle w:val="Compact"/>
              <w:jc w:val="left"/>
            </w:pPr>
          </w:p>
        </w:tc>
      </w:tr>
    </w:tbl>
    <w:p>
      <w:pPr>
        <w:pStyle w:val="BodyText"/>
      </w:pPr>
    </w:p>
    <w:bookmarkEnd w:id="293"/>
    <w:bookmarkStart w:id="294" w:name="X489b42404d1e8570eb5f41cc0ab48400a0c8e3f"/>
    <w:p>
      <w:pPr>
        <w:pStyle w:val="Heading4"/>
      </w:pPr>
      <w:r>
        <w:rPr>
          <w:rStyle w:val="SectionNumber"/>
        </w:rPr>
        <w:t xml:space="preserve">4.6.0.2</w:t>
      </w:r>
      <w:r>
        <w:tab/>
      </w:r>
      <w:r>
        <w:t xml:space="preserve">Step 3B. Test gender-based difference in Species for the high abundant phylum you selected. Specifically, your plot should show species diversity within male and female groups for only your phylum of choice.</w:t>
      </w:r>
    </w:p>
    <w:p>
      <w:pPr>
        <w:numPr>
          <w:ilvl w:val="0"/>
          <w:numId w:val="1115"/>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5"/>
        </w:numPr>
      </w:pPr>
      <w:r>
        <w:t xml:space="preserve">Use the following code as a starter:</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plot_bar</w:t>
      </w:r>
      <w:r>
        <w:rPr>
          <w:rStyle w:val="NormalTok"/>
        </w:rPr>
        <w:t xml:space="preserve">(subset,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16"/>
        </w:numPr>
        <w:pStyle w:val="Compact"/>
      </w:pPr>
      <w:r>
        <w:t xml:space="preserve">We may need to reduce the legend text and key size in order to visualize the plot better. We have added some code above to help see the legend.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3B-2. Do you observe any differences in species based on gender within your highly abundant phylum?</w:t>
            </w:r>
          </w:p>
        </w:tc>
      </w:tr>
      <w:tr>
        <w:tc>
          <w:tcPr/>
          <w:p>
            <w:pPr>
              <w:pStyle w:val="Compact"/>
              <w:jc w:val="left"/>
            </w:pPr>
          </w:p>
        </w:tc>
      </w:tr>
    </w:tbl>
    <w:p>
      <w:pPr>
        <w:pStyle w:val="BodyText"/>
      </w:pPr>
    </w:p>
    <w:bookmarkEnd w:id="294"/>
    <w:bookmarkStart w:id="295" w:name="Xb894903059dcddb99417701dd118a39d26ae795"/>
    <w:p>
      <w:pPr>
        <w:pStyle w:val="Heading3"/>
      </w:pPr>
      <w:r>
        <w:rPr>
          <w:rStyle w:val="SectionNumber"/>
        </w:rPr>
        <w:t xml:space="preserve">4.6.1</w:t>
      </w:r>
      <w:r>
        <w:tab/>
      </w:r>
      <w:r>
        <w:t xml:space="preserve">Step 3C. Test gender-based difference in Species for the low abundant phylum you selected.** Specifically, your plot should show species diversity within male and female groups for only your phylum of choice.</w:t>
      </w:r>
    </w:p>
    <w:p>
      <w:pPr>
        <w:numPr>
          <w:ilvl w:val="0"/>
          <w:numId w:val="1117"/>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7"/>
        </w:numPr>
      </w:pPr>
      <w:r>
        <w:t xml:space="preserve">Use the code you used in Step 3B as a template for your code</w:t>
      </w:r>
    </w:p>
    <w:p>
      <w:pPr>
        <w:numPr>
          <w:ilvl w:val="0"/>
          <w:numId w:val="1117"/>
        </w:numPr>
      </w:pPr>
      <w:r>
        <w:t xml:space="preserve">You may receive an error if you chose a phylum that has no species data (all NA). Please choose a new low abundant phylum and try again.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3C-1.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3C-2. Do you observe any differences in species based on gender within your low abundant phylum?</w:t>
            </w:r>
          </w:p>
        </w:tc>
      </w:tr>
      <w:tr>
        <w:tc>
          <w:tcPr/>
          <w:p>
            <w:pPr>
              <w:pStyle w:val="Compact"/>
              <w:jc w:val="left"/>
            </w:pPr>
          </w:p>
        </w:tc>
      </w:tr>
    </w:tbl>
    <w:p>
      <w:pPr>
        <w:pStyle w:val="BodyText"/>
      </w:pPr>
    </w:p>
    <w:bookmarkEnd w:id="295"/>
    <w:bookmarkStart w:id="296" w:name="X5f70ddfa74df22de0026f05f7ad8eac7deb90ee"/>
    <w:p>
      <w:pPr>
        <w:pStyle w:val="Heading3"/>
      </w:pPr>
      <w:r>
        <w:rPr>
          <w:rStyle w:val="SectionNumber"/>
        </w:rPr>
        <w:t xml:space="preserve">4.6.2</w:t>
      </w:r>
      <w:r>
        <w:tab/>
      </w:r>
      <w:r>
        <w:t xml:space="preserve">Step 3D: Plot the individual abundance of 2 candidate microbes for gender differences based on your analysis above, and/or the curated menu of microbes below (previously associated with gender variation), with color denoting gender.</w:t>
      </w:r>
    </w:p>
    <w:p>
      <w:pPr>
        <w:numPr>
          <w:ilvl w:val="0"/>
          <w:numId w:val="1118"/>
        </w:numPr>
      </w:pPr>
      <w:r>
        <w:t xml:space="preserve">Specifically, your plot should show the chosen microbial group across 21 subjects with the bars colored by gender.</w:t>
      </w:r>
    </w:p>
    <w:p>
      <w:pPr>
        <w:numPr>
          <w:ilvl w:val="0"/>
          <w:numId w:val="1118"/>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8"/>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"gender"</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gender, </w:t>
      </w:r>
      <w:r>
        <w:rPr>
          <w:rStyle w:val="AttributeTok"/>
        </w:rPr>
        <w:t xml:space="preserve">fill =</w:t>
      </w:r>
      <w:r>
        <w:rPr>
          <w:rStyle w:val="NormalTok"/>
        </w:rPr>
        <w:t xml:space="preserve"> gender),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p>
      <w:pPr>
        <w:pStyle w:val="FirstParagraph"/>
      </w:pPr>
      <w:r>
        <w:t xml:space="preserve">Here is the candidate list of different microbes previously implicated in gender-based variation.</w:t>
      </w:r>
    </w:p>
    <w:p>
      <w:pPr>
        <w:numPr>
          <w:ilvl w:val="0"/>
          <w:numId w:val="1119"/>
        </w:numPr>
        <w:pStyle w:val="Compact"/>
      </w:pPr>
      <w:r>
        <w:t xml:space="preserve">Phylum: Proteobacteria</w:t>
      </w:r>
    </w:p>
    <w:p>
      <w:pPr>
        <w:numPr>
          <w:ilvl w:val="0"/>
          <w:numId w:val="1119"/>
        </w:numPr>
        <w:pStyle w:val="Compact"/>
      </w:pPr>
      <w:r>
        <w:t xml:space="preserve">Order: Clostridiales</w:t>
      </w:r>
    </w:p>
    <w:p>
      <w:pPr>
        <w:numPr>
          <w:ilvl w:val="0"/>
          <w:numId w:val="1119"/>
        </w:numPr>
        <w:pStyle w:val="Compact"/>
      </w:pPr>
      <w:r>
        <w:t xml:space="preserve">Family: Ruminococcaceae</w:t>
      </w:r>
    </w:p>
    <w:p>
      <w:pPr>
        <w:numPr>
          <w:ilvl w:val="0"/>
          <w:numId w:val="1119"/>
        </w:numPr>
        <w:pStyle w:val="Compact"/>
      </w:pPr>
      <w:r>
        <w:t xml:space="preserve">Genus: Prevotella</w:t>
      </w:r>
    </w:p>
    <w:p>
      <w:pPr>
        <w:numPr>
          <w:ilvl w:val="0"/>
          <w:numId w:val="1119"/>
        </w:numPr>
        <w:pStyle w:val="Compact"/>
      </w:pPr>
      <w:r>
        <w:t xml:space="preserve">Genus: Fusobacterium</w:t>
      </w:r>
    </w:p>
    <w:p>
      <w:pPr>
        <w:numPr>
          <w:ilvl w:val="0"/>
          <w:numId w:val="1119"/>
        </w:numPr>
        <w:pStyle w:val="Compact"/>
      </w:pPr>
      <w:r>
        <w:t xml:space="preserve">Species: muciniphila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3D-1. Insert the plot from your first chosen microbial group below. Your plot should have subjects on the x-axis, with each subject denoted as male or female by a colored bar. The height of the bars will vary.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3D-2. Insert the plot from your second chosen microbial group below: Your plot should have subjects on the x-axis, with each subject denoted as male or female by a colored bar. The height of the bars will vary.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3D-3. Based on the all graphs you made, did you identify any candidate Phylum or Species that may differ between genders?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3D-4. Based on the graphs you made, what conclusion can you make about microbiome differences between genders? Do you think gender is connected to a difference in the gut microbiome?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3D-5. Which seems to have more effect on microbial compositions? Gender or individual subject? Are there bigger differences between genders or between individuals of the same gender?</w:t>
            </w:r>
          </w:p>
        </w:tc>
      </w:tr>
      <w:tr>
        <w:tc>
          <w:tcPr/>
          <w:p>
            <w:pPr>
              <w:pStyle w:val="Compact"/>
              <w:jc w:val="left"/>
            </w:pPr>
          </w:p>
        </w:tc>
      </w:tr>
    </w:tbl>
    <w:p>
      <w:pPr>
        <w:pStyle w:val="BodyText"/>
      </w:pPr>
    </w:p>
    <w:bookmarkEnd w:id="296"/>
    <w:bookmarkStart w:id="297" w:name="grading-criteria-6"/>
    <w:p>
      <w:pPr>
        <w:pStyle w:val="Heading3"/>
      </w:pPr>
      <w:r>
        <w:rPr>
          <w:rStyle w:val="SectionNumber"/>
        </w:rPr>
        <w:t xml:space="preserve">4.6.3</w:t>
      </w:r>
      <w:r>
        <w:tab/>
      </w:r>
      <w:r>
        <w:t xml:space="preserve">Grading criteria</w:t>
      </w:r>
    </w:p>
    <w:p>
      <w:pPr>
        <w:numPr>
          <w:ilvl w:val="0"/>
          <w:numId w:val="1120"/>
        </w:numPr>
        <w:pStyle w:val="Compact"/>
      </w:pPr>
      <w:r>
        <w:t xml:space="preserve">Download the assignment to your local computer as a .docx, complete it, and upload the assignment to your LMS (Blackboard, Canvas, Google Classroom).</w:t>
      </w:r>
    </w:p>
    <w:bookmarkEnd w:id="297"/>
    <w:bookmarkStart w:id="300" w:name="footnotes-10"/>
    <w:p>
      <w:pPr>
        <w:pStyle w:val="Heading3"/>
      </w:pPr>
      <w:r>
        <w:rPr>
          <w:rStyle w:val="SectionNumber"/>
        </w:rPr>
        <w:t xml:space="preserve">4.6.4</w:t>
      </w:r>
      <w:r>
        <w:tab/>
      </w:r>
      <w:r>
        <w:t xml:space="preserve">Footnotes</w:t>
      </w:r>
    </w:p>
    <w:bookmarkStart w:id="298" w:name="resources-14"/>
    <w:p>
      <w:pPr>
        <w:pStyle w:val="Heading4"/>
      </w:pPr>
      <w:r>
        <w:rPr>
          <w:rStyle w:val="SectionNumber"/>
        </w:rPr>
        <w:t xml:space="preserve">4.6.4.1</w:t>
      </w:r>
      <w:r>
        <w:tab/>
      </w:r>
      <w:r>
        <w:t xml:space="preserve">Resources</w:t>
      </w:r>
    </w:p>
    <w:p>
      <w:pPr>
        <w:numPr>
          <w:ilvl w:val="0"/>
          <w:numId w:val="1121"/>
        </w:numPr>
        <w:pStyle w:val="Compact"/>
      </w:pPr>
      <w:hyperlink r:id="rId270">
        <w:r>
          <w:rPr>
            <w:rStyle w:val="Hyperlink"/>
          </w:rPr>
          <w:t xml:space="preserve">Google Doc</w:t>
        </w:r>
      </w:hyperlink>
    </w:p>
    <w:p>
      <w:pPr>
        <w:numPr>
          <w:ilvl w:val="0"/>
          <w:numId w:val="1121"/>
        </w:numPr>
        <w:pStyle w:val="Compact"/>
      </w:pPr>
      <w:hyperlink r:id="rId271">
        <w:r>
          <w:rPr>
            <w:rStyle w:val="Hyperlink"/>
          </w:rPr>
          <w:t xml:space="preserve">16S rRNA R Quick Reference</w:t>
        </w:r>
      </w:hyperlink>
    </w:p>
    <w:bookmarkEnd w:id="298"/>
    <w:bookmarkStart w:id="299" w:name="contributions-and-affiliations-10"/>
    <w:p>
      <w:pPr>
        <w:pStyle w:val="Heading4"/>
      </w:pPr>
      <w:r>
        <w:rPr>
          <w:rStyle w:val="SectionNumber"/>
        </w:rPr>
        <w:t xml:space="preserve">4.6.4.2</w:t>
      </w:r>
      <w:r>
        <w:tab/>
      </w:r>
      <w:r>
        <w:t xml:space="preserve">Contributions and affiliations</w:t>
      </w:r>
    </w:p>
    <w:p>
      <w:pPr>
        <w:numPr>
          <w:ilvl w:val="0"/>
          <w:numId w:val="1122"/>
        </w:numPr>
        <w:pStyle w:val="Compact"/>
      </w:pPr>
      <w:r>
        <w:t xml:space="preserve">Valeriya Gaysinskaya, Johns Hopkins University</w:t>
      </w:r>
    </w:p>
    <w:p>
      <w:pPr>
        <w:numPr>
          <w:ilvl w:val="0"/>
          <w:numId w:val="1122"/>
        </w:numPr>
        <w:pStyle w:val="Compact"/>
      </w:pPr>
      <w:r>
        <w:t xml:space="preserve">Gauri Paul, Clovis Community College</w:t>
      </w:r>
    </w:p>
    <w:p>
      <w:pPr>
        <w:numPr>
          <w:ilvl w:val="0"/>
          <w:numId w:val="1122"/>
        </w:numPr>
        <w:pStyle w:val="Compact"/>
      </w:pPr>
      <w:r>
        <w:t xml:space="preserve">Frederick Tan, Johns Hopkins University</w:t>
      </w:r>
    </w:p>
    <w:p>
      <w:pPr>
        <w:numPr>
          <w:ilvl w:val="0"/>
          <w:numId w:val="1122"/>
        </w:numPr>
        <w:pStyle w:val="Compact"/>
      </w:pPr>
      <w:r>
        <w:t xml:space="preserve">Sayumi York, Notre Dame of Maryland University</w:t>
      </w:r>
    </w:p>
    <w:bookmarkEnd w:id="299"/>
    <w:bookmarkEnd w:id="300"/>
    <w:bookmarkEnd w:id="301"/>
    <w:bookmarkStart w:id="309" w:name="X5ffbbefb093f912e8383b28a8f1ea2e66a65dbd"/>
    <w:p>
      <w:pPr>
        <w:pStyle w:val="Heading2"/>
      </w:pPr>
      <w:r>
        <w:rPr>
          <w:rStyle w:val="SectionNumber"/>
        </w:rPr>
        <w:t xml:space="preserve">4.7</w:t>
      </w:r>
      <w:r>
        <w:tab/>
      </w:r>
      <w:r>
        <w:t xml:space="preserve">Try it Question 4 - Does age contribute to individual microbiome variation</w:t>
      </w:r>
    </w:p>
    <w:p>
      <w:pPr>
        <w:pStyle w:val="FirstParagraph"/>
      </w:pPr>
      <w:r>
        <w:t xml:space="preserve">The human gut microbiome has been associated with age-related disease states, immune-system changes, and metabolic function. Here we will explore the potential microbiome changes associated with aging.</w:t>
      </w:r>
    </w:p>
    <w:p>
      <w:pPr>
        <w:pStyle w:val="BodyText"/>
      </w:pPr>
      <w:r>
        <w:t xml:space="preserve">Approach: Survey the differences in microbiome across age, refining the plot to accommodate a continuous variable (age) and unequal sample sizes (some individuals in the study are the same age). Then, test if there is a shift in microbiome abundance of phyla Firmicutes and Bacteroidetes, two phyla suggested previously to change with age.</w:t>
      </w:r>
    </w:p>
    <w:bookmarkStart w:id="302" w:name="X2622e4cbd51e6b50ddd7c4fe93f1862f3f7f850"/>
    <w:p>
      <w:pPr>
        <w:pStyle w:val="Heading3"/>
      </w:pPr>
      <w:r>
        <w:rPr>
          <w:rStyle w:val="SectionNumber"/>
        </w:rPr>
        <w:t xml:space="preserve">4.7.1</w:t>
      </w:r>
      <w:r>
        <w:tab/>
      </w:r>
      <w:r>
        <w:t xml:space="preserve">Step 4A. Perform an initial survey to see if there are any differences in phyla related to age.</w:t>
      </w:r>
    </w:p>
    <w:p>
      <w:pPr>
        <w:pStyle w:val="FirstParagraph"/>
      </w:pPr>
      <w:r>
        <w:t xml:space="preserve">Specifically, your plot should show the relationship phyla diversity and age of an individual.</w:t>
      </w:r>
    </w:p>
    <w:p>
      <w:pPr>
        <w:numPr>
          <w:ilvl w:val="0"/>
          <w:numId w:val="1123"/>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23"/>
        </w:numPr>
        <w:pStyle w:val="Compact"/>
      </w:pPr>
      <w:r>
        <w:t xml:space="preserve">Use the following code as a template</w:t>
      </w:r>
      <w:r>
        <w:t xml:space="preserve"> </w:t>
      </w:r>
      <w:r>
        <w:t xml:space="preserve">plot_bar(miso,</w:t>
      </w:r>
      <w:r>
        <w:t xml:space="preserve"> </w:t>
      </w:r>
      <w:r>
        <w:t xml:space="preserve">“</w:t>
      </w:r>
      <w:r>
        <w:t xml:space="preserve">fill in the blank</w:t>
      </w:r>
      <w:r>
        <w:t xml:space="preserve">”</w:t>
      </w:r>
      <w:r>
        <w:t xml:space="preserve">, fill =</w:t>
      </w:r>
      <w:r>
        <w:t xml:space="preserve"> </w:t>
      </w:r>
      <w:r>
        <w:t xml:space="preserve">“</w:t>
      </w:r>
      <w:r>
        <w:t xml:space="preserve">fill in the blank</w:t>
      </w:r>
      <w:r>
        <w:t xml:space="preserve">”</w:t>
      </w:r>
      <w:r>
        <w:t xml:space="preserve">, title =</w:t>
      </w:r>
      <w:r>
        <w:t xml:space="preserve"> </w:t>
      </w:r>
      <w:r>
        <w:t xml:space="preserve">“</w:t>
      </w:r>
      <w:r>
        <w:t xml:space="preserve">fill in the blank</w:t>
      </w:r>
      <w:r>
        <w:t xml:space="preserve">”</w:t>
      </w:r>
      <w:r>
        <w:t xml:space="preserve">) +</w:t>
      </w:r>
      <w:r>
        <w:t xml:space="preserve"> </w:t>
      </w:r>
      <w:r>
        <w:t xml:space="preserve">geom_bar(aes(color = fill in the blank, fill = fill in the blank), stat =</w:t>
      </w:r>
      <w:r>
        <w:t xml:space="preserve"> </w:t>
      </w:r>
      <w:r>
        <w:t xml:space="preserve">“</w:t>
      </w:r>
      <w:r>
        <w:t xml:space="preserve">identity</w:t>
      </w:r>
      <w:r>
        <w:t xml:space="preserve">”</w:t>
      </w:r>
      <w:r>
        <w:t xml:space="preserve">, position =</w:t>
      </w:r>
      <w:r>
        <w:t xml:space="preserve"> </w:t>
      </w:r>
      <w:r>
        <w:t xml:space="preserve">“</w:t>
      </w:r>
      <w:r>
        <w:t xml:space="preserve">stack</w:t>
      </w:r>
      <w:r>
        <w:t xml:space="preserve">”</w:t>
      </w:r>
      <w:r>
        <w:t xml:space="preserv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4A-1. Insert the resulting plot below: It will be a very unusual looking graph!</w:t>
            </w:r>
          </w:p>
        </w:tc>
      </w:tr>
      <w:tr>
        <w:tc>
          <w:tcPr/>
          <w:p>
            <w:pPr>
              <w:pStyle w:val="Compact"/>
              <w:jc w:val="left"/>
            </w:pPr>
          </w:p>
        </w:tc>
      </w:tr>
    </w:tbl>
    <w:p>
      <w:pPr>
        <w:pStyle w:val="BodyText"/>
      </w:pPr>
    </w:p>
    <w:p>
      <w:pPr>
        <w:numPr>
          <w:ilvl w:val="0"/>
          <w:numId w:val="1124"/>
        </w:numPr>
        <w:pStyle w:val="Compact"/>
      </w:pPr>
      <w:r>
        <w:t xml:space="preserve">You probably found it difficult to discern any differences.</w:t>
      </w:r>
    </w:p>
    <w:p>
      <w:pPr>
        <w:numPr>
          <w:ilvl w:val="0"/>
          <w:numId w:val="1124"/>
        </w:numPr>
        <w:pStyle w:val="Compact"/>
      </w:pPr>
      <w:r>
        <w:t xml:space="preserve">Abundance is additive, so having more samples of the same age will result in adding the abundances together, so if there are say 2 samples with age 27 (as is the case), the abundance of the bar will be much higher than other ages that have only one individual.</w:t>
      </w:r>
    </w:p>
    <w:bookmarkEnd w:id="302"/>
    <w:bookmarkStart w:id="303" w:name="X4d702404d7626cb25beef07571773745b349ee9"/>
    <w:p>
      <w:pPr>
        <w:pStyle w:val="Heading3"/>
      </w:pPr>
      <w:r>
        <w:rPr>
          <w:rStyle w:val="SectionNumber"/>
        </w:rPr>
        <w:t xml:space="preserve">4.7.2</w:t>
      </w:r>
      <w:r>
        <w:tab/>
      </w:r>
      <w:r>
        <w:t xml:space="preserve">Step 4B. Merge samples by age, then re-normalize and finally re-plot Phyla by age.</w:t>
      </w:r>
    </w:p>
    <w:p>
      <w:pPr>
        <w:numPr>
          <w:ilvl w:val="0"/>
          <w:numId w:val="1125"/>
        </w:numPr>
        <w:pStyle w:val="Compact"/>
      </w:pPr>
      <w:r>
        <w:t xml:space="preserve">Merge samples of the same age, saving the resulting phyloseq object as</w:t>
      </w:r>
      <w:r>
        <w:t xml:space="preserve"> </w:t>
      </w:r>
      <w:r>
        <w:t xml:space="preserve">‘</w:t>
      </w:r>
      <w:r>
        <w:t xml:space="preserve">merge</w:t>
      </w:r>
      <w:r>
        <w:t xml:space="preserve">’</w:t>
      </w:r>
      <w:r>
        <w:t xml:space="preserve">. You will probably get a warning message letting you know</w:t>
      </w:r>
      <w:r>
        <w:t xml:space="preserve"> </w:t>
      </w:r>
      <w:r>
        <w:t xml:space="preserve">“</w:t>
      </w:r>
      <w:r>
        <w:t xml:space="preserve">NAs were introduced by coercion.</w:t>
      </w:r>
      <w:r>
        <w:t xml:space="preserve">”</w:t>
      </w:r>
      <w:r>
        <w:t xml:space="preserve"> </w:t>
      </w:r>
      <w:r>
        <w:t xml:space="preserve">That is OK.</w:t>
      </w:r>
    </w:p>
    <w:p>
      <w:pPr>
        <w:pStyle w:val="SourceCode"/>
      </w:pPr>
      <w:r>
        <w:rPr>
          <w:rStyle w:val="NormalTok"/>
        </w:rPr>
        <w:t xml:space="preserve">merge </w:t>
      </w:r>
      <w:r>
        <w:rPr>
          <w:rStyle w:val="OtherTok"/>
        </w:rPr>
        <w:t xml:space="preserve">&lt;-</w:t>
      </w:r>
      <w:r>
        <w:rPr>
          <w:rStyle w:val="NormalTok"/>
        </w:rPr>
        <w:t xml:space="preserve"> </w:t>
      </w:r>
      <w:r>
        <w:rPr>
          <w:rStyle w:val="FunctionTok"/>
        </w:rPr>
        <w:t xml:space="preserve">merge_samples</w:t>
      </w:r>
      <w:r>
        <w:rPr>
          <w:rStyle w:val="NormalTok"/>
        </w:rPr>
        <w:t xml:space="preserve">(miso, </w:t>
      </w:r>
      <w:r>
        <w:rPr>
          <w:rStyle w:val="StringTok"/>
        </w:rPr>
        <w:t xml:space="preserve">"age"</w:t>
      </w:r>
      <w:r>
        <w:rPr>
          <w:rStyle w:val="NormalTok"/>
        </w:rPr>
        <w:t xml:space="preserve">)</w:t>
      </w:r>
    </w:p>
    <w:p>
      <w:pPr>
        <w:numPr>
          <w:ilvl w:val="0"/>
          <w:numId w:val="1126"/>
        </w:numPr>
        <w:pStyle w:val="Compact"/>
      </w:pPr>
      <w:r>
        <w:t xml:space="preserve">Check your merged phyloseq object. Your new</w:t>
      </w:r>
      <w:r>
        <w:t xml:space="preserve"> </w:t>
      </w:r>
      <w:r>
        <w:t xml:space="preserve">‘</w:t>
      </w:r>
      <w:r>
        <w:t xml:space="preserve">merge</w:t>
      </w:r>
      <w:r>
        <w:t xml:space="preserve">’</w:t>
      </w:r>
      <w:r>
        <w:t xml:space="preserve"> </w:t>
      </w:r>
      <w:r>
        <w:t xml:space="preserve">object should have 16 samples corresponding to 16 unique ages in the MISO dataset.</w:t>
      </w:r>
    </w:p>
    <w:p>
      <w:pPr>
        <w:pStyle w:val="SourceCode"/>
      </w:pPr>
      <w:r>
        <w:rPr>
          <w:rStyle w:val="NormalTok"/>
        </w:rPr>
        <w:t xml:space="preserve">merge</w:t>
      </w:r>
      <w:r>
        <w:br/>
      </w:r>
      <w:r>
        <w:br/>
      </w:r>
      <w:r>
        <w:rPr>
          <w:rStyle w:val="NormalTok"/>
        </w:rPr>
        <w:t xml:space="preserve">phyloseq</w:t>
      </w:r>
      <w:r>
        <w:rPr>
          <w:rStyle w:val="SpecialCharTok"/>
        </w:rPr>
        <w:t xml:space="preserve">-</w:t>
      </w:r>
      <w:r>
        <w:rPr>
          <w:rStyle w:val="NormalTok"/>
        </w:rPr>
        <w:t xml:space="preserve">class experiment</w:t>
      </w:r>
      <w:r>
        <w:rPr>
          <w:rStyle w:val="SpecialCharTok"/>
        </w:rPr>
        <w:t xml:space="preserve">-</w:t>
      </w:r>
      <w:r>
        <w:rPr>
          <w:rStyle w:val="NormalTok"/>
        </w:rPr>
        <w:t xml:space="preserve">level object</w:t>
      </w:r>
      <w:r>
        <w:br/>
      </w:r>
      <w:r>
        <w:rPr>
          <w:rStyle w:val="FunctionTok"/>
        </w:rPr>
        <w:t xml:space="preserve">otu_table</w:t>
      </w:r>
      <w:r>
        <w:rPr>
          <w:rStyle w:val="NormalTok"/>
        </w:rPr>
        <w:t xml:space="preserve">()   OTU Table</w:t>
      </w:r>
      <w:r>
        <w:rPr>
          <w:rStyle w:val="SpecialCharTok"/>
        </w:rPr>
        <w:t xml:space="preserve">:</w:t>
      </w:r>
      <w:r>
        <w:rPr>
          <w:rStyle w:val="NormalTok"/>
        </w:rPr>
        <w:t xml:space="preserve">         [ </w:t>
      </w:r>
      <w:r>
        <w:rPr>
          <w:rStyle w:val="DecValTok"/>
        </w:rPr>
        <w:t xml:space="preserve">1702</w:t>
      </w:r>
      <w:r>
        <w:rPr>
          <w:rStyle w:val="NormalTok"/>
        </w:rPr>
        <w:t xml:space="preserve"> taxa and </w:t>
      </w:r>
      <w:r>
        <w:rPr>
          <w:rStyle w:val="DecValTok"/>
        </w:rPr>
        <w:t xml:space="preserve">16</w:t>
      </w:r>
      <w:r>
        <w:rPr>
          <w:rStyle w:val="NormalTok"/>
        </w:rPr>
        <w:t xml:space="preserve"> samples ]</w:t>
      </w:r>
      <w:r>
        <w:br/>
      </w:r>
      <w:r>
        <w:rPr>
          <w:rStyle w:val="FunctionTok"/>
        </w:rPr>
        <w:t xml:space="preserve">sample_data</w:t>
      </w:r>
      <w:r>
        <w:rPr>
          <w:rStyle w:val="NormalTok"/>
        </w:rPr>
        <w:t xml:space="preserve">() Sample Data</w:t>
      </w:r>
      <w:r>
        <w:rPr>
          <w:rStyle w:val="SpecialCharTok"/>
        </w:rPr>
        <w:t xml:space="preserve">:</w:t>
      </w:r>
      <w:r>
        <w:rPr>
          <w:rStyle w:val="NormalTok"/>
        </w:rPr>
        <w:t xml:space="preserve">       [ </w:t>
      </w:r>
      <w:r>
        <w:rPr>
          <w:rStyle w:val="DecValTok"/>
        </w:rPr>
        <w:t xml:space="preserve">16</w:t>
      </w:r>
      <w:r>
        <w:rPr>
          <w:rStyle w:val="NormalTok"/>
        </w:rPr>
        <w:t xml:space="preserve"> samples by </w:t>
      </w:r>
      <w:r>
        <w:rPr>
          <w:rStyle w:val="DecValTok"/>
        </w:rPr>
        <w:t xml:space="preserve">32</w:t>
      </w:r>
      <w:r>
        <w:rPr>
          <w:rStyle w:val="NormalTok"/>
        </w:rPr>
        <w:t xml:space="preserve"> sample variables ]</w:t>
      </w:r>
      <w:r>
        <w:br/>
      </w:r>
      <w:r>
        <w:rPr>
          <w:rStyle w:val="FunctionTok"/>
        </w:rPr>
        <w:t xml:space="preserve">tax_table</w:t>
      </w:r>
      <w:r>
        <w:rPr>
          <w:rStyle w:val="NormalTok"/>
        </w:rPr>
        <w:t xml:space="preserve">()   Taxonomy Table</w:t>
      </w:r>
      <w:r>
        <w:rPr>
          <w:rStyle w:val="SpecialCharTok"/>
        </w:rPr>
        <w:t xml:space="preserve">:</w:t>
      </w:r>
      <w:r>
        <w:rPr>
          <w:rStyle w:val="NormalTok"/>
        </w:rPr>
        <w:t xml:space="preserve">    [ </w:t>
      </w:r>
      <w:r>
        <w:rPr>
          <w:rStyle w:val="DecValTok"/>
        </w:rPr>
        <w:t xml:space="preserve">1702</w:t>
      </w:r>
      <w:r>
        <w:rPr>
          <w:rStyle w:val="NormalTok"/>
        </w:rPr>
        <w:t xml:space="preserve"> taxa by </w:t>
      </w:r>
      <w:r>
        <w:rPr>
          <w:rStyle w:val="DecValTok"/>
        </w:rPr>
        <w:t xml:space="preserve">9</w:t>
      </w:r>
      <w:r>
        <w:rPr>
          <w:rStyle w:val="NormalTok"/>
        </w:rPr>
        <w:t xml:space="preserve"> taxonomic ranks ]</w:t>
      </w:r>
    </w:p>
    <w:p>
      <w:pPr>
        <w:numPr>
          <w:ilvl w:val="0"/>
          <w:numId w:val="1127"/>
        </w:numPr>
        <w:pStyle w:val="Compact"/>
      </w:pPr>
      <w:r>
        <w:t xml:space="preserve">Normalize the sample counts using the function transform_sample_counts. Our function, (100* x/sum(x)) will transform all the samples into proportions.</w:t>
      </w:r>
    </w:p>
    <w:p>
      <w:pPr>
        <w:pStyle w:val="SourceCode"/>
      </w:pPr>
      <w:r>
        <w:rPr>
          <w:rStyle w:val="NormalTok"/>
        </w:rPr>
        <w:t xml:space="preserve">merge </w:t>
      </w:r>
      <w:r>
        <w:rPr>
          <w:rStyle w:val="OtherTok"/>
        </w:rPr>
        <w:t xml:space="preserve">&lt;-</w:t>
      </w:r>
      <w:r>
        <w:rPr>
          <w:rStyle w:val="NormalTok"/>
        </w:rPr>
        <w:t xml:space="preserve"> </w:t>
      </w:r>
      <w:r>
        <w:rPr>
          <w:rStyle w:val="FunctionTok"/>
        </w:rPr>
        <w:t xml:space="preserve">transform_sample_counts</w:t>
      </w:r>
      <w:r>
        <w:rPr>
          <w:rStyle w:val="NormalTok"/>
        </w:rPr>
        <w:t xml:space="preserve">(merge, </w:t>
      </w:r>
      <w:r>
        <w:rPr>
          <w:rStyle w:val="ControlFlowTok"/>
        </w:rPr>
        <w:t xml:space="preserve">function</w:t>
      </w:r>
      <w:r>
        <w:rPr>
          <w:rStyle w:val="NormalTok"/>
        </w:rPr>
        <w:t xml:space="preserve">(x) </w:t>
      </w:r>
      <w:r>
        <w:rPr>
          <w:rStyle w:val="DecValTok"/>
        </w:rPr>
        <w:t xml:space="preserve">100</w:t>
      </w:r>
      <w:r>
        <w:rPr>
          <w:rStyle w:val="NormalTok"/>
        </w:rPr>
        <w:t xml:space="preserve"> </w:t>
      </w:r>
      <w:r>
        <w:rPr>
          <w:rStyle w:val="SpecialCharTok"/>
        </w:rPr>
        <w:t xml:space="preserve">*</w:t>
      </w:r>
      <w:r>
        <w:rPr>
          <w:rStyle w:val="NormalTok"/>
        </w:rPr>
        <w:t xml:space="preserve"> x</w:t>
      </w:r>
      <w:r>
        <w:rPr>
          <w:rStyle w:val="SpecialCharTok"/>
        </w:rPr>
        <w:t xml:space="preserve">/</w:t>
      </w:r>
      <w:r>
        <w:rPr>
          <w:rStyle w:val="FunctionTok"/>
        </w:rPr>
        <w:t xml:space="preserve">sum</w:t>
      </w:r>
      <w:r>
        <w:rPr>
          <w:rStyle w:val="NormalTok"/>
        </w:rPr>
        <w:t xml:space="preserve">(x))</w:t>
      </w:r>
    </w:p>
    <w:p>
      <w:pPr>
        <w:numPr>
          <w:ilvl w:val="0"/>
          <w:numId w:val="1128"/>
        </w:numPr>
        <w:pStyle w:val="Compact"/>
      </w:pPr>
      <w:r>
        <w:t xml:space="preserve">Re-plot Phyla by age.</w:t>
      </w:r>
    </w:p>
    <w:p>
      <w:pPr>
        <w:pStyle w:val="SourceCode"/>
      </w:pPr>
      <w:r>
        <w:rPr>
          <w:rStyle w:val="FunctionTok"/>
        </w:rPr>
        <w:t xml:space="preserve">plot_bar</w:t>
      </w:r>
      <w:r>
        <w:rPr>
          <w:rStyle w:val="NormalTok"/>
        </w:rPr>
        <w:t xml:space="preserve">(merge, </w:t>
      </w:r>
      <w:r>
        <w:rPr>
          <w:rStyle w:val="AttributeTok"/>
        </w:rPr>
        <w:t xml:space="preserve">x=</w:t>
      </w:r>
      <w:r>
        <w:rPr>
          <w:rStyle w:val="NormalTok"/>
        </w:rPr>
        <w:t xml:space="preserve"> </w:t>
      </w:r>
      <w:r>
        <w:rPr>
          <w:rStyle w:val="StringTok"/>
        </w:rPr>
        <w:t xml:space="preserve">"age"</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29"/>
        </w:numPr>
      </w:pPr>
      <w:r>
        <w:t xml:space="preserve">We may need to reduce the legend text and key size in order to visualize the plot better. We have added some code above in light blue to help see the legend.</w:t>
      </w:r>
    </w:p>
    <w:p>
      <w:pPr>
        <w:numPr>
          <w:ilvl w:val="0"/>
          <w:numId w:val="1129"/>
        </w:numPr>
      </w:pPr>
      <w:r>
        <w:t xml:space="preserve">You will need to run all the commands in the same code chunk to produce the plot.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4B-2. Do you observe any candidate Phyla that changes with age?</w:t>
            </w:r>
          </w:p>
        </w:tc>
      </w:tr>
      <w:tr>
        <w:tc>
          <w:tcPr/>
          <w:p>
            <w:pPr>
              <w:pStyle w:val="Compact"/>
              <w:jc w:val="left"/>
            </w:pPr>
          </w:p>
        </w:tc>
      </w:tr>
    </w:tbl>
    <w:p>
      <w:pPr>
        <w:pStyle w:val="BodyText"/>
      </w:pPr>
    </w:p>
    <w:bookmarkEnd w:id="303"/>
    <w:bookmarkStart w:id="304" w:name="X16359a43e1e27634430b0117a20c2f824be564f"/>
    <w:p>
      <w:pPr>
        <w:pStyle w:val="Heading3"/>
      </w:pPr>
      <w:r>
        <w:rPr>
          <w:rStyle w:val="SectionNumber"/>
        </w:rPr>
        <w:t xml:space="preserve">4.7.3</w:t>
      </w:r>
      <w:r>
        <w:tab/>
      </w:r>
      <w:r>
        <w:t xml:space="preserve">Step 4C. Candidate Phyla implicated in age variation include Firmicutes and Bacteroidetes. Plot these specific phyla on their own, separately, to observe any shift that occurs with age.</w:t>
      </w:r>
    </w:p>
    <w:p>
      <w:pPr>
        <w:numPr>
          <w:ilvl w:val="0"/>
          <w:numId w:val="1130"/>
        </w:numPr>
        <w:pStyle w:val="Compact"/>
      </w:pPr>
      <w:r>
        <w:t xml:space="preserve">Use your new merged and normalized</w:t>
      </w:r>
      <w:r>
        <w:t xml:space="preserve"> </w:t>
      </w:r>
      <w:r>
        <w:t xml:space="preserve">‘</w:t>
      </w:r>
      <w:r>
        <w:t xml:space="preserve">merge</w:t>
      </w:r>
      <w:r>
        <w:t xml:space="preserve">’</w:t>
      </w:r>
      <w:r>
        <w:t xml:space="preserve"> </w:t>
      </w:r>
      <w:r>
        <w:t xml:space="preserve">phyloseq object as input. This means the new code must be placed in the same code block as the previous and run together.</w:t>
      </w:r>
    </w:p>
    <w:p>
      <w:pPr>
        <w:numPr>
          <w:ilvl w:val="0"/>
          <w:numId w:val="1130"/>
        </w:numPr>
        <w:pStyle w:val="Compact"/>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30"/>
        </w:numPr>
        <w:pStyle w:val="Compact"/>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(merge,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"age"</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4C-1. Insert the plot that graphs the relationship of age to the Phylum Firmicutes below: The graph should have age on the axis, and just one color of bar that varies in height.</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4C-2. Do you observe any changes in Firmicutes based on age?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4C-3. Insert the plot that graphs the relationship of age to the Phylum Bacteroidetes below: The graph should have age on the axis, and just one color of bar that varies in height.</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4C-4 Do you observe any changes in Bacteroidetes based on age?</w:t>
            </w:r>
          </w:p>
        </w:tc>
      </w:tr>
      <w:tr>
        <w:tc>
          <w:tcPr/>
          <w:p>
            <w:pPr>
              <w:pStyle w:val="Compact"/>
              <w:jc w:val="left"/>
            </w:pPr>
          </w:p>
        </w:tc>
      </w:tr>
    </w:tbl>
    <w:p>
      <w:pPr>
        <w:pStyle w:val="BodyText"/>
      </w:pPr>
    </w:p>
    <w:bookmarkEnd w:id="304"/>
    <w:bookmarkStart w:id="305" w:name="grading-criteria-7"/>
    <w:p>
      <w:pPr>
        <w:pStyle w:val="Heading3"/>
      </w:pPr>
      <w:r>
        <w:rPr>
          <w:rStyle w:val="SectionNumber"/>
        </w:rPr>
        <w:t xml:space="preserve">4.7.4</w:t>
      </w:r>
      <w:r>
        <w:tab/>
      </w:r>
      <w:r>
        <w:t xml:space="preserve">Grading criteria</w:t>
      </w:r>
    </w:p>
    <w:p>
      <w:pPr>
        <w:numPr>
          <w:ilvl w:val="0"/>
          <w:numId w:val="1131"/>
        </w:numPr>
        <w:pStyle w:val="Compact"/>
      </w:pPr>
      <w:r>
        <w:t xml:space="preserve">Download the assignment to your local computer as a .docx, complete it, and upload the assignment to your LMS (Blackboard, Canvas, Google Classroom).</w:t>
      </w:r>
    </w:p>
    <w:bookmarkEnd w:id="305"/>
    <w:bookmarkStart w:id="308" w:name="footnotes-11"/>
    <w:p>
      <w:pPr>
        <w:pStyle w:val="Heading3"/>
      </w:pPr>
      <w:r>
        <w:rPr>
          <w:rStyle w:val="SectionNumber"/>
        </w:rPr>
        <w:t xml:space="preserve">4.7.5</w:t>
      </w:r>
      <w:r>
        <w:tab/>
      </w:r>
      <w:r>
        <w:t xml:space="preserve">Footnotes</w:t>
      </w:r>
    </w:p>
    <w:bookmarkStart w:id="306" w:name="resources-15"/>
    <w:p>
      <w:pPr>
        <w:pStyle w:val="Heading4"/>
      </w:pPr>
      <w:r>
        <w:rPr>
          <w:rStyle w:val="SectionNumber"/>
        </w:rPr>
        <w:t xml:space="preserve">4.7.5.1</w:t>
      </w:r>
      <w:r>
        <w:tab/>
      </w:r>
      <w:r>
        <w:t xml:space="preserve">Resources</w:t>
      </w:r>
    </w:p>
    <w:p>
      <w:pPr>
        <w:numPr>
          <w:ilvl w:val="0"/>
          <w:numId w:val="1132"/>
        </w:numPr>
        <w:pStyle w:val="Compact"/>
      </w:pPr>
      <w:hyperlink r:id="rId270">
        <w:r>
          <w:rPr>
            <w:rStyle w:val="Hyperlink"/>
          </w:rPr>
          <w:t xml:space="preserve">Google Doc</w:t>
        </w:r>
      </w:hyperlink>
    </w:p>
    <w:p>
      <w:pPr>
        <w:numPr>
          <w:ilvl w:val="0"/>
          <w:numId w:val="1132"/>
        </w:numPr>
        <w:pStyle w:val="Compact"/>
      </w:pPr>
      <w:hyperlink r:id="rId271">
        <w:r>
          <w:rPr>
            <w:rStyle w:val="Hyperlink"/>
          </w:rPr>
          <w:t xml:space="preserve">16S rRNA R Quick Reference</w:t>
        </w:r>
      </w:hyperlink>
    </w:p>
    <w:bookmarkEnd w:id="306"/>
    <w:bookmarkStart w:id="307" w:name="contributions-and-affiliations-11"/>
    <w:p>
      <w:pPr>
        <w:pStyle w:val="Heading4"/>
      </w:pPr>
      <w:r>
        <w:rPr>
          <w:rStyle w:val="SectionNumber"/>
        </w:rPr>
        <w:t xml:space="preserve">4.7.5.2</w:t>
      </w:r>
      <w:r>
        <w:tab/>
      </w:r>
      <w:r>
        <w:t xml:space="preserve">Contributions and affiliations</w:t>
      </w:r>
    </w:p>
    <w:p>
      <w:pPr>
        <w:numPr>
          <w:ilvl w:val="0"/>
          <w:numId w:val="1133"/>
        </w:numPr>
        <w:pStyle w:val="Compact"/>
      </w:pPr>
      <w:r>
        <w:t xml:space="preserve">Valeriya Gaysinskaya, Johns Hopkins University</w:t>
      </w:r>
    </w:p>
    <w:p>
      <w:pPr>
        <w:numPr>
          <w:ilvl w:val="0"/>
          <w:numId w:val="1133"/>
        </w:numPr>
        <w:pStyle w:val="Compact"/>
      </w:pPr>
      <w:r>
        <w:t xml:space="preserve">Gauri Paul, Clovis Community College</w:t>
      </w:r>
    </w:p>
    <w:p>
      <w:pPr>
        <w:numPr>
          <w:ilvl w:val="0"/>
          <w:numId w:val="1133"/>
        </w:numPr>
        <w:pStyle w:val="Compact"/>
      </w:pPr>
      <w:r>
        <w:t xml:space="preserve">Frederick Tan, Johns Hopkins University</w:t>
      </w:r>
    </w:p>
    <w:p>
      <w:pPr>
        <w:numPr>
          <w:ilvl w:val="0"/>
          <w:numId w:val="1133"/>
        </w:numPr>
        <w:pStyle w:val="Compact"/>
      </w:pPr>
      <w:r>
        <w:t xml:space="preserve">Sayumi York, Notre Dame of Maryland University</w:t>
      </w:r>
    </w:p>
    <w:bookmarkEnd w:id="307"/>
    <w:bookmarkEnd w:id="308"/>
    <w:bookmarkEnd w:id="309"/>
    <w:bookmarkEnd w:id="310"/>
    <w:bookmarkStart w:id="363" w:name="analyzing-16s-rrna-data-with-phyloseq"/>
    <w:p>
      <w:pPr>
        <w:pStyle w:val="Heading1"/>
      </w:pPr>
      <w:r>
        <w:rPr>
          <w:rStyle w:val="SectionNumber"/>
        </w:rPr>
        <w:t xml:space="preserve">5</w:t>
      </w:r>
      <w:r>
        <w:tab/>
      </w:r>
      <w:r>
        <w:t xml:space="preserve">Analyzing 16S rRNA Data with phyloseq</w:t>
      </w:r>
    </w:p>
    <w:bookmarkStart w:id="311" w:name="analyzing-16s-rrna-data-with-phyloseq-1"/>
    <w:p>
      <w:pPr>
        <w:pStyle w:val="Heading2"/>
      </w:pPr>
      <w:r>
        <w:rPr>
          <w:rStyle w:val="SectionNumber"/>
        </w:rPr>
        <w:t xml:space="preserve">5.1</w:t>
      </w:r>
      <w:r>
        <w:tab/>
      </w:r>
      <w:r>
        <w:t xml:space="preserve">Analyzing 16S rRNA Data with phyloseq</w:t>
      </w:r>
    </w:p>
    <w:p>
      <w:pPr>
        <w:pStyle w:val="FirstParagraph"/>
      </w:pPr>
      <w:r>
        <w:t xml:space="preserve">In this section we will do more advanced analyses in phyloseq. These include:</w:t>
      </w:r>
    </w:p>
    <w:p>
      <w:pPr>
        <w:numPr>
          <w:ilvl w:val="0"/>
          <w:numId w:val="1134"/>
        </w:numPr>
        <w:pStyle w:val="Compact"/>
      </w:pPr>
      <w:r>
        <w:t xml:space="preserve">Profiling biodiveristy of sample through alpha diversity</w:t>
      </w:r>
    </w:p>
    <w:p>
      <w:pPr>
        <w:numPr>
          <w:ilvl w:val="0"/>
          <w:numId w:val="1134"/>
        </w:numPr>
        <w:pStyle w:val="Compact"/>
      </w:pPr>
      <w:r>
        <w:t xml:space="preserve">Plotting samples in a multidimensional plot which will allow us to easily see similarities between samples</w:t>
      </w:r>
    </w:p>
    <w:p>
      <w:pPr>
        <w:numPr>
          <w:ilvl w:val="0"/>
          <w:numId w:val="1134"/>
        </w:numPr>
        <w:pStyle w:val="Compact"/>
      </w:pPr>
      <w:r>
        <w:t xml:space="preserve">Performing a differential abundance analysis to compare the abundance of microbes between two conditions</w:t>
      </w:r>
    </w:p>
    <w:p>
      <w:pPr>
        <w:numPr>
          <w:ilvl w:val="0"/>
          <w:numId w:val="1134"/>
        </w:numPr>
        <w:pStyle w:val="Compact"/>
      </w:pPr>
      <w:r>
        <w:t xml:space="preserve">Relating all the above to different metadata variables in our datasets such as subject, age, and gender</w:t>
      </w:r>
    </w:p>
    <w:p>
      <w:pPr>
        <w:pStyle w:val="FirstParagraph"/>
      </w:pPr>
      <w:r>
        <w:t xml:space="preserve">These analyses are slightly more complex to run and interpret, but students who have completed the</w:t>
      </w:r>
      <w:r>
        <w:t xml:space="preserve"> </w:t>
      </w:r>
      <w:hyperlink r:id="rId41">
        <w:r>
          <w:rPr>
            <w:rStyle w:val="Hyperlink"/>
          </w:rPr>
          <w:t xml:space="preserve">chapter on scientific literature</w:t>
        </w:r>
      </w:hyperlink>
      <w:r>
        <w:t xml:space="preserve"> </w:t>
      </w:r>
      <w:r>
        <w:t xml:space="preserve">will have previous exposure to these figures.</w:t>
      </w:r>
    </w:p>
    <w:bookmarkEnd w:id="311"/>
    <w:bookmarkStart w:id="316" w:name="Xc987d52058f3cfdde5814fbc9ed44a17b9bd862"/>
    <w:p>
      <w:pPr>
        <w:pStyle w:val="Heading2"/>
      </w:pPr>
      <w:r>
        <w:rPr>
          <w:rStyle w:val="SectionNumber"/>
        </w:rPr>
        <w:t xml:space="preserve">5.2</w:t>
      </w:r>
      <w:r>
        <w:tab/>
      </w:r>
      <w:r>
        <w:t xml:space="preserve">Lecture - Analyzing 16S rRNA Data with phyloseq</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313" name="Picture"/>
            <a:graphic>
              <a:graphicData uri="http://schemas.openxmlformats.org/drawingml/2006/picture">
                <pic:pic>
                  <pic:nvPicPr>
                    <pic:cNvPr descr="analyze-phyloseq_files/figure-docx//1QZbSBPOGkBeizh1L45C6EaktOxl6pqrTDGNIncHQ5lY_g35f391192_00.png" id="314" name="Picture"/>
                    <pic:cNvPicPr>
                      <a:picLocks noChangeArrowheads="1" noChangeAspect="1"/>
                    </pic:cNvPicPr>
                  </pic:nvPicPr>
                  <pic:blipFill>
                    <a:blip r:embed="rId3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15">
        <w:r>
          <w:rPr>
            <w:rStyle w:val="Hyperlink"/>
          </w:rPr>
          <w:t xml:space="preserve">Lecture</w:t>
        </w:r>
      </w:hyperlink>
    </w:p>
    <w:bookmarkEnd w:id="316"/>
    <w:bookmarkStart w:id="331" w:name="X8f91bb87d0455a3b5505646cf528f27e7ba8c11"/>
    <w:p>
      <w:pPr>
        <w:pStyle w:val="Heading2"/>
      </w:pPr>
      <w:r>
        <w:rPr>
          <w:rStyle w:val="SectionNumber"/>
        </w:rPr>
        <w:t xml:space="preserve">5.3</w:t>
      </w:r>
      <w:r>
        <w:tab/>
      </w:r>
      <w:r>
        <w:t xml:space="preserve">Activity - Exploring 16S rRNA Data with phyloseq</w:t>
      </w:r>
    </w:p>
    <w:bookmarkStart w:id="317" w:name="purpose-8"/>
    <w:p>
      <w:pPr>
        <w:pStyle w:val="Heading3"/>
      </w:pPr>
      <w:r>
        <w:rPr>
          <w:rStyle w:val="SectionNumber"/>
        </w:rPr>
        <w:t xml:space="preserve">5.3.1</w:t>
      </w:r>
      <w:r>
        <w:tab/>
      </w:r>
      <w:r>
        <w:t xml:space="preserve">Purpose</w:t>
      </w:r>
    </w:p>
    <w:p>
      <w:pPr>
        <w:pStyle w:val="FirstParagraph"/>
      </w:pPr>
      <w:r>
        <w:t xml:space="preserve">To analyze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across individuals.</w:t>
      </w:r>
    </w:p>
    <w:p>
      <w:pPr>
        <w:pStyle w:val="BodyText"/>
      </w:pPr>
      <w:r>
        <w:t xml:space="preserve">This activity aims to analyze metagenomic diversity using the following R packages:</w:t>
      </w:r>
    </w:p>
    <w:p>
      <w:pPr>
        <w:numPr>
          <w:ilvl w:val="0"/>
          <w:numId w:val="1135"/>
        </w:numPr>
        <w:pStyle w:val="Compact"/>
      </w:pPr>
      <w:r>
        <w:rPr>
          <w:bCs/>
          <w:b/>
        </w:rPr>
        <w:t xml:space="preserve">phyloseq</w:t>
      </w:r>
      <w:r>
        <w:t xml:space="preserve">: A popular package for taxonomy profiling</w:t>
      </w:r>
    </w:p>
    <w:p>
      <w:pPr>
        <w:numPr>
          <w:ilvl w:val="0"/>
          <w:numId w:val="1135"/>
        </w:numPr>
        <w:pStyle w:val="Compact"/>
      </w:pPr>
      <w:r>
        <w:rPr>
          <w:bCs/>
          <w:b/>
        </w:rPr>
        <w:t xml:space="preserve">DESeq2</w:t>
      </w:r>
      <w:r>
        <w:t xml:space="preserve">: A package originally designed for differential expression which we will use for differential abundance</w:t>
      </w:r>
    </w:p>
    <w:p>
      <w:pPr>
        <w:numPr>
          <w:ilvl w:val="0"/>
          <w:numId w:val="1135"/>
        </w:numPr>
        <w:pStyle w:val="Compact"/>
      </w:pPr>
      <w:r>
        <w:rPr>
          <w:bCs/>
          <w:b/>
        </w:rPr>
        <w:t xml:space="preserve">ggplot2</w:t>
      </w:r>
      <w:r>
        <w:t xml:space="preserve">: A tidyverse package that produces high-quality figures</w:t>
      </w:r>
    </w:p>
    <w:bookmarkEnd w:id="317"/>
    <w:bookmarkStart w:id="318" w:name="learning-objectives-7"/>
    <w:p>
      <w:pPr>
        <w:pStyle w:val="Heading3"/>
      </w:pPr>
      <w:r>
        <w:rPr>
          <w:rStyle w:val="SectionNumber"/>
        </w:rPr>
        <w:t xml:space="preserve">5.3.2</w:t>
      </w:r>
      <w:r>
        <w:tab/>
      </w:r>
      <w:r>
        <w:t xml:space="preserve">Learning objectives</w:t>
      </w:r>
    </w:p>
    <w:p>
      <w:pPr>
        <w:numPr>
          <w:ilvl w:val="0"/>
          <w:numId w:val="1136"/>
        </w:numPr>
        <w:pStyle w:val="Compact"/>
      </w:pPr>
      <w:r>
        <w:t xml:space="preserve">Use phyloseq to cluster samples based on the similarity of their microbial compositions using multidimensional scaling methods (NMDS or PCoA)</w:t>
      </w:r>
    </w:p>
    <w:p>
      <w:pPr>
        <w:numPr>
          <w:ilvl w:val="0"/>
          <w:numId w:val="1136"/>
        </w:numPr>
        <w:pStyle w:val="Compact"/>
      </w:pPr>
      <w:r>
        <w:t xml:space="preserve">Use phyloseq to profile alpha diversity (Shannon and Simpson’s indices)</w:t>
      </w:r>
    </w:p>
    <w:p>
      <w:pPr>
        <w:numPr>
          <w:ilvl w:val="0"/>
          <w:numId w:val="1136"/>
        </w:numPr>
        <w:pStyle w:val="Compact"/>
      </w:pPr>
      <w:r>
        <w:t xml:space="preserve">Use DESeq2 to perform differential abundance analysis</w:t>
      </w:r>
    </w:p>
    <w:bookmarkEnd w:id="318"/>
    <w:bookmarkStart w:id="319" w:name="introduction-8"/>
    <w:p>
      <w:pPr>
        <w:pStyle w:val="Heading3"/>
      </w:pPr>
      <w:r>
        <w:rPr>
          <w:rStyle w:val="SectionNumber"/>
        </w:rPr>
        <w:t xml:space="preserve">5.3.3</w:t>
      </w:r>
      <w:r>
        <w:tab/>
      </w:r>
      <w:r>
        <w:t xml:space="preserve">Introduction</w:t>
      </w:r>
    </w:p>
    <w:p>
      <w:pPr>
        <w:pStyle w:val="FirstParagraph"/>
      </w:pPr>
      <w:r>
        <w:t xml:space="preserve">16S data can be manipulated and visualized in a variety of ways. In Google Sheets, we explored the data manually to gain an understanding at the level of 1-10 ASVs. Through phyloseq we collapsed ASVs with the same taxonomic annotation to survey microbial diversity and perform the same exploration across the entire dataset. In this activity, we will use the functions of phyloseq and DESeq2 that are more advanced. These analyses would be extremely difficult and tedious to do manually and will allow us deeper insights into our dataset. We will cluster samples based on similarity of ASV counts, survey alpha diversity, and search for differentially abundant ASVs between different groups.</w:t>
      </w:r>
    </w:p>
    <w:bookmarkEnd w:id="319"/>
    <w:bookmarkStart w:id="320" w:name="X86de0bad542461c14caf91529ba08092a314e92"/>
    <w:p>
      <w:pPr>
        <w:pStyle w:val="Heading3"/>
      </w:pPr>
      <w:r>
        <w:rPr>
          <w:rStyle w:val="SectionNumber"/>
        </w:rPr>
        <w:t xml:space="preserve">5.3.4</w:t>
      </w:r>
      <w:r>
        <w:tab/>
      </w:r>
      <w:r>
        <w:t xml:space="preserve">Activity 1 – Analyze 16S rRNA Data with phyloseq tutorial</w:t>
      </w:r>
    </w:p>
    <w:p>
      <w:pPr>
        <w:pStyle w:val="FirstParagraph"/>
      </w:pPr>
      <w:r>
        <w:rPr>
          <w:iCs/>
          <w:i/>
        </w:rPr>
        <w:t xml:space="preserve">Estimated time: 35 min</w:t>
      </w:r>
    </w:p>
    <w:p>
      <w:pPr>
        <w:pStyle w:val="BodyText"/>
      </w:pPr>
      <w:r>
        <w:rPr>
          <w:bCs/>
          <w:b/>
        </w:rPr>
        <w:t xml:space="preserve">Activity 1. Explore a phyloseq object through the</w:t>
      </w:r>
      <w:r>
        <w:rPr>
          <w:bCs/>
          <w:b/>
        </w:rPr>
        <w:t xml:space="preserve"> </w:t>
      </w:r>
      <w:r>
        <w:rPr>
          <w:bCs/>
          <w:b/>
        </w:rPr>
        <w:t xml:space="preserve">“</w:t>
      </w:r>
      <w:r>
        <w:rPr>
          <w:bCs/>
          <w:b/>
        </w:rPr>
        <w:t xml:space="preserve">Analyze 16S rRNA Data with phyloseq</w:t>
      </w:r>
      <w:r>
        <w:rPr>
          <w:bCs/>
          <w:b/>
        </w:rPr>
        <w:t xml:space="preserve">”</w:t>
      </w:r>
      <w:r>
        <w:rPr>
          <w:bCs/>
          <w:b/>
        </w:rPr>
        <w:t xml:space="preserve"> </w:t>
      </w:r>
      <w:r>
        <w:rPr>
          <w:bCs/>
          <w:b/>
        </w:rPr>
        <w:t xml:space="preserve">tutorial.</w:t>
      </w:r>
    </w:p>
    <w:p>
      <w:pPr>
        <w:numPr>
          <w:ilvl w:val="0"/>
          <w:numId w:val="1137"/>
        </w:numPr>
        <w:pStyle w:val="Compact"/>
      </w:pPr>
      <w:r>
        <w:t xml:space="preserve">Access the C-MOOR Tutorials</w:t>
      </w:r>
    </w:p>
    <w:p>
      <w:pPr>
        <w:numPr>
          <w:ilvl w:val="0"/>
          <w:numId w:val="1138"/>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138"/>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2-analyze-ps</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138"/>
        </w:numPr>
      </w:pPr>
      <w:r>
        <w:t xml:space="preserve">If you are using an alternative setup, follow the instructions provided by your instructor.</w:t>
      </w:r>
    </w:p>
    <w:p>
      <w:pPr>
        <w:numPr>
          <w:ilvl w:val="0"/>
          <w:numId w:val="1139"/>
        </w:numPr>
        <w:pStyle w:val="Compact"/>
      </w:pPr>
      <w:r>
        <w:t xml:space="preserve">Start the</w:t>
      </w:r>
      <w:r>
        <w:t xml:space="preserve"> </w:t>
      </w:r>
      <w:r>
        <w:t xml:space="preserve">“</w:t>
      </w:r>
      <w:r>
        <w:t xml:space="preserve">Analyze 16S rRNA Data with phyloseq</w:t>
      </w:r>
      <w:r>
        <w:t xml:space="preserve">”</w:t>
      </w:r>
      <w:r>
        <w:t xml:space="preserve"> </w:t>
      </w:r>
      <w:r>
        <w:t xml:space="preserve">tutorial.</w:t>
      </w:r>
    </w:p>
    <w:p>
      <w:pPr>
        <w:numPr>
          <w:ilvl w:val="0"/>
          <w:numId w:val="1139"/>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139"/>
        </w:numPr>
        <w:pStyle w:val="Compact"/>
      </w:pPr>
      <w:r>
        <w:t xml:space="preserve">This tutorial has small boxes in which you can enter and run short lines of code to analyze the data.</w:t>
      </w:r>
    </w:p>
    <w:p>
      <w:pPr>
        <w:numPr>
          <w:ilvl w:val="0"/>
          <w:numId w:val="1139"/>
        </w:numPr>
        <w:pStyle w:val="Compact"/>
      </w:pPr>
      <w:r>
        <w:t xml:space="preserve">As you work through the tutorial, take snapshots of your work and paste your answers in the grey boxes below: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 Alpha diversity section: Take a snapshot and paste the code for an alpha diversity plot (Simpson) from the quiz question: What male subject has the data point for the LOWEST alpha diversity? HINT: Use subset_samples() to subset males, and specify individuals (subject) on x-axis of the alpha diversity plot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1-2. PCoA section: Take a snapshot and paste the code for a PCoA plot from the quiz question: In a PCoA with only data from ASVs with the class Bacteroidia, what is the percent of variance in the dataset explained by principal coordinate 1? HINT: You will need to change the code subsetting phylum and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1-3. Differential abundance: Take a snapshot and paste the code for the differential abundance plot for the quiz question: Which of the following Phylum have ASVs that are differentially abundant between the subject S02 and subject S03?</w:t>
            </w:r>
          </w:p>
        </w:tc>
      </w:tr>
      <w:tr>
        <w:tc>
          <w:tcPr/>
          <w:p>
            <w:pPr>
              <w:pStyle w:val="Compact"/>
              <w:jc w:val="left"/>
            </w:pPr>
          </w:p>
        </w:tc>
      </w:tr>
    </w:tbl>
    <w:bookmarkEnd w:id="320"/>
    <w:bookmarkStart w:id="325" w:name="activity-2-try-it-out-questions-1"/>
    <w:p>
      <w:pPr>
        <w:pStyle w:val="Heading3"/>
      </w:pPr>
      <w:r>
        <w:rPr>
          <w:rStyle w:val="SectionNumber"/>
        </w:rPr>
        <w:t xml:space="preserve">5.3.5</w:t>
      </w:r>
      <w:r>
        <w:tab/>
      </w:r>
      <w:r>
        <w:t xml:space="preserve">Activity 2 – Try it out questions</w:t>
      </w:r>
    </w:p>
    <w:p>
      <w:pPr>
        <w:pStyle w:val="FirstParagraph"/>
      </w:pPr>
      <w:r>
        <w:rPr>
          <w:iCs/>
          <w:i/>
        </w:rPr>
        <w:t xml:space="preserve">Estimated time: 60 min</w:t>
      </w:r>
    </w:p>
    <w:p>
      <w:pPr>
        <w:pStyle w:val="BodyText"/>
      </w:pPr>
      <w:r>
        <w:t xml:space="preserve">With your group, perform some exploratory data analysis selecting from one of the four questions below or coming up with your own question. Each question has its own section with code templates for you to use below. Select a question here, then go to the page specific to your question.</w:t>
      </w:r>
    </w:p>
    <w:bookmarkStart w:id="321" w:name="Xd7fe6c5293c3dabe27f88cf1c7ce09a9de27f08"/>
    <w:p>
      <w:pPr>
        <w:pStyle w:val="Heading4"/>
      </w:pPr>
      <w:r>
        <w:rPr>
          <w:rStyle w:val="SectionNumber"/>
        </w:rPr>
        <w:t xml:space="preserve">5.3.5.1</w:t>
      </w:r>
      <w:r>
        <w:tab/>
      </w:r>
      <w:r>
        <w:t xml:space="preserve">Question 1. How sensitive is microbial diversity to variables like diet, age and gender?</w:t>
      </w:r>
    </w:p>
    <w:p>
      <w:pPr>
        <w:pStyle w:val="FirstParagraph"/>
      </w:pPr>
      <w:r>
        <w:t xml:space="preserve">Alpha diversity is a measure that estimates how the distribution of microbes changes due to a variable (or metadata category). Alpha diversity measures changes in the richness (the number of different organisms or ASVs) and evenness (how evenly are these organisms distributed in terms of their abundance). Using the</w:t>
      </w:r>
      <w:r>
        <w:t xml:space="preserve"> </w:t>
      </w:r>
      <w:r>
        <w:t xml:space="preserve">“</w:t>
      </w:r>
      <w:r>
        <w:t xml:space="preserve">MISO</w:t>
      </w:r>
      <w:r>
        <w:t xml:space="preserve">”</w:t>
      </w:r>
      <w:r>
        <w:t xml:space="preserve"> </w:t>
      </w:r>
      <w:r>
        <w:t xml:space="preserve">study dataset we will use Simpson (or specifically, Gini-Simpson) alpha diversity to evaluate changes in microbial diversity in individuals due to different metadata variables.</w:t>
      </w:r>
    </w:p>
    <w:p>
      <w:pPr>
        <w:pStyle w:val="BodyText"/>
      </w:pPr>
      <w:r>
        <w:t xml:space="preserve">Approach: Plot Simpson alpha diversity using plot_richness() command in phyloseq and assess the impact of different study variables on changes in microbial diversity. Identify variables that impact alpha diversity. Visible shifts in alpha diversity suggest a shift in microbial diversity, and a higher alpha diversity value indicates an increase in alpha diversity (either richness or abundance).</w:t>
      </w:r>
    </w:p>
    <w:p>
      <w:pPr>
        <w:numPr>
          <w:ilvl w:val="0"/>
          <w:numId w:val="1140"/>
        </w:numPr>
        <w:pStyle w:val="Compact"/>
      </w:pPr>
      <w:r>
        <w:t xml:space="preserve">Evaluate the impact of diet on alpha diversity by plotting ASVs based on</w:t>
      </w:r>
      <w:r>
        <w:t xml:space="preserve"> </w:t>
      </w:r>
      <w:r>
        <w:t xml:space="preserve">“</w:t>
      </w:r>
      <w:r>
        <w:t xml:space="preserve">diet</w:t>
      </w:r>
      <w:r>
        <w:t xml:space="preserve">”</w:t>
      </w:r>
      <w:r>
        <w:t xml:space="preserve"> </w:t>
      </w:r>
      <w:r>
        <w:t xml:space="preserve">variable.</w:t>
      </w:r>
    </w:p>
    <w:p>
      <w:pPr>
        <w:numPr>
          <w:ilvl w:val="0"/>
          <w:numId w:val="1140"/>
        </w:numPr>
        <w:pStyle w:val="Compact"/>
      </w:pPr>
      <w:r>
        <w:t xml:space="preserve">Evaluate the impact of individuality on alpha diversity by plotting ASVs based on</w:t>
      </w:r>
      <w:r>
        <w:t xml:space="preserve"> </w:t>
      </w:r>
      <w:r>
        <w:t xml:space="preserve">“</w:t>
      </w:r>
      <w:r>
        <w:t xml:space="preserve">subject</w:t>
      </w:r>
      <w:r>
        <w:t xml:space="preserve">”</w:t>
      </w:r>
      <w:r>
        <w:t xml:space="preserve"> </w:t>
      </w:r>
      <w:r>
        <w:t xml:space="preserve">variable.</w:t>
      </w:r>
    </w:p>
    <w:p>
      <w:pPr>
        <w:numPr>
          <w:ilvl w:val="0"/>
          <w:numId w:val="1140"/>
        </w:numPr>
        <w:pStyle w:val="Compact"/>
      </w:pPr>
      <w:r>
        <w:t xml:space="preserve">Evaluate the impact of gender on alpha diversity by plotting ASVs based on</w:t>
      </w:r>
      <w:r>
        <w:t xml:space="preserve"> </w:t>
      </w:r>
      <w:r>
        <w:t xml:space="preserve">“</w:t>
      </w:r>
      <w:r>
        <w:t xml:space="preserve">age</w:t>
      </w:r>
      <w:r>
        <w:t xml:space="preserve">”</w:t>
      </w:r>
      <w:r>
        <w:t xml:space="preserve"> </w:t>
      </w:r>
      <w:r>
        <w:t xml:space="preserve">variable.</w:t>
      </w:r>
    </w:p>
    <w:p>
      <w:pPr>
        <w:numPr>
          <w:ilvl w:val="0"/>
          <w:numId w:val="1140"/>
        </w:numPr>
        <w:pStyle w:val="Compact"/>
      </w:pPr>
      <w:r>
        <w:t xml:space="preserve">Evaluate the impact of gender on alpha diversity by plotting ASVs based on</w:t>
      </w:r>
      <w:r>
        <w:t xml:space="preserve"> </w:t>
      </w:r>
      <w:r>
        <w:t xml:space="preserve">“</w:t>
      </w:r>
      <w:r>
        <w:t xml:space="preserve">gender</w:t>
      </w:r>
      <w:r>
        <w:t xml:space="preserve">”</w:t>
      </w:r>
      <w:r>
        <w:t xml:space="preserve"> </w:t>
      </w:r>
      <w:r>
        <w:t xml:space="preserve">variable.</w:t>
      </w:r>
    </w:p>
    <w:p>
      <w:pPr>
        <w:numPr>
          <w:ilvl w:val="0"/>
          <w:numId w:val="1140"/>
        </w:numPr>
        <w:pStyle w:val="Compact"/>
      </w:pPr>
      <w:r>
        <w:t xml:space="preserve">Evaluate the impact of gender on alpha diversity by plotting ASVs based on the 5 different levels of metabolites in the study (Creatinine, PCS, IS, HIPP, PAG).</w:t>
      </w:r>
    </w:p>
    <w:bookmarkEnd w:id="321"/>
    <w:bookmarkStart w:id="322" w:name="Xce8ba0af66d77c0493c92044e197fc52f25ceec"/>
    <w:p>
      <w:pPr>
        <w:pStyle w:val="Heading4"/>
      </w:pPr>
      <w:r>
        <w:rPr>
          <w:rStyle w:val="SectionNumber"/>
        </w:rPr>
        <w:t xml:space="preserve">5.3.5.2</w:t>
      </w:r>
      <w:r>
        <w:tab/>
      </w:r>
      <w:r>
        <w:t xml:space="preserve">Question 2. Do diet, age, gender and levels of metabolites correlate with microbe variation between individuals?</w:t>
      </w:r>
    </w:p>
    <w:p>
      <w:pPr>
        <w:pStyle w:val="FirstParagraph"/>
      </w:pPr>
      <w:r>
        <w:t xml:space="preserve">A PCoA plot is a principal coordinate analysis used to represent similarity between samples (sample microbiomes in our case). Using the</w:t>
      </w:r>
      <w:r>
        <w:t xml:space="preserve"> </w:t>
      </w:r>
      <w:r>
        <w:t xml:space="preserve">“</w:t>
      </w:r>
      <w:r>
        <w:t xml:space="preserve">MISO</w:t>
      </w:r>
      <w:r>
        <w:t xml:space="preserve">”</w:t>
      </w:r>
      <w:r>
        <w:t xml:space="preserve"> </w:t>
      </w:r>
      <w:r>
        <w:t xml:space="preserve">study dataset, we will use the PCoA plot to summarize individuals based on ASVs and plot the resulting relationships between individuals. Based on how well color-coding the different variables matches the sample distribution on the PcOA plot, we will aim to help explain potential sources of sample similarity.</w:t>
      </w:r>
    </w:p>
    <w:p>
      <w:pPr>
        <w:pStyle w:val="BodyText"/>
      </w:pPr>
      <w:r>
        <w:t xml:space="preserve">Approach: Perform multidimensional scaling (also known as principal component analysis) to establish a relationship between the samples given multivariate data (metadata variables). Using a PcOA plot (via commands ordinate() and plot_ordination() in phyloseq), you will condense the original high-dimensional data into a low-dimensional one by converting data to distance map (matrix) with 2 dimensions, x and y, that best explain variability in your data. From your PCoA plot you will assess the contribution of different study variables to sample diversity and identify variables that correlate with sample diversity. In a PcOA plot, samples with similar microbial profiles will be plotted close and may appear as groups.</w:t>
      </w:r>
    </w:p>
    <w:p>
      <w:pPr>
        <w:numPr>
          <w:ilvl w:val="0"/>
          <w:numId w:val="1141"/>
        </w:numPr>
        <w:pStyle w:val="Compact"/>
      </w:pPr>
      <w:r>
        <w:t xml:space="preserve">Make a PCoA plot, ordinate on the entire dataset (all ASVs) and color by individual. Investigate the shape of the resulting PCoA plot.</w:t>
      </w:r>
    </w:p>
    <w:p>
      <w:pPr>
        <w:numPr>
          <w:ilvl w:val="0"/>
          <w:numId w:val="1141"/>
        </w:numPr>
        <w:pStyle w:val="Compact"/>
      </w:pPr>
      <w:r>
        <w:t xml:space="preserve">Correlate PCoA plot shape with metadata variables by coloring the PCoA plot with different variables including diet, subject, age and gender. Do any of the variables correlate with the shape of PCoA plot and data groupings?</w:t>
      </w:r>
    </w:p>
    <w:p>
      <w:pPr>
        <w:numPr>
          <w:ilvl w:val="0"/>
          <w:numId w:val="1141"/>
        </w:numPr>
        <w:pStyle w:val="Compact"/>
      </w:pPr>
      <w:r>
        <w:t xml:space="preserve">Correlate PCoA plot shape with the levels of metabolites in the study (Creatinine, PCS, IS, HIPP, PAG). From the color-coding pattern, identify 1. which variables help potentially explain the data groups formed in the PCoA plot.</w:t>
      </w:r>
      <w:r>
        <w:t xml:space="preserve"> </w:t>
      </w:r>
      <w:r>
        <w:t xml:space="preserve">Subset</w:t>
      </w:r>
      <w:r>
        <w:t xml:space="preserve"> </w:t>
      </w:r>
      <w:r>
        <w:t xml:space="preserve">“</w:t>
      </w:r>
      <w:r>
        <w:t xml:space="preserve">HD</w:t>
      </w:r>
      <w:r>
        <w:t xml:space="preserve">”</w:t>
      </w:r>
      <w:r>
        <w:t xml:space="preserve">, ordinate on</w:t>
      </w:r>
      <w:r>
        <w:t xml:space="preserve"> </w:t>
      </w:r>
      <w:r>
        <w:t xml:space="preserve">“</w:t>
      </w:r>
      <w:r>
        <w:t xml:space="preserve">HD</w:t>
      </w:r>
      <w:r>
        <w:t xml:space="preserve">”</w:t>
      </w:r>
      <w:r>
        <w:t xml:space="preserve">, and make a new PCoA plot.</w:t>
      </w:r>
    </w:p>
    <w:bookmarkEnd w:id="322"/>
    <w:bookmarkStart w:id="323" w:name="X42c4a4c2165e20d75f675444fe8cf678c8bf11b"/>
    <w:p>
      <w:pPr>
        <w:pStyle w:val="Heading4"/>
      </w:pPr>
      <w:r>
        <w:rPr>
          <w:rStyle w:val="SectionNumber"/>
        </w:rPr>
        <w:t xml:space="preserve">5.3.5.3</w:t>
      </w:r>
      <w:r>
        <w:tab/>
      </w:r>
      <w:r>
        <w:t xml:space="preserve">Question 3. What microbes (ASVs) differ between males and females, and does age have an impact?</w:t>
      </w:r>
    </w:p>
    <w:p>
      <w:pPr>
        <w:pStyle w:val="FirstParagraph"/>
      </w:pPr>
      <w:r>
        <w:t xml:space="preserve">Approach: Perform DESeq2 differential abundance analysis between females and males and determine how many differentially abundant microbes are there between the sexes. Then examine if age has a further impact on the differential abundance of the microbes between the sexes.</w:t>
      </w:r>
    </w:p>
    <w:p>
      <w:pPr>
        <w:numPr>
          <w:ilvl w:val="0"/>
          <w:numId w:val="1142"/>
        </w:numPr>
        <w:pStyle w:val="Compact"/>
      </w:pPr>
      <w:r>
        <w:t xml:space="preserve">Perform DESeq2 analysis between females and males and identify differences.</w:t>
      </w:r>
    </w:p>
    <w:p>
      <w:pPr>
        <w:numPr>
          <w:ilvl w:val="0"/>
          <w:numId w:val="1142"/>
        </w:numPr>
        <w:pStyle w:val="Compact"/>
      </w:pPr>
      <w:r>
        <w:t xml:space="preserve">Test if younger age contributes to differential microbe abundance between females and males by subsetting younger (&lt; 50 years old) individuals.</w:t>
      </w:r>
    </w:p>
    <w:p>
      <w:pPr>
        <w:numPr>
          <w:ilvl w:val="0"/>
          <w:numId w:val="1142"/>
        </w:numPr>
        <w:pStyle w:val="Compact"/>
      </w:pPr>
      <w:r>
        <w:t xml:space="preserve">Test if older age contributes to differential microbe abundance between females and males by subsetting older (&gt; 50 years old) individuals.</w:t>
      </w:r>
    </w:p>
    <w:bookmarkEnd w:id="323"/>
    <w:bookmarkStart w:id="324" w:name="X589fd5694809ec29780eb6eef5817c774102113"/>
    <w:p>
      <w:pPr>
        <w:pStyle w:val="Heading4"/>
      </w:pPr>
      <w:r>
        <w:rPr>
          <w:rStyle w:val="SectionNumber"/>
        </w:rPr>
        <w:t xml:space="preserve">5.3.5.4</w:t>
      </w:r>
      <w:r>
        <w:tab/>
      </w:r>
      <w:r>
        <w:t xml:space="preserve">Question 4. Is there diet and age interaction and what microbes (ASVs) correlate with changes in diet-age interaction?</w:t>
      </w:r>
    </w:p>
    <w:p>
      <w:pPr>
        <w:pStyle w:val="FirstParagraph"/>
      </w:pPr>
      <w:r>
        <w:t xml:space="preserve">Variables and conditions can interact with each other in complex ways. Here we will try to tease apart the relationship between the gut microbiome, diet, and age. What does an interaction look like? In this example, we’re looking at whether or not a change in diet affects people of different ages in different ways. We might imagine for example that a young person’s gut is more resilient to change than an older person’s or vice versa. Changes at one age group may be different in the other.</w:t>
      </w:r>
    </w:p>
    <w:p>
      <w:pPr>
        <w:pStyle w:val="BodyText"/>
      </w:pPr>
      <w:r>
        <w:t xml:space="preserve">Approach: Use alpha diversity measure and DESeq2 tools to answer this question. Using alpha diversity, determine if there is an interaction between diet and age. Then use DESeq2 to see if any ASVs are associated with changes in die-age interaction. Using Simpson alpha diversity measure (or specifically, Gini-Simpson) evaluate how microbial diversity changes with age and diet in general, or age and BD, HD and WO diet specifically. Then, use DESeq2 to evaluate if younger or older age changes ASVs associated with diet.</w:t>
      </w:r>
    </w:p>
    <w:p>
      <w:pPr>
        <w:numPr>
          <w:ilvl w:val="0"/>
          <w:numId w:val="1143"/>
        </w:numPr>
        <w:pStyle w:val="Compact"/>
      </w:pPr>
      <w:r>
        <w:t xml:space="preserve">Plot alpha diversity based age for the population in general, and then for individuals subsetted for BD, HD and WO diets. Look for shifts in alpha diversity with change in diet.</w:t>
      </w:r>
    </w:p>
    <w:p>
      <w:pPr>
        <w:numPr>
          <w:ilvl w:val="0"/>
          <w:numId w:val="1143"/>
        </w:numPr>
        <w:pStyle w:val="Compact"/>
      </w:pPr>
      <w:r>
        <w:t xml:space="preserve">Perform DESeq2 analysis based on the diet for the population in general, establishing baseline differential abundance between dietary groups HD and BD.</w:t>
      </w:r>
    </w:p>
    <w:p>
      <w:pPr>
        <w:numPr>
          <w:ilvl w:val="0"/>
          <w:numId w:val="1143"/>
        </w:numPr>
        <w:pStyle w:val="Compact"/>
      </w:pPr>
      <w:r>
        <w:t xml:space="preserve">Perform DESeq2 analysis based on the diet for the younger (&lt;= 50 yo) and older (&gt;=50 yo) individuals, evaluating age-associated changes in differential abundance between dietary groups HD and BD.</w:t>
      </w:r>
    </w:p>
    <w:bookmarkEnd w:id="324"/>
    <w:bookmarkEnd w:id="325"/>
    <w:bookmarkStart w:id="326" w:name="grading-criteria-8"/>
    <w:p>
      <w:pPr>
        <w:pStyle w:val="Heading3"/>
      </w:pPr>
      <w:r>
        <w:rPr>
          <w:rStyle w:val="SectionNumber"/>
        </w:rPr>
        <w:t xml:space="preserve">5.3.6</w:t>
      </w:r>
      <w:r>
        <w:tab/>
      </w:r>
      <w:r>
        <w:t xml:space="preserve">Grading criteria</w:t>
      </w:r>
    </w:p>
    <w:p>
      <w:pPr>
        <w:numPr>
          <w:ilvl w:val="0"/>
          <w:numId w:val="1144"/>
        </w:numPr>
        <w:pStyle w:val="Compact"/>
      </w:pPr>
      <w:r>
        <w:t xml:space="preserve">Download the assignment to your local computer as a .docx, complete it, and upload the assignment to your LMS (Blackboard, Canvas, Google Classroom).</w:t>
      </w:r>
    </w:p>
    <w:bookmarkEnd w:id="326"/>
    <w:bookmarkStart w:id="330" w:name="footnotes-12"/>
    <w:p>
      <w:pPr>
        <w:pStyle w:val="Heading3"/>
      </w:pPr>
      <w:r>
        <w:rPr>
          <w:rStyle w:val="SectionNumber"/>
        </w:rPr>
        <w:t xml:space="preserve">5.3.7</w:t>
      </w:r>
      <w:r>
        <w:tab/>
      </w:r>
      <w:r>
        <w:t xml:space="preserve">Footnotes</w:t>
      </w:r>
    </w:p>
    <w:bookmarkStart w:id="328" w:name="resources-16"/>
    <w:p>
      <w:pPr>
        <w:pStyle w:val="Heading4"/>
      </w:pPr>
      <w:r>
        <w:rPr>
          <w:rStyle w:val="SectionNumber"/>
        </w:rPr>
        <w:t xml:space="preserve">5.3.7.1</w:t>
      </w:r>
      <w:r>
        <w:tab/>
      </w:r>
      <w:r>
        <w:t xml:space="preserve">Resources</w:t>
      </w:r>
    </w:p>
    <w:p>
      <w:pPr>
        <w:numPr>
          <w:ilvl w:val="0"/>
          <w:numId w:val="1145"/>
        </w:numPr>
        <w:pStyle w:val="Compact"/>
      </w:pPr>
      <w:hyperlink r:id="rId327">
        <w:r>
          <w:rPr>
            <w:rStyle w:val="Hyperlink"/>
          </w:rPr>
          <w:t xml:space="preserve">Google Doc</w:t>
        </w:r>
      </w:hyperlink>
    </w:p>
    <w:p>
      <w:pPr>
        <w:numPr>
          <w:ilvl w:val="0"/>
          <w:numId w:val="1145"/>
        </w:numPr>
        <w:pStyle w:val="Compact"/>
      </w:pPr>
      <w:hyperlink r:id="rId271">
        <w:r>
          <w:rPr>
            <w:rStyle w:val="Hyperlink"/>
          </w:rPr>
          <w:t xml:space="preserve">16S rRNA R Quick Reference</w:t>
        </w:r>
      </w:hyperlink>
    </w:p>
    <w:bookmarkEnd w:id="328"/>
    <w:bookmarkStart w:id="329" w:name="contributions-and-affiliations-12"/>
    <w:p>
      <w:pPr>
        <w:pStyle w:val="Heading4"/>
      </w:pPr>
      <w:r>
        <w:rPr>
          <w:rStyle w:val="SectionNumber"/>
        </w:rPr>
        <w:t xml:space="preserve">5.3.7.2</w:t>
      </w:r>
      <w:r>
        <w:tab/>
      </w:r>
      <w:r>
        <w:t xml:space="preserve">Contributions and affiliations</w:t>
      </w:r>
    </w:p>
    <w:p>
      <w:pPr>
        <w:numPr>
          <w:ilvl w:val="0"/>
          <w:numId w:val="1146"/>
        </w:numPr>
        <w:pStyle w:val="Compact"/>
      </w:pPr>
      <w:r>
        <w:t xml:space="preserve">Valeriya Gaysinskaya, Johns Hopkins University</w:t>
      </w:r>
    </w:p>
    <w:p>
      <w:pPr>
        <w:numPr>
          <w:ilvl w:val="0"/>
          <w:numId w:val="1146"/>
        </w:numPr>
        <w:pStyle w:val="Compact"/>
      </w:pPr>
      <w:r>
        <w:t xml:space="preserve">Gauri Paul, Clovis Community College</w:t>
      </w:r>
    </w:p>
    <w:p>
      <w:pPr>
        <w:numPr>
          <w:ilvl w:val="0"/>
          <w:numId w:val="1146"/>
        </w:numPr>
        <w:pStyle w:val="Compact"/>
      </w:pPr>
      <w:r>
        <w:t xml:space="preserve">Frederick Tan, Johns Hopkins University</w:t>
      </w:r>
    </w:p>
    <w:p>
      <w:pPr>
        <w:numPr>
          <w:ilvl w:val="0"/>
          <w:numId w:val="1146"/>
        </w:numPr>
        <w:pStyle w:val="Compact"/>
      </w:pPr>
      <w:r>
        <w:t xml:space="preserve">Sayumi York, Notre Dame of Maryland University</w:t>
      </w:r>
    </w:p>
    <w:bookmarkEnd w:id="329"/>
    <w:bookmarkEnd w:id="330"/>
    <w:bookmarkEnd w:id="331"/>
    <w:bookmarkStart w:id="340" w:name="X6e72b077ebe1d568b55a78e6f7c82187a139671"/>
    <w:p>
      <w:pPr>
        <w:pStyle w:val="Heading2"/>
      </w:pPr>
      <w:r>
        <w:rPr>
          <w:rStyle w:val="SectionNumber"/>
        </w:rPr>
        <w:t xml:space="preserve">5.4</w:t>
      </w:r>
      <w:r>
        <w:tab/>
      </w:r>
      <w:r>
        <w:t xml:space="preserve">Try it Question 1 - How sensitive is microbial diversity to variables like diet, age and gender</w:t>
      </w:r>
    </w:p>
    <w:p>
      <w:pPr>
        <w:pStyle w:val="FirstParagraph"/>
      </w:pPr>
      <w:r>
        <w:t xml:space="preserve">Alpha diversity is a measure that estimates how the distribution of microbes changes due to a variable (or metadata category). Alpha diversity measures changes in the richness (the number of different organisms or ASVs) and evenness (how evenly are these organisms distributed in terms of their abundance). Using the</w:t>
      </w:r>
      <w:r>
        <w:t xml:space="preserve"> </w:t>
      </w:r>
      <w:r>
        <w:t xml:space="preserve">“</w:t>
      </w:r>
      <w:r>
        <w:t xml:space="preserve">MISO</w:t>
      </w:r>
      <w:r>
        <w:t xml:space="preserve">”</w:t>
      </w:r>
      <w:r>
        <w:t xml:space="preserve"> </w:t>
      </w:r>
      <w:r>
        <w:t xml:space="preserve">study dataset we will use Simpson (or specifically, Gini-Simpson) alpha diversity to evaluate changes in microbial diversity in individuals due to different metadata variables.</w:t>
      </w:r>
    </w:p>
    <w:p>
      <w:pPr>
        <w:pStyle w:val="BodyText"/>
      </w:pPr>
      <w:r>
        <w:t xml:space="preserve">Approach: Plot Simpson alpha diversity using plot_richness() command in phyloseq and assess the impact of different study variables on changes in microbial diversity. Identify the variables that impact alpha diversity. Visible shifts in alpha diversity measure suggests a shift in microbial diversity, and higher alpha diversity value indicates an increase in alpha diversity.</w:t>
      </w:r>
    </w:p>
    <w:p>
      <w:pPr>
        <w:pStyle w:val="BodyText"/>
      </w:pPr>
      <w:r>
        <w:rPr>
          <w:bCs/>
          <w:b/>
        </w:rPr>
        <w:t xml:space="preserve">Note, when plotting this data you may get a warning below. That is ok!</w:t>
      </w:r>
    </w:p>
    <w:p>
      <w:pPr>
        <w:pStyle w:val="SourceCode"/>
      </w:pPr>
      <w:r>
        <w:rPr>
          <w:rStyle w:val="NormalTok"/>
        </w:rPr>
        <w:t xml:space="preserve">Warning</w:t>
      </w:r>
      <w:r>
        <w:rPr>
          <w:rStyle w:val="SpecialCharTok"/>
        </w:rPr>
        <w:t xml:space="preserve">:</w:t>
      </w:r>
      <w:r>
        <w:rPr>
          <w:rStyle w:val="NormalTok"/>
        </w:rPr>
        <w:t xml:space="preserve"> The data you have provided does not have any singletons. This is highly suspicious. Results of richness </w:t>
      </w:r>
      <w:r>
        <w:rPr>
          <w:rStyle w:val="FunctionTok"/>
        </w:rPr>
        <w:t xml:space="preserve">estimates</w:t>
      </w:r>
      <w:r>
        <w:rPr>
          <w:rStyle w:val="NormalTok"/>
        </w:rPr>
        <w:t xml:space="preserve"> (</w:t>
      </w:r>
      <w:r>
        <w:rPr>
          <w:rStyle w:val="ControlFlowTok"/>
        </w:rPr>
        <w:t xml:space="preserve">for</w:t>
      </w:r>
      <w:r>
        <w:rPr>
          <w:rStyle w:val="NormalTok"/>
        </w:rPr>
        <w:t xml:space="preserve"> example) are probably unreliable, or wrong, </w:t>
      </w:r>
      <w:r>
        <w:rPr>
          <w:rStyle w:val="ControlFlowTok"/>
        </w:rPr>
        <w:t xml:space="preserve">if</w:t>
      </w:r>
      <w:r>
        <w:rPr>
          <w:rStyle w:val="NormalTok"/>
        </w:rPr>
        <w:t xml:space="preserve"> you have already trimmed low</w:t>
      </w:r>
      <w:r>
        <w:rPr>
          <w:rStyle w:val="SpecialCharTok"/>
        </w:rPr>
        <w:t xml:space="preserve">-</w:t>
      </w:r>
      <w:r>
        <w:rPr>
          <w:rStyle w:val="NormalTok"/>
        </w:rPr>
        <w:t xml:space="preserve">abundance taxa from the data.We recommended that you find the un</w:t>
      </w:r>
      <w:r>
        <w:rPr>
          <w:rStyle w:val="SpecialCharTok"/>
        </w:rPr>
        <w:t xml:space="preserve">-</w:t>
      </w:r>
      <w:r>
        <w:rPr>
          <w:rStyle w:val="NormalTok"/>
        </w:rPr>
        <w:t xml:space="preserve">trimmed data and retry.</w:t>
      </w:r>
    </w:p>
    <w:p>
      <w:pPr>
        <w:numPr>
          <w:ilvl w:val="0"/>
          <w:numId w:val="1147"/>
        </w:numPr>
        <w:pStyle w:val="Compact"/>
      </w:pPr>
      <w:r>
        <w:t xml:space="preserve">Refer to the</w:t>
      </w:r>
      <w:r>
        <w:t xml:space="preserve"> </w:t>
      </w:r>
      <w:r>
        <w:t xml:space="preserve">“</w:t>
      </w:r>
      <w:r>
        <w:t xml:space="preserve">alpha diversity</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plot_richness() function.</w:t>
      </w:r>
    </w:p>
    <w:bookmarkStart w:id="332" w:name="Xaf182b85ae6e5e29b42cf857378a05c8dc0f8da"/>
    <w:p>
      <w:pPr>
        <w:pStyle w:val="Heading3"/>
      </w:pPr>
      <w:r>
        <w:rPr>
          <w:rStyle w:val="SectionNumber"/>
        </w:rPr>
        <w:t xml:space="preserve">5.4.1</w:t>
      </w:r>
      <w:r>
        <w:tab/>
      </w:r>
      <w:r>
        <w:t xml:space="preserve">Step 1A. Plot alpha diversity of the full MISO dataset by subject (individuals).</w:t>
      </w:r>
    </w:p>
    <w:p>
      <w:pPr>
        <w:numPr>
          <w:ilvl w:val="0"/>
          <w:numId w:val="1148"/>
        </w:numPr>
        <w:pStyle w:val="Compact"/>
      </w:pPr>
      <w:r>
        <w:t xml:space="preserve">subject is on the x-axis</w:t>
      </w:r>
    </w:p>
    <w:p>
      <w:pPr>
        <w:numPr>
          <w:ilvl w:val="0"/>
          <w:numId w:val="1148"/>
        </w:numPr>
        <w:pStyle w:val="Compact"/>
      </w:pPr>
      <w:r>
        <w:t xml:space="preserve">Color is by subject</w:t>
      </w:r>
    </w:p>
    <w:p>
      <w:pPr>
        <w:numPr>
          <w:ilvl w:val="0"/>
          <w:numId w:val="1148"/>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"subject"</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Examine the alpha diversity plot you made. Are the points for an individual highly clustered or far apart?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Is the alpha diversity metric for one individual similar to another’s?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1A-4. When the points for an individual are highly clustered, this means their gut microbiome has the same level of biodiversity over the length of the experiment (although the exact community of microbes may not be the same). Conversely, when the points are farther apart, their gut microbiome’s biodiversity has changed through the experiment. What does it mean to see a varied pattern of clustering across individuals in the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1A-5. Do you think a healthy microbiome has a high or low alpha diversity? Why or why not?</w:t>
            </w:r>
          </w:p>
        </w:tc>
      </w:tr>
      <w:tr>
        <w:tc>
          <w:tcPr/>
          <w:p>
            <w:pPr>
              <w:pStyle w:val="Compact"/>
              <w:jc w:val="left"/>
            </w:pPr>
          </w:p>
        </w:tc>
      </w:tr>
    </w:tbl>
    <w:bookmarkEnd w:id="332"/>
    <w:bookmarkStart w:id="333" w:name="Xae2c10566198956216ec76befaaca2f89b9b6cc"/>
    <w:p>
      <w:pPr>
        <w:pStyle w:val="Heading3"/>
      </w:pPr>
      <w:r>
        <w:rPr>
          <w:rStyle w:val="SectionNumber"/>
        </w:rPr>
        <w:t xml:space="preserve">5.4.2</w:t>
      </w:r>
      <w:r>
        <w:tab/>
      </w:r>
      <w:r>
        <w:t xml:space="preserve">Step 1B. Plot alpha diversity of the full MISO dataset by diet</w:t>
      </w:r>
    </w:p>
    <w:p>
      <w:pPr>
        <w:numPr>
          <w:ilvl w:val="0"/>
          <w:numId w:val="1149"/>
        </w:numPr>
        <w:pStyle w:val="Compact"/>
      </w:pPr>
      <w:r>
        <w:t xml:space="preserve">diet is on the x-axis</w:t>
      </w:r>
    </w:p>
    <w:p>
      <w:pPr>
        <w:numPr>
          <w:ilvl w:val="0"/>
          <w:numId w:val="1149"/>
        </w:numPr>
        <w:pStyle w:val="Compact"/>
      </w:pPr>
      <w:r>
        <w:t xml:space="preserve">Color is by subject</w:t>
      </w:r>
    </w:p>
    <w:p>
      <w:pPr>
        <w:numPr>
          <w:ilvl w:val="0"/>
          <w:numId w:val="1149"/>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1B-2. Based on the plot above, does diet change the overall alpha diversity metric of the gut microbiome (ex. Are the points higher or lower overall in one diet versus the 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1B-3. Based on the plot above does diet change how varied the alpha diversity is between individuals? (ex. Are the points more spread out in one diet versus the 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1B-4. Do you think diet has an impact on gut microbial alpha diversity?</w:t>
            </w:r>
            <w:r>
              <w:rPr>
                <w:bCs/>
                <w:b/>
              </w:rPr>
              <w:t xml:space="preserve"> </w:t>
            </w:r>
          </w:p>
        </w:tc>
      </w:tr>
      <w:tr>
        <w:tc>
          <w:tcPr/>
          <w:p>
            <w:pPr>
              <w:pStyle w:val="Compact"/>
              <w:jc w:val="left"/>
            </w:pPr>
          </w:p>
        </w:tc>
      </w:tr>
    </w:tbl>
    <w:bookmarkEnd w:id="333"/>
    <w:bookmarkStart w:id="334" w:name="X03d73b1e28d9932bcdd5fa49a29cdf6e18ce075"/>
    <w:p>
      <w:pPr>
        <w:pStyle w:val="Heading3"/>
      </w:pPr>
      <w:r>
        <w:rPr>
          <w:rStyle w:val="SectionNumber"/>
        </w:rPr>
        <w:t xml:space="preserve">5.4.3</w:t>
      </w:r>
      <w:r>
        <w:tab/>
      </w:r>
      <w:r>
        <w:t xml:space="preserve">Step 1C. Plot alpha diversity of the full MISO dataset by age.</w:t>
      </w:r>
    </w:p>
    <w:p>
      <w:pPr>
        <w:numPr>
          <w:ilvl w:val="0"/>
          <w:numId w:val="1150"/>
        </w:numPr>
        <w:pStyle w:val="Compact"/>
      </w:pPr>
      <w:r>
        <w:t xml:space="preserve">age is on the x-axis</w:t>
      </w:r>
    </w:p>
    <w:p>
      <w:pPr>
        <w:numPr>
          <w:ilvl w:val="0"/>
          <w:numId w:val="1150"/>
        </w:numPr>
        <w:pStyle w:val="Compact"/>
      </w:pPr>
      <w:r>
        <w:t xml:space="preserve">Color is by subject</w:t>
      </w:r>
    </w:p>
    <w:p>
      <w:pPr>
        <w:numPr>
          <w:ilvl w:val="0"/>
          <w:numId w:val="1150"/>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1C-1.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1C-2. Do younger or older individuals have a higher alpha diversity of the gut microbiome overall (ex. Which group has an overall higher alpha diversity measure)?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1C-3. Do younger or older individuals have a more consistent alpha diversity of the gut microbiome (ex. Are points clustered more closely in younger or older subjects)?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1C-4. What do you think the impact of age on the alpha diversity of the gut microbiome is?</w:t>
            </w:r>
          </w:p>
        </w:tc>
      </w:tr>
      <w:tr>
        <w:tc>
          <w:tcPr/>
          <w:p>
            <w:pPr>
              <w:pStyle w:val="Compact"/>
              <w:jc w:val="left"/>
            </w:pPr>
          </w:p>
        </w:tc>
      </w:tr>
    </w:tbl>
    <w:bookmarkEnd w:id="334"/>
    <w:bookmarkStart w:id="335" w:name="X74afc393557a17bea599b20543f2769d957adaa"/>
    <w:p>
      <w:pPr>
        <w:pStyle w:val="Heading3"/>
      </w:pPr>
      <w:r>
        <w:rPr>
          <w:rStyle w:val="SectionNumber"/>
        </w:rPr>
        <w:t xml:space="preserve">5.4.4</w:t>
      </w:r>
      <w:r>
        <w:tab/>
      </w:r>
      <w:r>
        <w:t xml:space="preserve">Step 1D. Plot alpha diversity of the full MISO dataset by gender.</w:t>
      </w:r>
    </w:p>
    <w:p>
      <w:pPr>
        <w:numPr>
          <w:ilvl w:val="0"/>
          <w:numId w:val="1151"/>
        </w:numPr>
        <w:pStyle w:val="Compact"/>
      </w:pPr>
      <w:r>
        <w:t xml:space="preserve">gender is on the x-axis</w:t>
      </w:r>
    </w:p>
    <w:p>
      <w:pPr>
        <w:numPr>
          <w:ilvl w:val="0"/>
          <w:numId w:val="1151"/>
        </w:numPr>
        <w:pStyle w:val="Compact"/>
      </w:pPr>
      <w:r>
        <w:t xml:space="preserve">Color is by subject</w:t>
      </w:r>
    </w:p>
    <w:p>
      <w:pPr>
        <w:numPr>
          <w:ilvl w:val="0"/>
          <w:numId w:val="1151"/>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1D-1.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1D-2. Do males or females have a higher alpha diversity of the gut microbiome overall (ex. Which group has an overall higher alpha diversity measure)?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1D-3. Do males or females have a more consistent alpha diversity of the gut microbiome (ex. Are points clustered more closely in males or females)?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1D-4. What do you think the impact of gender on the alpha diversity of the gut microbiome is?</w:t>
            </w:r>
          </w:p>
        </w:tc>
      </w:tr>
      <w:tr>
        <w:tc>
          <w:tcPr/>
          <w:p>
            <w:pPr>
              <w:pStyle w:val="Compact"/>
              <w:jc w:val="left"/>
            </w:pPr>
          </w:p>
        </w:tc>
      </w:tr>
    </w:tbl>
    <w:bookmarkEnd w:id="335"/>
    <w:bookmarkStart w:id="336" w:name="Xa64c90cdd633dbf4f262448999ee162edae5e66"/>
    <w:p>
      <w:pPr>
        <w:pStyle w:val="Heading3"/>
      </w:pPr>
      <w:r>
        <w:rPr>
          <w:rStyle w:val="SectionNumber"/>
        </w:rPr>
        <w:t xml:space="preserve">5.4.5</w:t>
      </w:r>
      <w:r>
        <w:tab/>
      </w:r>
      <w:r>
        <w:t xml:space="preserve">Step 2. Plot alpha diversity of the full MISO dataset, grouping based on levels for 5 different metabolites: Creatinine, PCS, IS, HIPP, PAG.</w:t>
      </w:r>
    </w:p>
    <w:p>
      <w:pPr>
        <w:pStyle w:val="FirstParagraph"/>
      </w:pPr>
      <w:r>
        <w:t xml:space="preserve">Plot alpha diversity for the 5 metabolites independently then choose your favorite metabolite (e.g. one with most difference) and show plot below.</w:t>
      </w:r>
    </w:p>
    <w:p>
      <w:pPr>
        <w:numPr>
          <w:ilvl w:val="0"/>
          <w:numId w:val="1152"/>
        </w:numPr>
        <w:pStyle w:val="Compact"/>
      </w:pPr>
      <w:r>
        <w:t xml:space="preserve">metabolite on the x-axis (one at a time: Creatinine, PCS, IS, HIPP, PAG)</w:t>
      </w:r>
    </w:p>
    <w:p>
      <w:pPr>
        <w:numPr>
          <w:ilvl w:val="0"/>
          <w:numId w:val="1152"/>
        </w:numPr>
        <w:pStyle w:val="Compact"/>
      </w:pPr>
      <w:r>
        <w:t xml:space="preserve">Color is by subject</w:t>
      </w:r>
    </w:p>
    <w:p>
      <w:pPr>
        <w:numPr>
          <w:ilvl w:val="0"/>
          <w:numId w:val="1152"/>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 metabolite name"</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Paste your metabolite plot(s)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2A-2. Which metabolite did you choose to show and why?</w:t>
            </w:r>
            <w:r>
              <w:rPr>
                <w:bCs/>
                <w:b/>
              </w:rPr>
              <w:t xml:space="preserve"> </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Are there any trends in alpha diversity as this metabolite increases in level?</w:t>
            </w:r>
          </w:p>
        </w:tc>
      </w:tr>
      <w:tr>
        <w:tc>
          <w:tcPr/>
          <w:p>
            <w:pPr>
              <w:pStyle w:val="Compact"/>
              <w:jc w:val="left"/>
            </w:pPr>
          </w:p>
        </w:tc>
      </w:tr>
    </w:tbl>
    <w:bookmarkEnd w:id="336"/>
    <w:bookmarkStart w:id="339" w:name="footnotes-13"/>
    <w:p>
      <w:pPr>
        <w:pStyle w:val="Heading3"/>
      </w:pPr>
      <w:r>
        <w:rPr>
          <w:rStyle w:val="SectionNumber"/>
        </w:rPr>
        <w:t xml:space="preserve">5.4.6</w:t>
      </w:r>
      <w:r>
        <w:tab/>
      </w:r>
      <w:r>
        <w:t xml:space="preserve">Footnotes</w:t>
      </w:r>
    </w:p>
    <w:bookmarkStart w:id="337" w:name="resources-17"/>
    <w:p>
      <w:pPr>
        <w:pStyle w:val="Heading4"/>
      </w:pPr>
      <w:r>
        <w:rPr>
          <w:rStyle w:val="SectionNumber"/>
        </w:rPr>
        <w:t xml:space="preserve">5.4.6.1</w:t>
      </w:r>
      <w:r>
        <w:tab/>
      </w:r>
      <w:r>
        <w:t xml:space="preserve">Resources</w:t>
      </w:r>
    </w:p>
    <w:p>
      <w:pPr>
        <w:numPr>
          <w:ilvl w:val="0"/>
          <w:numId w:val="1153"/>
        </w:numPr>
        <w:pStyle w:val="Compact"/>
      </w:pPr>
      <w:hyperlink r:id="rId327">
        <w:r>
          <w:rPr>
            <w:rStyle w:val="Hyperlink"/>
          </w:rPr>
          <w:t xml:space="preserve">Google Doc</w:t>
        </w:r>
      </w:hyperlink>
    </w:p>
    <w:p>
      <w:pPr>
        <w:numPr>
          <w:ilvl w:val="0"/>
          <w:numId w:val="1153"/>
        </w:numPr>
        <w:pStyle w:val="Compact"/>
      </w:pPr>
      <w:hyperlink r:id="rId271">
        <w:r>
          <w:rPr>
            <w:rStyle w:val="Hyperlink"/>
          </w:rPr>
          <w:t xml:space="preserve">16S rRNA R Quick Reference</w:t>
        </w:r>
      </w:hyperlink>
    </w:p>
    <w:bookmarkEnd w:id="337"/>
    <w:bookmarkStart w:id="338" w:name="contributions-and-affiliations-13"/>
    <w:p>
      <w:pPr>
        <w:pStyle w:val="Heading4"/>
      </w:pPr>
      <w:r>
        <w:rPr>
          <w:rStyle w:val="SectionNumber"/>
        </w:rPr>
        <w:t xml:space="preserve">5.4.6.2</w:t>
      </w:r>
      <w:r>
        <w:tab/>
      </w:r>
      <w:r>
        <w:t xml:space="preserve">Contributions and affiliations</w:t>
      </w:r>
    </w:p>
    <w:p>
      <w:pPr>
        <w:numPr>
          <w:ilvl w:val="0"/>
          <w:numId w:val="1154"/>
        </w:numPr>
        <w:pStyle w:val="Compact"/>
      </w:pPr>
      <w:r>
        <w:t xml:space="preserve">Valeriya Gaysinskaya, Johns Hopkins University</w:t>
      </w:r>
    </w:p>
    <w:p>
      <w:pPr>
        <w:numPr>
          <w:ilvl w:val="0"/>
          <w:numId w:val="1154"/>
        </w:numPr>
        <w:pStyle w:val="Compact"/>
      </w:pPr>
      <w:r>
        <w:t xml:space="preserve">Gauri Paul, Clovis Community College</w:t>
      </w:r>
    </w:p>
    <w:p>
      <w:pPr>
        <w:numPr>
          <w:ilvl w:val="0"/>
          <w:numId w:val="1154"/>
        </w:numPr>
        <w:pStyle w:val="Compact"/>
      </w:pPr>
      <w:r>
        <w:t xml:space="preserve">Frederick Tan, Johns Hopkins University</w:t>
      </w:r>
    </w:p>
    <w:p>
      <w:pPr>
        <w:numPr>
          <w:ilvl w:val="0"/>
          <w:numId w:val="1154"/>
        </w:numPr>
        <w:pStyle w:val="Compact"/>
      </w:pPr>
      <w:r>
        <w:t xml:space="preserve">Sayumi York, Notre Dame of Maryland University</w:t>
      </w:r>
    </w:p>
    <w:bookmarkEnd w:id="338"/>
    <w:bookmarkEnd w:id="339"/>
    <w:bookmarkEnd w:id="340"/>
    <w:bookmarkStart w:id="348" w:name="X0c0171d6de6614d5b4dee402dd920b23c012e84"/>
    <w:p>
      <w:pPr>
        <w:pStyle w:val="Heading2"/>
      </w:pPr>
      <w:r>
        <w:rPr>
          <w:rStyle w:val="SectionNumber"/>
        </w:rPr>
        <w:t xml:space="preserve">5.5</w:t>
      </w:r>
      <w:r>
        <w:tab/>
      </w:r>
      <w:r>
        <w:t xml:space="preserve">Try it Question 2 - Do diet, age, gender and levels of metabolites correlate with microbe variation between individuals</w:t>
      </w:r>
    </w:p>
    <w:p>
      <w:pPr>
        <w:pStyle w:val="FirstParagraph"/>
      </w:pPr>
      <w:r>
        <w:t xml:space="preserve">A PCoA plot is a principal coordinate analysis used to represent similarity between samples (sample microbiomes in our case). Using the</w:t>
      </w:r>
      <w:r>
        <w:t xml:space="preserve"> </w:t>
      </w:r>
      <w:r>
        <w:t xml:space="preserve">“</w:t>
      </w:r>
      <w:r>
        <w:t xml:space="preserve">MISO</w:t>
      </w:r>
      <w:r>
        <w:t xml:space="preserve">”</w:t>
      </w:r>
      <w:r>
        <w:t xml:space="preserve"> </w:t>
      </w:r>
      <w:r>
        <w:t xml:space="preserve">study dataset, we will use the PCoA plot to summarize individuals based on ASVs and plot the resulting relationships between individuals. Based on how well color-coding the different variables matches the sample distribution on the PcOA plot, we will aim to help explain potential sources of sample similarity.</w:t>
      </w:r>
    </w:p>
    <w:p>
      <w:pPr>
        <w:pStyle w:val="BodyText"/>
      </w:pPr>
      <w:r>
        <w:t xml:space="preserve">Approach: Perform multidimensional scaling (also known as principal component analysis) to establish a relationship between the samples given multivariate data (metadata variables). Using a PcOA plot (via commands ordinate() and plot_ordination() in phyloseq), you will condense the original high-dimensional data into a low-dimensional one by converting data to distance map (matrix) with 2 dimensions, x and y, that best explain variability in your data. From your PCoA plot you will assess the contribution of different study variables to sample diversity and identify variables that help explain sample diversity. In a PcOA plot, samples with similar microbial profiles will be plotted close and may appear as</w:t>
      </w:r>
      <w:r>
        <w:t xml:space="preserve"> </w:t>
      </w:r>
      <w:r>
        <w:t xml:space="preserve">“</w:t>
      </w:r>
      <w:r>
        <w:t xml:space="preserve">clusters</w:t>
      </w:r>
      <w:r>
        <w:t xml:space="preserve">”</w:t>
      </w:r>
      <w:r>
        <w:t xml:space="preserve">.</w:t>
      </w:r>
    </w:p>
    <w:bookmarkStart w:id="341" w:name="Xdbe292352db7afac5a51548fc4f770f554d872d"/>
    <w:p>
      <w:pPr>
        <w:pStyle w:val="Heading3"/>
      </w:pPr>
      <w:r>
        <w:rPr>
          <w:rStyle w:val="SectionNumber"/>
        </w:rPr>
        <w:t xml:space="preserve">5.5.1</w:t>
      </w:r>
      <w:r>
        <w:tab/>
      </w:r>
      <w:r>
        <w:t xml:space="preserve">Step 1. Make a PcOA plot, ordinating on the entire miso dataset, and coloring by individual. Investigate resulting plot shape.</w:t>
      </w:r>
    </w:p>
    <w:p>
      <w:pPr>
        <w:numPr>
          <w:ilvl w:val="0"/>
          <w:numId w:val="1155"/>
        </w:numPr>
      </w:pPr>
      <w:r>
        <w:t xml:space="preserve">Ordination is a term used to summarize a multidimensional dataset when projected onto a low-dimensional space (like X &amp; Y axes) and then observing any pattern the data may possess with a visual inspection.</w:t>
      </w:r>
    </w:p>
    <w:p>
      <w:pPr>
        <w:numPr>
          <w:ilvl w:val="0"/>
          <w:numId w:val="1155"/>
        </w:numPr>
      </w:pPr>
      <w:r>
        <w:t xml:space="preserve">Subsequent coloring of the pattern with metadata variables can reveal underlying relationships between data and experiment variables.</w:t>
      </w:r>
    </w:p>
    <w:p>
      <w:pPr>
        <w:numPr>
          <w:ilvl w:val="0"/>
          <w:numId w:val="1155"/>
        </w:numPr>
      </w:pPr>
      <w:r>
        <w:t xml:space="preserve">color - by subject</w:t>
      </w:r>
    </w:p>
    <w:p>
      <w:pPr>
        <w:numPr>
          <w:ilvl w:val="0"/>
          <w:numId w:val="1155"/>
        </w:numPr>
      </w:pPr>
      <w:r>
        <w:t xml:space="preserve">Include a title for your PCoA plot</w:t>
      </w:r>
    </w:p>
    <w:p>
      <w:pPr>
        <w:numPr>
          <w:ilvl w:val="0"/>
          <w:numId w:val="1155"/>
        </w:numPr>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CommentTok"/>
        </w:rPr>
        <w:t xml:space="preserve">#Plot PCoA</w:t>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the PCoA organize samples into groups? Is there any pattern?</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 you observe any sample clustering by individual? This is represented by points of the same color clustering together. If so, give an example of an individual who shows this pattern.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1A-4. Offer one question you want to ask about this PCoA plot?</w:t>
            </w:r>
          </w:p>
        </w:tc>
      </w:tr>
      <w:tr>
        <w:tc>
          <w:tcPr/>
          <w:p>
            <w:pPr>
              <w:pStyle w:val="Compact"/>
              <w:jc w:val="left"/>
            </w:pPr>
          </w:p>
        </w:tc>
      </w:tr>
    </w:tbl>
    <w:bookmarkEnd w:id="341"/>
    <w:bookmarkStart w:id="342" w:name="Xbdf29036cc93ad68605530d54a1b03bb1f90193"/>
    <w:p>
      <w:pPr>
        <w:pStyle w:val="Heading3"/>
      </w:pPr>
      <w:r>
        <w:rPr>
          <w:rStyle w:val="SectionNumber"/>
        </w:rPr>
        <w:t xml:space="preserve">5.5.2</w:t>
      </w:r>
      <w:r>
        <w:tab/>
      </w:r>
      <w:r>
        <w:t xml:space="preserve">Step 2. Using the PCoA plot from Step 1 above, look for any correlations between the shape of your PCoA plot and diet, gender and age</w:t>
      </w:r>
    </w:p>
    <w:p>
      <w:pPr>
        <w:pStyle w:val="FirstParagraph"/>
      </w:pPr>
      <w:r>
        <w:rPr>
          <w:bCs/>
          <w:b/>
        </w:rPr>
        <w:t xml:space="preserve">Step 2A. Using the PCoA plot from Step 1, look for any correlations between the shape of your PCoA plot and diet?</w:t>
      </w:r>
    </w:p>
    <w:p>
      <w:pPr>
        <w:pStyle w:val="BodyText"/>
      </w:pPr>
      <w:r>
        <w:t xml:space="preserve">How well is your data explained by the variation in the diet - look for signs of correlation between PCoA shape and variable</w:t>
      </w:r>
      <w:r>
        <w:t xml:space="preserve"> </w:t>
      </w:r>
      <w:r>
        <w:t xml:space="preserve">“</w:t>
      </w:r>
      <w:r>
        <w:t xml:space="preserve">diet</w:t>
      </w:r>
      <w:r>
        <w:t xml:space="preserve">”</w:t>
      </w:r>
      <w:r>
        <w:t xml:space="preserve"> </w:t>
      </w:r>
      <w:r>
        <w:t xml:space="preserve">representing BD, HD and WO diets. Note that since we are using the same plot, we do not need to re-ordinate (no ordinate() function).</w:t>
      </w:r>
    </w:p>
    <w:p>
      <w:pPr>
        <w:numPr>
          <w:ilvl w:val="0"/>
          <w:numId w:val="1156"/>
        </w:numPr>
        <w:pStyle w:val="Compact"/>
      </w:pPr>
      <w:r>
        <w:t xml:space="preserve">Color - by diet</w:t>
      </w:r>
    </w:p>
    <w:p>
      <w:pPr>
        <w:numPr>
          <w:ilvl w:val="0"/>
          <w:numId w:val="1156"/>
        </w:numPr>
        <w:pStyle w:val="Compact"/>
      </w:pPr>
      <w:r>
        <w:t xml:space="preserve">Include a title for your PcOA plot</w:t>
      </w:r>
    </w:p>
    <w:p>
      <w:pPr>
        <w:numPr>
          <w:ilvl w:val="0"/>
          <w:numId w:val="1156"/>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2A-2 Do samples of the same diet treatment (color) cluster together?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Based on what you wrote above, are samples from the same diet treatment similar to each other?</w:t>
            </w:r>
          </w:p>
        </w:tc>
      </w:tr>
      <w:tr>
        <w:tc>
          <w:tcPr/>
          <w:p>
            <w:pPr>
              <w:pStyle w:val="Compact"/>
              <w:jc w:val="left"/>
            </w:pPr>
          </w:p>
        </w:tc>
      </w:tr>
    </w:tbl>
    <w:p>
      <w:pPr>
        <w:pStyle w:val="BodyText"/>
      </w:pPr>
      <w:r>
        <w:rPr>
          <w:bCs/>
          <w:b/>
        </w:rPr>
        <w:t xml:space="preserve">Step 2B. Using the PCoA plot from Step 1, look for any correlations between the shape of your PCoA plot and gender?</w:t>
      </w:r>
      <w:r>
        <w:rPr>
          <w:bCs/>
          <w:b/>
        </w:rPr>
        <w:t xml:space="preserve"> </w:t>
      </w:r>
    </w:p>
    <w:p>
      <w:pPr>
        <w:pStyle w:val="BodyText"/>
      </w:pPr>
      <w:r>
        <w:t xml:space="preserve">How well is your data explained by the variation in the gender - look for signs of correlation between PcOA shape and variable</w:t>
      </w:r>
      <w:r>
        <w:t xml:space="preserve"> </w:t>
      </w:r>
      <w:r>
        <w:t xml:space="preserve">“</w:t>
      </w:r>
      <w:r>
        <w:t xml:space="preserve">gender</w:t>
      </w:r>
      <w:r>
        <w:t xml:space="preserve">”</w:t>
      </w:r>
      <w:r>
        <w:t xml:space="preserve">.</w:t>
      </w:r>
    </w:p>
    <w:p>
      <w:pPr>
        <w:numPr>
          <w:ilvl w:val="0"/>
          <w:numId w:val="1157"/>
        </w:numPr>
        <w:pStyle w:val="Compact"/>
      </w:pPr>
      <w:r>
        <w:t xml:space="preserve">Color - by gender</w:t>
      </w:r>
    </w:p>
    <w:p>
      <w:pPr>
        <w:numPr>
          <w:ilvl w:val="0"/>
          <w:numId w:val="1157"/>
        </w:numPr>
        <w:pStyle w:val="Compact"/>
      </w:pPr>
      <w:r>
        <w:t xml:space="preserve">Include a title for your PcOA plot</w:t>
      </w:r>
    </w:p>
    <w:p>
      <w:pPr>
        <w:numPr>
          <w:ilvl w:val="0"/>
          <w:numId w:val="1157"/>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2B-1. Paste your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2B-2 Are samples from the same gender similar to each other?</w:t>
            </w:r>
          </w:p>
        </w:tc>
      </w:tr>
      <w:tr>
        <w:tc>
          <w:tcPr/>
          <w:p>
            <w:pPr>
              <w:pStyle w:val="Compact"/>
              <w:jc w:val="left"/>
            </w:pPr>
          </w:p>
        </w:tc>
      </w:tr>
    </w:tbl>
    <w:p>
      <w:pPr>
        <w:pStyle w:val="BodyText"/>
      </w:pPr>
      <w:r>
        <w:rPr>
          <w:bCs/>
          <w:b/>
        </w:rPr>
        <w:t xml:space="preserve">Step 2C. Using the PCoA plot from Step 1, look for any correlations between the shape of your PCoA plot and age? How well is your data explained by the variation in the age - look for signs of correlation between PcOA shape and variable</w:t>
      </w:r>
      <w:r>
        <w:rPr>
          <w:bCs/>
          <w:b/>
        </w:rPr>
        <w:t xml:space="preserve"> </w:t>
      </w:r>
      <w:r>
        <w:rPr>
          <w:bCs/>
          <w:b/>
        </w:rPr>
        <w:t xml:space="preserve">“</w:t>
      </w:r>
      <w:r>
        <w:rPr>
          <w:bCs/>
          <w:b/>
        </w:rPr>
        <w:t xml:space="preserve">age</w:t>
      </w:r>
      <w:r>
        <w:rPr>
          <w:bCs/>
          <w:b/>
        </w:rPr>
        <w:t xml:space="preserve">”</w:t>
      </w:r>
      <w:r>
        <w:rPr>
          <w:bCs/>
          <w:b/>
        </w:rPr>
        <w:t xml:space="preserve">.</w:t>
      </w:r>
      <w:r>
        <w:rPr>
          <w:bCs/>
          <w:b/>
        </w:rPr>
        <w:t xml:space="preserve"> </w:t>
      </w:r>
    </w:p>
    <w:p>
      <w:pPr>
        <w:numPr>
          <w:ilvl w:val="0"/>
          <w:numId w:val="1158"/>
        </w:numPr>
        <w:pStyle w:val="Compact"/>
      </w:pPr>
      <w:r>
        <w:t xml:space="preserve">Color - age</w:t>
      </w:r>
    </w:p>
    <w:p>
      <w:pPr>
        <w:numPr>
          <w:ilvl w:val="0"/>
          <w:numId w:val="1158"/>
        </w:numPr>
        <w:pStyle w:val="Compact"/>
      </w:pPr>
      <w:r>
        <w:t xml:space="preserve">Include title name for your PcOA plot</w:t>
      </w:r>
    </w:p>
    <w:p>
      <w:pPr>
        <w:numPr>
          <w:ilvl w:val="0"/>
          <w:numId w:val="1158"/>
        </w:numPr>
        <w:pStyle w:val="Compact"/>
      </w:pPr>
      <w:r>
        <w:t xml:space="preserve">Use the following code as a template. To enhance the color range of the age variable, additionally included below (in blue) is the command to specify the color gradient with yellow–to-blue gradient.</w:t>
      </w:r>
    </w:p>
    <w:p>
      <w:pPr>
        <w:numPr>
          <w:ilvl w:val="0"/>
          <w:numId w:val="1158"/>
        </w:numPr>
        <w:pStyle w:val="Compact"/>
      </w:pPr>
      <w:r>
        <w:t xml:space="preserve">Try running the code with and without the scale_colour_gradient() command to appreciate the difference.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"blue"</w:t>
      </w:r>
      <w:r>
        <w:rPr>
          <w:rStyle w:val="NormalTok"/>
        </w:rPr>
        <w:t xml:space="preserve">, </w:t>
      </w:r>
      <w:r>
        <w:rPr>
          <w:rStyle w:val="AttributeTok"/>
        </w:rPr>
        <w:t xml:space="preserve">high =</w:t>
      </w:r>
      <w:r>
        <w:rPr>
          <w:rStyle w:val="NormalTok"/>
        </w:rPr>
        <w:t xml:space="preserve"> </w:t>
      </w:r>
      <w:r>
        <w:rPr>
          <w:rStyle w:val="StringTok"/>
        </w:rPr>
        <w:t xml:space="preserve">"yellow"</w:t>
      </w:r>
      <w:r>
        <w:rPr>
          <w:rStyle w:val="NormalTok"/>
        </w:rPr>
        <w:t xml:space="preserv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2C-1. Paste your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2C-2 Are samples of a similar age similar to each other?</w:t>
            </w:r>
          </w:p>
        </w:tc>
      </w:tr>
      <w:tr>
        <w:tc>
          <w:tcPr/>
          <w:p>
            <w:pPr>
              <w:pStyle w:val="Compact"/>
              <w:jc w:val="left"/>
            </w:pPr>
          </w:p>
        </w:tc>
      </w:tr>
    </w:tbl>
    <w:p>
      <w:pPr>
        <w:pStyle w:val="BodyText"/>
      </w:pPr>
    </w:p>
    <w:bookmarkEnd w:id="342"/>
    <w:bookmarkStart w:id="343" w:name="Xb26c900387b81686f79fad443810f58b1a7fc4e"/>
    <w:p>
      <w:pPr>
        <w:pStyle w:val="Heading3"/>
      </w:pPr>
      <w:r>
        <w:rPr>
          <w:rStyle w:val="SectionNumber"/>
        </w:rPr>
        <w:t xml:space="preserve">5.5.3</w:t>
      </w:r>
      <w:r>
        <w:tab/>
      </w:r>
      <w:r>
        <w:t xml:space="preserve">Step 3. Using the PCoA plot from Step 1, look for any correlations between the shape of your PCoA plot and the level of metabolites.</w:t>
      </w:r>
    </w:p>
    <w:p>
      <w:pPr>
        <w:pStyle w:val="FirstParagraph"/>
      </w:pPr>
      <w:r>
        <w:t xml:space="preserve">How well is your data correlated with the variation in the 5 metabolites: Creatinine, PCS, IS, HIPP, or PAG? Test each metabolite by coloring each metabolite at a time, then, choose your favorite metabolite (e.g. one with most difference) and show the plot below.</w:t>
      </w:r>
    </w:p>
    <w:p>
      <w:pPr>
        <w:numPr>
          <w:ilvl w:val="0"/>
          <w:numId w:val="1159"/>
        </w:numPr>
        <w:pStyle w:val="Compact"/>
      </w:pPr>
      <w:r>
        <w:t xml:space="preserve">Color - metabolite one at a time: Creatinine, PCS, IS, HIPP, PAG</w:t>
      </w:r>
    </w:p>
    <w:p>
      <w:pPr>
        <w:numPr>
          <w:ilvl w:val="0"/>
          <w:numId w:val="1159"/>
        </w:numPr>
        <w:pStyle w:val="Compact"/>
      </w:pPr>
      <w:r>
        <w:t xml:space="preserve">Include a title for your PcOA plot</w:t>
      </w:r>
    </w:p>
    <w:p>
      <w:pPr>
        <w:numPr>
          <w:ilvl w:val="0"/>
          <w:numId w:val="1159"/>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"blue"</w:t>
      </w:r>
      <w:r>
        <w:rPr>
          <w:rStyle w:val="NormalTok"/>
        </w:rPr>
        <w:t xml:space="preserve">, </w:t>
      </w:r>
      <w:r>
        <w:rPr>
          <w:rStyle w:val="AttributeTok"/>
        </w:rPr>
        <w:t xml:space="preserve">high =</w:t>
      </w:r>
      <w:r>
        <w:rPr>
          <w:rStyle w:val="NormalTok"/>
        </w:rPr>
        <w:t xml:space="preserve"> </w:t>
      </w:r>
      <w:r>
        <w:rPr>
          <w:rStyle w:val="StringTok"/>
        </w:rPr>
        <w:t xml:space="preserve">"yellow"</w:t>
      </w:r>
      <w:r>
        <w:rPr>
          <w:rStyle w:val="NormalTok"/>
        </w:rPr>
        <w:t xml:space="preserv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Paste your metabolite plot(s)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3A-2. Which metabolite did you choose to show and why?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3A-3. Are samples of the same metabolite level similar to each other?</w:t>
            </w:r>
          </w:p>
        </w:tc>
      </w:tr>
      <w:tr>
        <w:tc>
          <w:tcPr/>
          <w:p>
            <w:pPr>
              <w:pStyle w:val="Compact"/>
              <w:jc w:val="left"/>
            </w:pPr>
          </w:p>
        </w:tc>
      </w:tr>
    </w:tbl>
    <w:p>
      <w:pPr>
        <w:pStyle w:val="BodyText"/>
      </w:pPr>
    </w:p>
    <w:bookmarkEnd w:id="343"/>
    <w:bookmarkStart w:id="344" w:name="Xa81b0a621064153c4331032af5404a6eb7d19b8"/>
    <w:p>
      <w:pPr>
        <w:pStyle w:val="Heading3"/>
      </w:pPr>
      <w:r>
        <w:rPr>
          <w:rStyle w:val="SectionNumber"/>
        </w:rPr>
        <w:t xml:space="preserve">5.5.4</w:t>
      </w:r>
      <w:r>
        <w:tab/>
      </w:r>
      <w:r>
        <w:t xml:space="preserve">Step 4. One way of checking if the metabolite levels indeed correlate with your data, is to see if subsetting smaller chunks or specific chunks of the data will still maintain the metabolite-data relationship or break it.</w:t>
      </w:r>
    </w:p>
    <w:p>
      <w:pPr>
        <w:pStyle w:val="FirstParagraph"/>
      </w:pPr>
      <w:r>
        <w:t xml:space="preserve">Using the subset() command, subset out e.g. HD diet specifically, and then BD diet. Then, generate new PCoA plots and see if the correlation with your metabolite of interest still holds.</w:t>
      </w:r>
    </w:p>
    <w:p>
      <w:pPr>
        <w:pStyle w:val="BodyText"/>
      </w:pPr>
      <w:r>
        <w:rPr>
          <w:bCs/>
          <w:b/>
        </w:rPr>
        <w:t xml:space="preserve">Step 4A. Subset</w:t>
      </w:r>
      <w:r>
        <w:rPr>
          <w:bCs/>
          <w:b/>
        </w:rPr>
        <w:t xml:space="preserve"> </w:t>
      </w:r>
      <w:r>
        <w:rPr>
          <w:bCs/>
          <w:b/>
        </w:rPr>
        <w:t xml:space="preserve">“</w:t>
      </w:r>
      <w:r>
        <w:rPr>
          <w:bCs/>
          <w:b/>
        </w:rPr>
        <w:t xml:space="preserve">HD</w:t>
      </w:r>
      <w:r>
        <w:rPr>
          <w:bCs/>
          <w:b/>
        </w:rPr>
        <w:t xml:space="preserve">”</w:t>
      </w:r>
      <w:r>
        <w:rPr>
          <w:bCs/>
          <w:b/>
        </w:rPr>
        <w:t xml:space="preserve">, ordinate on</w:t>
      </w:r>
      <w:r>
        <w:rPr>
          <w:bCs/>
          <w:b/>
        </w:rPr>
        <w:t xml:space="preserve"> </w:t>
      </w:r>
      <w:r>
        <w:rPr>
          <w:bCs/>
          <w:b/>
        </w:rPr>
        <w:t xml:space="preserve">“</w:t>
      </w:r>
      <w:r>
        <w:rPr>
          <w:bCs/>
          <w:b/>
        </w:rPr>
        <w:t xml:space="preserve">HD</w:t>
      </w:r>
      <w:r>
        <w:rPr>
          <w:bCs/>
          <w:b/>
        </w:rPr>
        <w:t xml:space="preserve">”</w:t>
      </w:r>
      <w:r>
        <w:rPr>
          <w:bCs/>
          <w:b/>
        </w:rPr>
        <w:t xml:space="preserve">, and make a new PCoA plot.</w:t>
      </w:r>
    </w:p>
    <w:p>
      <w:pPr>
        <w:numPr>
          <w:ilvl w:val="0"/>
          <w:numId w:val="1160"/>
        </w:numPr>
        <w:pStyle w:val="Compact"/>
      </w:pPr>
      <w:r>
        <w:t xml:space="preserve">Subset data - by the diet</w:t>
      </w:r>
      <w:r>
        <w:t xml:space="preserve"> </w:t>
      </w:r>
      <w:r>
        <w:t xml:space="preserve">“</w:t>
      </w:r>
      <w:r>
        <w:t xml:space="preserve">HD</w:t>
      </w:r>
      <w:r>
        <w:t xml:space="preserve">”</w:t>
      </w:r>
    </w:p>
    <w:p>
      <w:pPr>
        <w:numPr>
          <w:ilvl w:val="0"/>
          <w:numId w:val="1160"/>
        </w:numPr>
        <w:pStyle w:val="Compact"/>
      </w:pPr>
      <w:r>
        <w:t xml:space="preserve">Ordinate - misoHD</w:t>
      </w:r>
    </w:p>
    <w:p>
      <w:pPr>
        <w:numPr>
          <w:ilvl w:val="0"/>
          <w:numId w:val="1160"/>
        </w:numPr>
        <w:pStyle w:val="Compact"/>
      </w:pPr>
      <w:r>
        <w:t xml:space="preserve">Color - by your selected metabolite from part 3</w:t>
      </w:r>
    </w:p>
    <w:p>
      <w:pPr>
        <w:numPr>
          <w:ilvl w:val="0"/>
          <w:numId w:val="1160"/>
        </w:numPr>
        <w:pStyle w:val="Compact"/>
      </w:pPr>
      <w:r>
        <w:t xml:space="preserve">Include a title for your PcOA plot</w:t>
      </w:r>
    </w:p>
    <w:p>
      <w:pPr>
        <w:numPr>
          <w:ilvl w:val="0"/>
          <w:numId w:val="1160"/>
        </w:numPr>
        <w:pStyle w:val="Compact"/>
      </w:pPr>
      <w:r>
        <w:t xml:space="preserve">Use the following code as a template:</w:t>
      </w:r>
    </w:p>
    <w:p>
      <w:pPr>
        <w:pStyle w:val="SourceCode"/>
      </w:pPr>
      <w:r>
        <w:rPr>
          <w:rStyle w:val="CommentTok"/>
        </w:rPr>
        <w:t xml:space="preserve">#Subset only “HD” timepoint from your miso data, creating a new phyloseq object called “misoHD”</w:t>
      </w:r>
      <w:r>
        <w:br/>
      </w:r>
      <w:r>
        <w:rPr>
          <w:rStyle w:val="NormalTok"/>
        </w:rPr>
        <w:t xml:space="preserve">misoHD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"fill in the blank"</w:t>
      </w:r>
      <w:r>
        <w:rPr>
          <w:rStyle w:val="NormalTok"/>
        </w:rPr>
        <w:t xml:space="preserve">) </w:t>
      </w:r>
      <w:r>
        <w:br/>
      </w:r>
      <w:r>
        <w:br/>
      </w:r>
      <w:r>
        <w:rPr>
          <w:rStyle w:val="CommentTok"/>
        </w:rPr>
        <w:t xml:space="preserve">#Ordinate using only “HD” subset, creating a new ordination matrix called “pcoa.misoHD”</w:t>
      </w:r>
      <w:r>
        <w:br/>
      </w:r>
      <w:r>
        <w:rPr>
          <w:rStyle w:val="NormalTok"/>
        </w:rPr>
        <w:t xml:space="preserve">pcoa.misoHD </w:t>
      </w:r>
      <w:r>
        <w:rPr>
          <w:rStyle w:val="OtherTok"/>
        </w:rPr>
        <w:t xml:space="preserve">&lt;-</w:t>
      </w:r>
      <w:r>
        <w:rPr>
          <w:rStyle w:val="NormalTok"/>
        </w:rPr>
        <w:t xml:space="preserve"> </w:t>
      </w:r>
      <w:r>
        <w:rPr>
          <w:rStyle w:val="FunctionTok"/>
        </w:rPr>
        <w:t xml:space="preserve">ordinate</w:t>
      </w:r>
      <w:r>
        <w:rPr>
          <w:rStyle w:val="NormalTok"/>
        </w:rPr>
        <w:t xml:space="preserve">(misoHD,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CommentTok"/>
        </w:rPr>
        <w:t xml:space="preserve">#Make a PCoA plot using your  “HD” subset.</w:t>
      </w:r>
      <w:r>
        <w:br/>
      </w:r>
      <w:r>
        <w:rPr>
          <w:rStyle w:val="FunctionTok"/>
        </w:rPr>
        <w:t xml:space="preserve">plot_ordination</w:t>
      </w:r>
      <w:r>
        <w:rPr>
          <w:rStyle w:val="NormalTok"/>
        </w:rPr>
        <w:t xml:space="preserve">(misoHD, pcoa.misoHD,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4A-1. Paste your plot below for HD subset: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4A-2 Are samples of the same metabolite level similar to each other considering only samples from the HD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4A-3 Has the relationship between the metabolite and samples changed within the HD diet compared to the entire dataset? (ex. Have any new patterns emerged or disappeared?)</w:t>
            </w:r>
          </w:p>
        </w:tc>
      </w:tr>
      <w:tr>
        <w:tc>
          <w:tcPr/>
          <w:p>
            <w:pPr>
              <w:pStyle w:val="Compact"/>
              <w:jc w:val="left"/>
            </w:pPr>
          </w:p>
        </w:tc>
      </w:tr>
    </w:tbl>
    <w:p>
      <w:pPr>
        <w:pStyle w:val="BodyText"/>
      </w:pPr>
      <w:r>
        <w:rPr>
          <w:bCs/>
          <w:b/>
        </w:rPr>
        <w:t xml:space="preserve">Step 4B. Repeat the analysis on only the BD diet samples. Subset</w:t>
      </w:r>
      <w:r>
        <w:rPr>
          <w:bCs/>
          <w:b/>
        </w:rPr>
        <w:t xml:space="preserve"> </w:t>
      </w:r>
      <w:r>
        <w:rPr>
          <w:bCs/>
          <w:b/>
        </w:rPr>
        <w:t xml:space="preserve">“</w:t>
      </w:r>
      <w:r>
        <w:rPr>
          <w:bCs/>
          <w:b/>
        </w:rPr>
        <w:t xml:space="preserve">BD</w:t>
      </w:r>
      <w:r>
        <w:rPr>
          <w:bCs/>
          <w:b/>
        </w:rPr>
        <w:t xml:space="preserve">”</w:t>
      </w:r>
      <w:r>
        <w:rPr>
          <w:bCs/>
          <w:b/>
        </w:rPr>
        <w:t xml:space="preserve">, ordinate on</w:t>
      </w:r>
      <w:r>
        <w:rPr>
          <w:bCs/>
          <w:b/>
        </w:rPr>
        <w:t xml:space="preserve"> </w:t>
      </w:r>
      <w:r>
        <w:rPr>
          <w:bCs/>
          <w:b/>
        </w:rPr>
        <w:t xml:space="preserve">“</w:t>
      </w:r>
      <w:r>
        <w:rPr>
          <w:bCs/>
          <w:b/>
        </w:rPr>
        <w:t xml:space="preserve">BD</w:t>
      </w:r>
      <w:r>
        <w:rPr>
          <w:bCs/>
          <w:b/>
        </w:rPr>
        <w:t xml:space="preserve">”</w:t>
      </w:r>
      <w:r>
        <w:rPr>
          <w:bCs/>
          <w:b/>
        </w:rPr>
        <w:t xml:space="preserve">, and make a new PCoA plot.</w:t>
      </w:r>
    </w:p>
    <w:p>
      <w:pPr>
        <w:numPr>
          <w:ilvl w:val="0"/>
          <w:numId w:val="1161"/>
        </w:numPr>
        <w:pStyle w:val="Compact"/>
      </w:pPr>
      <w:r>
        <w:t xml:space="preserve">Subset data - by the diet</w:t>
      </w:r>
      <w:r>
        <w:t xml:space="preserve"> </w:t>
      </w:r>
      <w:r>
        <w:t xml:space="preserve">“</w:t>
      </w:r>
      <w:r>
        <w:t xml:space="preserve">BD</w:t>
      </w:r>
      <w:r>
        <w:t xml:space="preserve">”</w:t>
      </w:r>
    </w:p>
    <w:p>
      <w:pPr>
        <w:numPr>
          <w:ilvl w:val="0"/>
          <w:numId w:val="1161"/>
        </w:numPr>
        <w:pStyle w:val="Compact"/>
      </w:pPr>
      <w:r>
        <w:t xml:space="preserve">Ordinate - misoBD</w:t>
      </w:r>
    </w:p>
    <w:p>
      <w:pPr>
        <w:numPr>
          <w:ilvl w:val="0"/>
          <w:numId w:val="1161"/>
        </w:numPr>
        <w:pStyle w:val="Compact"/>
      </w:pPr>
      <w:r>
        <w:t xml:space="preserve">Color - by your selected metabolite from part 3</w:t>
      </w:r>
    </w:p>
    <w:p>
      <w:pPr>
        <w:numPr>
          <w:ilvl w:val="0"/>
          <w:numId w:val="1161"/>
        </w:numPr>
        <w:pStyle w:val="Compact"/>
      </w:pPr>
      <w:r>
        <w:t xml:space="preserve">Include a title for your PcOA plot</w:t>
      </w:r>
    </w:p>
    <w:p>
      <w:pPr>
        <w:numPr>
          <w:ilvl w:val="0"/>
          <w:numId w:val="1161"/>
        </w:numPr>
        <w:pStyle w:val="Compact"/>
      </w:pPr>
      <w:r>
        <w:t xml:space="preserve">Use the code below as a template.</w:t>
      </w:r>
    </w:p>
    <w:p>
      <w:pPr>
        <w:pStyle w:val="SourceCode"/>
      </w:pPr>
      <w:r>
        <w:rPr>
          <w:rStyle w:val="NormalTok"/>
        </w:rPr>
        <w:t xml:space="preserve">misoBD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NormalTok"/>
        </w:rPr>
        <w:t xml:space="preserve">pcoa.misoBD </w:t>
      </w:r>
      <w:r>
        <w:rPr>
          <w:rStyle w:val="OtherTok"/>
        </w:rPr>
        <w:t xml:space="preserve">&lt;-</w:t>
      </w:r>
      <w:r>
        <w:rPr>
          <w:rStyle w:val="NormalTok"/>
        </w:rPr>
        <w:t xml:space="preserve"> </w:t>
      </w:r>
      <w:r>
        <w:rPr>
          <w:rStyle w:val="FunctionTok"/>
        </w:rPr>
        <w:t xml:space="preserve">ordinate</w:t>
      </w:r>
      <w:r>
        <w:rPr>
          <w:rStyle w:val="NormalTok"/>
        </w:rPr>
        <w:t xml:space="preserve">(misoBD,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(misoBD, pcoa.misoBD,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4B-1. Paste your plot below for BD subset: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4B-2 Are samples of the same metabolite level similar to each other considering only samples from the BD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4B-3 Has the relationship between the metabolite and samples changed within the BD diet compared to the entire dataset? (ex. Have any new patterns emerged or disappeared?)</w:t>
            </w:r>
          </w:p>
        </w:tc>
      </w:tr>
      <w:tr>
        <w:tc>
          <w:tcPr/>
          <w:p>
            <w:pPr>
              <w:pStyle w:val="Compact"/>
              <w:jc w:val="left"/>
            </w:pPr>
          </w:p>
        </w:tc>
      </w:tr>
    </w:tbl>
    <w:bookmarkEnd w:id="344"/>
    <w:bookmarkStart w:id="347" w:name="footnotes-14"/>
    <w:p>
      <w:pPr>
        <w:pStyle w:val="Heading3"/>
      </w:pPr>
      <w:r>
        <w:rPr>
          <w:rStyle w:val="SectionNumber"/>
        </w:rPr>
        <w:t xml:space="preserve">5.5.5</w:t>
      </w:r>
      <w:r>
        <w:tab/>
      </w:r>
      <w:r>
        <w:t xml:space="preserve">Footnotes</w:t>
      </w:r>
    </w:p>
    <w:bookmarkStart w:id="345" w:name="resources-18"/>
    <w:p>
      <w:pPr>
        <w:pStyle w:val="Heading4"/>
      </w:pPr>
      <w:r>
        <w:rPr>
          <w:rStyle w:val="SectionNumber"/>
        </w:rPr>
        <w:t xml:space="preserve">5.5.5.1</w:t>
      </w:r>
      <w:r>
        <w:tab/>
      </w:r>
      <w:r>
        <w:t xml:space="preserve">Resources</w:t>
      </w:r>
    </w:p>
    <w:p>
      <w:pPr>
        <w:numPr>
          <w:ilvl w:val="0"/>
          <w:numId w:val="1162"/>
        </w:numPr>
        <w:pStyle w:val="Compact"/>
      </w:pPr>
      <w:hyperlink r:id="rId327">
        <w:r>
          <w:rPr>
            <w:rStyle w:val="Hyperlink"/>
          </w:rPr>
          <w:t xml:space="preserve">Google Doc</w:t>
        </w:r>
      </w:hyperlink>
    </w:p>
    <w:p>
      <w:pPr>
        <w:numPr>
          <w:ilvl w:val="0"/>
          <w:numId w:val="1162"/>
        </w:numPr>
        <w:pStyle w:val="Compact"/>
      </w:pPr>
      <w:hyperlink r:id="rId271">
        <w:r>
          <w:rPr>
            <w:rStyle w:val="Hyperlink"/>
          </w:rPr>
          <w:t xml:space="preserve">16S rRNA R Quick Reference</w:t>
        </w:r>
      </w:hyperlink>
    </w:p>
    <w:bookmarkEnd w:id="345"/>
    <w:bookmarkStart w:id="346" w:name="contributions-and-affiliations-14"/>
    <w:p>
      <w:pPr>
        <w:pStyle w:val="Heading4"/>
      </w:pPr>
      <w:r>
        <w:rPr>
          <w:rStyle w:val="SectionNumber"/>
        </w:rPr>
        <w:t xml:space="preserve">5.5.5.2</w:t>
      </w:r>
      <w:r>
        <w:tab/>
      </w:r>
      <w:r>
        <w:t xml:space="preserve">Contributions and affiliations</w:t>
      </w:r>
    </w:p>
    <w:p>
      <w:pPr>
        <w:numPr>
          <w:ilvl w:val="0"/>
          <w:numId w:val="1163"/>
        </w:numPr>
        <w:pStyle w:val="Compact"/>
      </w:pPr>
      <w:r>
        <w:t xml:space="preserve">Valeriya Gaysinskaya, Johns Hopkins University</w:t>
      </w:r>
    </w:p>
    <w:p>
      <w:pPr>
        <w:numPr>
          <w:ilvl w:val="0"/>
          <w:numId w:val="1163"/>
        </w:numPr>
        <w:pStyle w:val="Compact"/>
      </w:pPr>
      <w:r>
        <w:t xml:space="preserve">Gauri Paul, Clovis Community College</w:t>
      </w:r>
    </w:p>
    <w:p>
      <w:pPr>
        <w:numPr>
          <w:ilvl w:val="0"/>
          <w:numId w:val="1163"/>
        </w:numPr>
        <w:pStyle w:val="Compact"/>
      </w:pPr>
      <w:r>
        <w:t xml:space="preserve">Frederick Tan, Johns Hopkins University</w:t>
      </w:r>
    </w:p>
    <w:p>
      <w:pPr>
        <w:numPr>
          <w:ilvl w:val="0"/>
          <w:numId w:val="1163"/>
        </w:numPr>
        <w:pStyle w:val="Compact"/>
      </w:pPr>
      <w:r>
        <w:t xml:space="preserve">Sayumi York, Notre Dame of Maryland University</w:t>
      </w:r>
    </w:p>
    <w:bookmarkEnd w:id="346"/>
    <w:bookmarkEnd w:id="347"/>
    <w:bookmarkEnd w:id="348"/>
    <w:bookmarkStart w:id="355" w:name="X595ac7e568229e6fc777f68597beefe0ba51994"/>
    <w:p>
      <w:pPr>
        <w:pStyle w:val="Heading2"/>
      </w:pPr>
      <w:r>
        <w:rPr>
          <w:rStyle w:val="SectionNumber"/>
        </w:rPr>
        <w:t xml:space="preserve">5.6</w:t>
      </w:r>
      <w:r>
        <w:tab/>
      </w:r>
      <w:r>
        <w:t xml:space="preserve">Try it Question 3 - What microbes (ASVs) differ between males and females, and does age have an impact</w:t>
      </w:r>
    </w:p>
    <w:p>
      <w:pPr>
        <w:pStyle w:val="FirstParagraph"/>
      </w:pPr>
      <w:r>
        <w:t xml:space="preserve">Approach: Perform DESeq analysis between females and males and determine how many differentially abundant microbes are there between the sexes. Then examine if age has a further impact on the abundance of the microbes between the sexes.</w:t>
      </w:r>
    </w:p>
    <w:bookmarkStart w:id="349" w:name="Xd507241b7910661e2cc6426c8de0d60c4521a74"/>
    <w:p>
      <w:pPr>
        <w:pStyle w:val="Heading3"/>
      </w:pPr>
      <w:r>
        <w:rPr>
          <w:rStyle w:val="SectionNumber"/>
        </w:rPr>
        <w:t xml:space="preserve">5.6.1</w:t>
      </w:r>
      <w:r>
        <w:tab/>
      </w:r>
      <w:r>
        <w:t xml:space="preserve">Step 3A. Perform differential abundance analysis between genders.</w:t>
      </w:r>
    </w:p>
    <w:p>
      <w:pPr>
        <w:numPr>
          <w:ilvl w:val="0"/>
          <w:numId w:val="1164"/>
        </w:numPr>
      </w:pPr>
      <w:r>
        <w:t xml:space="preserve">Design - is based on gender (no double quotes)</w:t>
      </w:r>
    </w:p>
    <w:p>
      <w:pPr>
        <w:numPr>
          <w:ilvl w:val="0"/>
          <w:numId w:val="1164"/>
        </w:numPr>
      </w:pPr>
      <w:r>
        <w:t xml:space="preserve">Groups to compare - females, F and males, M (baseline)</w:t>
      </w:r>
    </w:p>
    <w:p>
      <w:pPr>
        <w:numPr>
          <w:ilvl w:val="0"/>
          <w:numId w:val="1164"/>
        </w:numPr>
      </w:pPr>
      <w:r>
        <w:t xml:space="preserve">Plot Phylum on the X-axis and color by Class</w:t>
      </w:r>
    </w:p>
    <w:p>
      <w:pPr>
        <w:numPr>
          <w:ilvl w:val="0"/>
          <w:numId w:val="1164"/>
        </w:numPr>
      </w:pPr>
      <w:r>
        <w:t xml:space="preserve">Make sure your graph has a title that includes the comparison you are making (ex. WO vs HD)</w:t>
      </w:r>
    </w:p>
    <w:p>
      <w:pPr>
        <w:numPr>
          <w:ilvl w:val="0"/>
          <w:numId w:val="1164"/>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64"/>
        </w:numPr>
      </w:pPr>
      <w:r>
        <w:t xml:space="preserve">Use the code below as a template:</w:t>
      </w:r>
    </w:p>
    <w:p>
      <w:pPr>
        <w:pStyle w:val="SourceCode"/>
      </w:pPr>
      <w:r>
        <w:rPr>
          <w:rStyle w:val="CommentTok"/>
        </w:rPr>
        <w:t xml:space="preserve"># STEP 2: Select the groups to compare, where the latter group is your baseline</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Significant_DEseq2_ASVs</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3A-3. Give an example of a differentially abundant ASVs that was significantly higher in females than males. Include ASV ID and taxa. HINT: If male was your baseline, then an example of an ASV that is higher in females will have a positive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3A-4. Look up this microbe. What function does it serve in the human gut, and how might its abundance be connected to gender?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3A-5. Give an example of a differentially abundant ASVs that was significantly higher in males than females. Include ASV ID and taxa. HINT: If male was your baseline, then an example of an ASV that is higher in males will have a negative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3A-6. Look up this microbe. What function does it serve in the human gut, and how might its abundance be connected to gender?</w:t>
            </w:r>
          </w:p>
        </w:tc>
      </w:tr>
      <w:tr>
        <w:tc>
          <w:tcPr/>
          <w:p>
            <w:pPr>
              <w:pStyle w:val="Compact"/>
              <w:jc w:val="left"/>
            </w:pPr>
          </w:p>
        </w:tc>
      </w:tr>
    </w:tbl>
    <w:bookmarkEnd w:id="349"/>
    <w:bookmarkStart w:id="350" w:name="X79916a6b28072c69ac15d7943d38357558bb002"/>
    <w:p>
      <w:pPr>
        <w:pStyle w:val="Heading3"/>
      </w:pPr>
      <w:r>
        <w:rPr>
          <w:rStyle w:val="SectionNumber"/>
        </w:rPr>
        <w:t xml:space="preserve">5.6.2</w:t>
      </w:r>
      <w:r>
        <w:tab/>
      </w:r>
      <w:r>
        <w:t xml:space="preserve">Step 3B. Determine the impact of younger age on differential abundance in males and females, by subsetting age &lt; 50 data from the phyloseq object, and performing DESeq2 analysis on this subset.</w:t>
      </w:r>
    </w:p>
    <w:p>
      <w:pPr>
        <w:numPr>
          <w:ilvl w:val="0"/>
          <w:numId w:val="1165"/>
        </w:numPr>
        <w:pStyle w:val="Compact"/>
      </w:pPr>
      <w:r>
        <w:t xml:space="preserve">Subset phyloseq object to only include younger individuals (age &lt; 50)</w:t>
      </w:r>
    </w:p>
    <w:p>
      <w:pPr>
        <w:numPr>
          <w:ilvl w:val="0"/>
          <w:numId w:val="1165"/>
        </w:numPr>
        <w:pStyle w:val="Compact"/>
      </w:pPr>
      <w:r>
        <w:t xml:space="preserve">For DESeq2 analysis, keep the design the same as in part A - based on gender</w:t>
      </w:r>
    </w:p>
    <w:p>
      <w:pPr>
        <w:numPr>
          <w:ilvl w:val="0"/>
          <w:numId w:val="1165"/>
        </w:numPr>
        <w:pStyle w:val="Compact"/>
      </w:pPr>
      <w:r>
        <w:t xml:space="preserve">Groups to compare: females (F) and males (M, baseline)</w:t>
      </w:r>
    </w:p>
    <w:p>
      <w:pPr>
        <w:numPr>
          <w:ilvl w:val="0"/>
          <w:numId w:val="1165"/>
        </w:numPr>
        <w:pStyle w:val="Compact"/>
      </w:pPr>
      <w:r>
        <w:t xml:space="preserve">Plot Phylum on the X-axis and color by Class</w:t>
      </w:r>
    </w:p>
    <w:p>
      <w:pPr>
        <w:numPr>
          <w:ilvl w:val="0"/>
          <w:numId w:val="1165"/>
        </w:numPr>
        <w:pStyle w:val="Compact"/>
      </w:pPr>
      <w:r>
        <w:t xml:space="preserve">Use template code below:</w:t>
      </w:r>
    </w:p>
    <w:p>
      <w:pPr>
        <w:pStyle w:val="SourceCode"/>
      </w:pPr>
      <w:r>
        <w:rPr>
          <w:rStyle w:val="CommentTok"/>
        </w:rPr>
        <w:t xml:space="preserve"># STEP 1: subset by age &lt; 50</w:t>
      </w:r>
      <w:r>
        <w:br/>
      </w:r>
      <w:r>
        <w:rPr>
          <w:rStyle w:val="NormalTok"/>
        </w:rPr>
        <w:t xml:space="preserve">ageA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&lt;</w:t>
      </w:r>
      <w:r>
        <w:rPr>
          <w:rStyle w:val="DecValTok"/>
        </w:rPr>
        <w:t xml:space="preserve">50</w:t>
      </w:r>
      <w:r>
        <w:rPr>
          <w:rStyle w:val="NormalTok"/>
        </w:rPr>
        <w:t xml:space="preserve">) </w:t>
      </w:r>
      <w:r>
        <w:br/>
      </w:r>
      <w:r>
        <w:br/>
      </w:r>
      <w:r>
        <w:rPr>
          <w:rStyle w:val="CommentTok"/>
        </w:rPr>
        <w:t xml:space="preserve"># STEP 2: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(ageA, </w:t>
      </w:r>
      <w:r>
        <w:rPr>
          <w:rStyle w:val="AttributeTok"/>
        </w:rPr>
        <w:t xml:space="preserve">design =</w:t>
      </w:r>
      <w:r>
        <w:rPr>
          <w:rStyle w:val="NormalTok"/>
        </w:rPr>
        <w:t xml:space="preserve"> </w:t>
      </w:r>
      <w:r>
        <w:rPr>
          <w:rStyle w:val="SpecialCharTok"/>
        </w:rPr>
        <w:t xml:space="preserve">~</w:t>
      </w:r>
      <w:r>
        <w:rPr>
          <w:rStyle w:val="NormalTok"/>
        </w:rPr>
        <w:t xml:space="preserve"> fill </w:t>
      </w:r>
      <w:r>
        <w:rPr>
          <w:rStyle w:val="ControlFlowTok"/>
        </w:rPr>
        <w:t xml:space="preserve">in</w:t>
      </w:r>
      <w:r>
        <w:rPr>
          <w:rStyle w:val="NormalTok"/>
        </w:rPr>
        <w:t xml:space="preserve"> the blank)</w:t>
      </w:r>
      <w:r>
        <w:br/>
      </w:r>
      <w:r>
        <w:br/>
      </w:r>
      <w:r>
        <w:rPr>
          <w:rStyle w:val="CommentTok"/>
        </w:rPr>
        <w:t xml:space="preserve"># STEP 3: Select the groups to compare, where log2FoldChange reported will correspond to  y/x.</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4: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5: Retrieve the list of ASVs with a significant difference in abundance between the chosen groups</w:t>
      </w:r>
      <w:r>
        <w:br/>
      </w:r>
      <w:r>
        <w:rPr>
          <w:rStyle w:val="NormalTok"/>
        </w:rPr>
        <w:t xml:space="preserve">Significant_DEseq2_ASVs</w:t>
      </w:r>
      <w:r>
        <w:br/>
      </w:r>
      <w:r>
        <w:br/>
      </w:r>
      <w:r>
        <w:rPr>
          <w:rStyle w:val="CommentTok"/>
        </w:rPr>
        <w:t xml:space="preserve"># STEP 6: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 =</w:t>
      </w:r>
      <w:r>
        <w:rPr>
          <w:rStyle w:val="NormalTok"/>
        </w:rPr>
        <w:t xml:space="preserve"> </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3B-1. Insert the resulting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3B-2. How many differentially abundant ASVs were identified?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3B-3. Give an example of a differentially abundant ASVs that was significantly higher in younger females than younger males. Include ASV ID and taxa. HINT: If male was your baseline, then an example of an ASV that is higher in females will have a positive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3B-4. Give an example of a differentially abundant ASVs that was significantly higher in younger males than younger females. Include ASV ID and taxa. HINT: If male was your baseline, then an example of an ASV that is higher in males will have a negative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3B-5. Compared to the overall dataset, do younger individuals have more or less differentially abundant microbes between genders?</w:t>
            </w:r>
          </w:p>
        </w:tc>
      </w:tr>
      <w:tr>
        <w:tc>
          <w:tcPr/>
          <w:p>
            <w:pPr>
              <w:pStyle w:val="Compact"/>
              <w:jc w:val="left"/>
            </w:pPr>
          </w:p>
        </w:tc>
      </w:tr>
    </w:tbl>
    <w:bookmarkEnd w:id="350"/>
    <w:bookmarkStart w:id="351" w:name="X2d2d6babfb94edafc1b96bec6735622172a6a35"/>
    <w:p>
      <w:pPr>
        <w:pStyle w:val="Heading3"/>
      </w:pPr>
      <w:r>
        <w:rPr>
          <w:rStyle w:val="SectionNumber"/>
        </w:rPr>
        <w:t xml:space="preserve">5.6.3</w:t>
      </w:r>
      <w:r>
        <w:tab/>
      </w:r>
      <w:r>
        <w:t xml:space="preserve">Step 3C. Determine the impact of older age on differential abundance in males and females, by subsetting age &gt;= 50 data from the phyloseq object, and performing DESeq2 analysis on this subset.</w:t>
      </w:r>
    </w:p>
    <w:p>
      <w:pPr>
        <w:numPr>
          <w:ilvl w:val="0"/>
          <w:numId w:val="1166"/>
        </w:numPr>
        <w:pStyle w:val="Compact"/>
      </w:pPr>
      <w:r>
        <w:t xml:space="preserve">You can use template code below:</w:t>
      </w:r>
    </w:p>
    <w:p>
      <w:pPr>
        <w:pStyle w:val="SourceCode"/>
      </w:pPr>
      <w:r>
        <w:rPr>
          <w:rStyle w:val="CommentTok"/>
        </w:rPr>
        <w:t xml:space="preserve"># STEP 1: subset by age &gt;=  50</w:t>
      </w:r>
      <w:r>
        <w:br/>
      </w:r>
      <w:r>
        <w:rPr>
          <w:rStyle w:val="NormalTok"/>
        </w:rPr>
        <w:t xml:space="preserve">ageB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&gt;=</w:t>
      </w:r>
      <w:r>
        <w:rPr>
          <w:rStyle w:val="NormalTok"/>
        </w:rPr>
        <w:t xml:space="preserve"> </w:t>
      </w:r>
      <w:r>
        <w:rPr>
          <w:rStyle w:val="DecValTok"/>
        </w:rPr>
        <w:t xml:space="preserve">50</w:t>
      </w:r>
      <w:r>
        <w:rPr>
          <w:rStyle w:val="NormalTok"/>
        </w:rPr>
        <w:t xml:space="preserve">) </w:t>
      </w:r>
      <w:r>
        <w:br/>
      </w:r>
      <w:r>
        <w:br/>
      </w:r>
      <w:r>
        <w:rPr>
          <w:rStyle w:val="CommentTok"/>
        </w:rPr>
        <w:t xml:space="preserve"># STEP 2: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(ageB, </w:t>
      </w:r>
      <w:r>
        <w:rPr>
          <w:rStyle w:val="AttributeTok"/>
        </w:rPr>
        <w:t xml:space="preserve">design =</w:t>
      </w:r>
      <w:r>
        <w:rPr>
          <w:rStyle w:val="NormalTok"/>
        </w:rPr>
        <w:t xml:space="preserve"> </w:t>
      </w:r>
      <w:r>
        <w:rPr>
          <w:rStyle w:val="SpecialCharTok"/>
        </w:rPr>
        <w:t xml:space="preserve">~</w:t>
      </w:r>
      <w:r>
        <w:rPr>
          <w:rStyle w:val="NormalTok"/>
        </w:rPr>
        <w:t xml:space="preserve"> fill </w:t>
      </w:r>
      <w:r>
        <w:rPr>
          <w:rStyle w:val="ControlFlowTok"/>
        </w:rPr>
        <w:t xml:space="preserve">in</w:t>
      </w:r>
      <w:r>
        <w:rPr>
          <w:rStyle w:val="NormalTok"/>
        </w:rPr>
        <w:t xml:space="preserve"> the blank)</w:t>
      </w:r>
      <w:r>
        <w:br/>
      </w:r>
      <w:r>
        <w:br/>
      </w:r>
      <w:r>
        <w:rPr>
          <w:rStyle w:val="CommentTok"/>
        </w:rPr>
        <w:t xml:space="preserve"># STEP 3: Select the groups to compare, where log2FoldChange reported will correspond to  y/x.</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w:t>
      </w:r>
      <w:r>
        <w:rPr>
          <w:rStyle w:val="NormalTok"/>
        </w:rPr>
        <w:t xml:space="preserve">)</w:t>
      </w:r>
      <w:r>
        <w:br/>
      </w:r>
      <w:r>
        <w:br/>
      </w:r>
      <w:r>
        <w:rPr>
          <w:rStyle w:val="CommentTok"/>
        </w:rPr>
        <w:t xml:space="preserve"># STEP 4: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5: Retrieve the list of ASVs with a significant difference in abundance between the chosen groups</w:t>
      </w:r>
      <w:r>
        <w:br/>
      </w:r>
      <w:r>
        <w:rPr>
          <w:rStyle w:val="NormalTok"/>
        </w:rPr>
        <w:t xml:space="preserve">Significant_DEseq2_ASVs</w:t>
      </w:r>
      <w:r>
        <w:br/>
      </w:r>
      <w:r>
        <w:br/>
      </w:r>
      <w:r>
        <w:rPr>
          <w:rStyle w:val="CommentTok"/>
        </w:rPr>
        <w:t xml:space="preserve"># STEP 6: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 =</w:t>
      </w:r>
      <w:r>
        <w:rPr>
          <w:rStyle w:val="NormalTok"/>
        </w:rPr>
        <w:t xml:space="preserve"> </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3C-1.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3C-3. Compared to the overall dataset, do older individuals have more or less differentially abundant microbes between genders?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3C-4. Compare all the plots you have made. Give a specific example of one difference you see.</w:t>
            </w:r>
          </w:p>
        </w:tc>
      </w:tr>
      <w:tr>
        <w:tc>
          <w:tcPr/>
          <w:p>
            <w:pPr>
              <w:pStyle w:val="Compact"/>
              <w:jc w:val="left"/>
            </w:pPr>
          </w:p>
        </w:tc>
      </w:tr>
    </w:tbl>
    <w:bookmarkEnd w:id="351"/>
    <w:bookmarkStart w:id="354" w:name="footnotes-15"/>
    <w:p>
      <w:pPr>
        <w:pStyle w:val="Heading3"/>
      </w:pPr>
      <w:r>
        <w:rPr>
          <w:rStyle w:val="SectionNumber"/>
        </w:rPr>
        <w:t xml:space="preserve">5.6.4</w:t>
      </w:r>
      <w:r>
        <w:tab/>
      </w:r>
      <w:r>
        <w:t xml:space="preserve">Footnotes</w:t>
      </w:r>
    </w:p>
    <w:bookmarkStart w:id="352" w:name="resources-19"/>
    <w:p>
      <w:pPr>
        <w:pStyle w:val="Heading4"/>
      </w:pPr>
      <w:r>
        <w:rPr>
          <w:rStyle w:val="SectionNumber"/>
        </w:rPr>
        <w:t xml:space="preserve">5.6.4.1</w:t>
      </w:r>
      <w:r>
        <w:tab/>
      </w:r>
      <w:r>
        <w:t xml:space="preserve">Resources</w:t>
      </w:r>
    </w:p>
    <w:p>
      <w:pPr>
        <w:numPr>
          <w:ilvl w:val="0"/>
          <w:numId w:val="1167"/>
        </w:numPr>
        <w:pStyle w:val="Compact"/>
      </w:pPr>
      <w:hyperlink r:id="rId327">
        <w:r>
          <w:rPr>
            <w:rStyle w:val="Hyperlink"/>
          </w:rPr>
          <w:t xml:space="preserve">Google Doc</w:t>
        </w:r>
      </w:hyperlink>
    </w:p>
    <w:p>
      <w:pPr>
        <w:numPr>
          <w:ilvl w:val="0"/>
          <w:numId w:val="1167"/>
        </w:numPr>
        <w:pStyle w:val="Compact"/>
      </w:pPr>
      <w:hyperlink r:id="rId271">
        <w:r>
          <w:rPr>
            <w:rStyle w:val="Hyperlink"/>
          </w:rPr>
          <w:t xml:space="preserve">16S rRNA R Quick Reference</w:t>
        </w:r>
      </w:hyperlink>
    </w:p>
    <w:bookmarkEnd w:id="352"/>
    <w:bookmarkStart w:id="353" w:name="contributions-and-affiliations-15"/>
    <w:p>
      <w:pPr>
        <w:pStyle w:val="Heading4"/>
      </w:pPr>
      <w:r>
        <w:rPr>
          <w:rStyle w:val="SectionNumber"/>
        </w:rPr>
        <w:t xml:space="preserve">5.6.4.2</w:t>
      </w:r>
      <w:r>
        <w:tab/>
      </w:r>
      <w:r>
        <w:t xml:space="preserve">Contributions and affiliations</w:t>
      </w:r>
    </w:p>
    <w:p>
      <w:pPr>
        <w:numPr>
          <w:ilvl w:val="0"/>
          <w:numId w:val="1168"/>
        </w:numPr>
        <w:pStyle w:val="Compact"/>
      </w:pPr>
      <w:r>
        <w:t xml:space="preserve">Valeriya Gaysinskaya, Johns Hopkins University</w:t>
      </w:r>
    </w:p>
    <w:p>
      <w:pPr>
        <w:numPr>
          <w:ilvl w:val="0"/>
          <w:numId w:val="1168"/>
        </w:numPr>
        <w:pStyle w:val="Compact"/>
      </w:pPr>
      <w:r>
        <w:t xml:space="preserve">Gauri Paul, Clovis Community College</w:t>
      </w:r>
    </w:p>
    <w:p>
      <w:pPr>
        <w:numPr>
          <w:ilvl w:val="0"/>
          <w:numId w:val="1168"/>
        </w:numPr>
        <w:pStyle w:val="Compact"/>
      </w:pPr>
      <w:r>
        <w:t xml:space="preserve">Frederick Tan, Johns Hopkins University</w:t>
      </w:r>
    </w:p>
    <w:p>
      <w:pPr>
        <w:numPr>
          <w:ilvl w:val="0"/>
          <w:numId w:val="1168"/>
        </w:numPr>
        <w:pStyle w:val="Compact"/>
      </w:pPr>
      <w:r>
        <w:t xml:space="preserve">Sayumi York, Notre Dame of Maryland University</w:t>
      </w:r>
    </w:p>
    <w:bookmarkEnd w:id="353"/>
    <w:bookmarkEnd w:id="354"/>
    <w:bookmarkEnd w:id="355"/>
    <w:bookmarkStart w:id="362" w:name="Xbd8ed9e9a2215cd9ac6e2de069ef19be9b89492"/>
    <w:p>
      <w:pPr>
        <w:pStyle w:val="Heading2"/>
      </w:pPr>
      <w:r>
        <w:rPr>
          <w:rStyle w:val="SectionNumber"/>
        </w:rPr>
        <w:t xml:space="preserve">5.7</w:t>
      </w:r>
      <w:r>
        <w:tab/>
      </w:r>
      <w:r>
        <w:t xml:space="preserve">Try it Question 4 - Is there an interaction between diet and age and the microbiome</w:t>
      </w:r>
    </w:p>
    <w:p>
      <w:pPr>
        <w:pStyle w:val="FirstParagraph"/>
      </w:pPr>
      <w:r>
        <w:t xml:space="preserve">Variables and conditions can interact with each other in complex ways. Here we will try to tease apart the relationship between the gut microbiome, diet, and age. What does an interaction look like? In this example, we’re looking at whether or not a change in diet affects people of different ages in different ways. We might imagine for example that a young person’s gut is more resilient to change than an older person’s or vice versa. Changes at one age group may be different in the other.</w:t>
      </w:r>
    </w:p>
    <w:p>
      <w:pPr>
        <w:pStyle w:val="BodyText"/>
      </w:pPr>
      <w:r>
        <w:t xml:space="preserve">Approach: Use alpha diversity measure and DESeq2 tools to answer this question. Using alpha diversity, determine if there is an interaction between diet and age. Then use DESeq2 to see if any ASVs are associated with changes in die-age interaction. Using Simpson alpha diversity measure (or specifically, Gini-Simpson) evaluate how microbial diversity changes with age and diet in general, or age and BD, HD and WO diet specifically. Remember, shifts in alpha diversity measure suggest a shift in microbial diversity, with high alpha diversity suggesting high microbial diversity. Then, use DESeq2 to evaluate if ageing changes ASVs associated with diet.</w:t>
      </w:r>
    </w:p>
    <w:p>
      <w:pPr>
        <w:pStyle w:val="BodyText"/>
      </w:pPr>
      <w:r>
        <w:t xml:space="preserve">Note, when plotting this data you may get a warning below. That is ok!</w:t>
      </w:r>
    </w:p>
    <w:p>
      <w:pPr>
        <w:pStyle w:val="SourceCode"/>
      </w:pPr>
      <w:r>
        <w:rPr>
          <w:rStyle w:val="NormalTok"/>
        </w:rPr>
        <w:t xml:space="preserve">Warning</w:t>
      </w:r>
      <w:r>
        <w:rPr>
          <w:rStyle w:val="SpecialCharTok"/>
        </w:rPr>
        <w:t xml:space="preserve">:</w:t>
      </w:r>
      <w:r>
        <w:rPr>
          <w:rStyle w:val="NormalTok"/>
        </w:rPr>
        <w:t xml:space="preserve"> The data you have provided does not have any singletons. This is highly suspicious. Results of richness </w:t>
      </w:r>
      <w:r>
        <w:rPr>
          <w:rStyle w:val="FunctionTok"/>
        </w:rPr>
        <w:t xml:space="preserve">estimates</w:t>
      </w:r>
      <w:r>
        <w:rPr>
          <w:rStyle w:val="NormalTok"/>
        </w:rPr>
        <w:t xml:space="preserve"> (</w:t>
      </w:r>
      <w:r>
        <w:rPr>
          <w:rStyle w:val="ControlFlowTok"/>
        </w:rPr>
        <w:t xml:space="preserve">for</w:t>
      </w:r>
      <w:r>
        <w:rPr>
          <w:rStyle w:val="NormalTok"/>
        </w:rPr>
        <w:t xml:space="preserve"> example) are probably unreliable, or wrong, </w:t>
      </w:r>
      <w:r>
        <w:rPr>
          <w:rStyle w:val="ControlFlowTok"/>
        </w:rPr>
        <w:t xml:space="preserve">if</w:t>
      </w:r>
      <w:r>
        <w:rPr>
          <w:rStyle w:val="NormalTok"/>
        </w:rPr>
        <w:t xml:space="preserve"> you have already trimmed low</w:t>
      </w:r>
      <w:r>
        <w:rPr>
          <w:rStyle w:val="SpecialCharTok"/>
        </w:rPr>
        <w:t xml:space="preserve">-</w:t>
      </w:r>
      <w:r>
        <w:rPr>
          <w:rStyle w:val="NormalTok"/>
        </w:rPr>
        <w:t xml:space="preserve">abundance taxa from the data.We recommended that you find the un</w:t>
      </w:r>
      <w:r>
        <w:rPr>
          <w:rStyle w:val="SpecialCharTok"/>
        </w:rPr>
        <w:t xml:space="preserve">-</w:t>
      </w:r>
      <w:r>
        <w:rPr>
          <w:rStyle w:val="NormalTok"/>
        </w:rPr>
        <w:t xml:space="preserve">trimmed data and retry.</w:t>
      </w:r>
    </w:p>
    <w:p>
      <w:pPr>
        <w:numPr>
          <w:ilvl w:val="0"/>
          <w:numId w:val="1169"/>
        </w:numPr>
        <w:pStyle w:val="Compact"/>
      </w:pPr>
      <w:r>
        <w:t xml:space="preserve">Refer to the</w:t>
      </w:r>
      <w:r>
        <w:t xml:space="preserve"> </w:t>
      </w:r>
      <w:r>
        <w:t xml:space="preserve">“</w:t>
      </w:r>
      <w:r>
        <w:t xml:space="preserve">alpha diversity</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plot_richness() function.</w:t>
      </w:r>
    </w:p>
    <w:bookmarkStart w:id="356" w:name="Xecef1bd61b4608eb484bedd06a6aa9d1243b13f"/>
    <w:p>
      <w:pPr>
        <w:pStyle w:val="Heading3"/>
      </w:pPr>
      <w:r>
        <w:rPr>
          <w:rStyle w:val="SectionNumber"/>
        </w:rPr>
        <w:t xml:space="preserve">5.7.1</w:t>
      </w:r>
      <w:r>
        <w:tab/>
      </w:r>
      <w:r>
        <w:t xml:space="preserve">Step 1. Plot alpha diversity based on age for all dietary groups, and then for BD, HD and WO.</w:t>
      </w:r>
    </w:p>
    <w:p>
      <w:pPr>
        <w:pStyle w:val="FirstParagraph"/>
      </w:pPr>
      <w:r>
        <w:rPr>
          <w:bCs/>
          <w:b/>
        </w:rPr>
        <w:t xml:space="preserve">Step 1A. Plot alpha diversity based on age for all dietary groups, and then for BD, HD and WO.</w:t>
      </w:r>
    </w:p>
    <w:p>
      <w:pPr>
        <w:pStyle w:val="BodyText"/>
      </w:pPr>
      <w:r>
        <w:t xml:space="preserve">Plot alpha diversity based on age for all dietary groups.**</w:t>
      </w:r>
    </w:p>
    <w:p>
      <w:pPr>
        <w:numPr>
          <w:ilvl w:val="0"/>
          <w:numId w:val="1170"/>
        </w:numPr>
        <w:pStyle w:val="Compact"/>
      </w:pPr>
      <w:r>
        <w:t xml:space="preserve">Subset data - None</w:t>
      </w:r>
    </w:p>
    <w:p>
      <w:pPr>
        <w:numPr>
          <w:ilvl w:val="0"/>
          <w:numId w:val="1170"/>
        </w:numPr>
        <w:pStyle w:val="Compact"/>
      </w:pPr>
      <w:r>
        <w:t xml:space="preserve">age is on the x-axis</w:t>
      </w:r>
    </w:p>
    <w:p>
      <w:pPr>
        <w:numPr>
          <w:ilvl w:val="0"/>
          <w:numId w:val="1170"/>
        </w:numPr>
        <w:pStyle w:val="Compact"/>
      </w:pPr>
      <w:r>
        <w:t xml:space="preserve">Color is by subject</w:t>
      </w:r>
    </w:p>
    <w:p>
      <w:pPr>
        <w:numPr>
          <w:ilvl w:val="0"/>
          <w:numId w:val="1170"/>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"miso"</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alpha diversity change in value with increasing age (overall alpha diversity measure) ?</w:t>
            </w:r>
            <w:r>
              <w:rPr>
                <w:bCs/>
                <w:b/>
              </w:rPr>
              <w:t xml:space="preserve"> </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Does alpha diversity grow more varied between individuals with increasing age (are points less clustered with increasing age) ?</w:t>
            </w:r>
          </w:p>
        </w:tc>
      </w:tr>
      <w:tr>
        <w:tc>
          <w:tcPr/>
          <w:p>
            <w:pPr>
              <w:pStyle w:val="Compact"/>
              <w:jc w:val="left"/>
            </w:pPr>
          </w:p>
        </w:tc>
      </w:tr>
    </w:tbl>
    <w:p>
      <w:pPr>
        <w:pStyle w:val="BodyText"/>
      </w:pPr>
      <w:r>
        <w:rPr>
          <w:bCs/>
          <w:b/>
        </w:rPr>
        <w:t xml:space="preserve">Step 1B. Plot alpha diversity based on age for BD diet only.</w:t>
      </w:r>
    </w:p>
    <w:p>
      <w:pPr>
        <w:pStyle w:val="BodyText"/>
      </w:pPr>
      <w:r>
        <w:t xml:space="preserve">Plot alpha diversity based on age for BD diet only.</w:t>
      </w:r>
    </w:p>
    <w:p>
      <w:pPr>
        <w:numPr>
          <w:ilvl w:val="0"/>
          <w:numId w:val="1171"/>
        </w:numPr>
        <w:pStyle w:val="Compact"/>
      </w:pPr>
      <w:r>
        <w:t xml:space="preserve">Subset data - diet BD</w:t>
      </w:r>
    </w:p>
    <w:p>
      <w:pPr>
        <w:numPr>
          <w:ilvl w:val="0"/>
          <w:numId w:val="1171"/>
        </w:numPr>
        <w:pStyle w:val="Compact"/>
      </w:pPr>
      <w:r>
        <w:t xml:space="preserve">age is on the x-axis</w:t>
      </w:r>
    </w:p>
    <w:p>
      <w:pPr>
        <w:numPr>
          <w:ilvl w:val="0"/>
          <w:numId w:val="1171"/>
        </w:numPr>
        <w:pStyle w:val="Compact"/>
      </w:pPr>
      <w:r>
        <w:t xml:space="preserve">Color is by subject</w:t>
      </w:r>
    </w:p>
    <w:p>
      <w:pPr>
        <w:numPr>
          <w:ilvl w:val="0"/>
          <w:numId w:val="1171"/>
        </w:numPr>
        <w:pStyle w:val="Compact"/>
      </w:pPr>
      <w:r>
        <w:t xml:space="preserve">Use the following code as a template:</w:t>
      </w:r>
    </w:p>
    <w:p>
      <w:pPr>
        <w:pStyle w:val="SourceCode"/>
      </w:pPr>
      <w:r>
        <w:rPr>
          <w:rStyle w:val="CommentTok"/>
        </w:rPr>
        <w:t xml:space="preserve"># Subset only BD samples</w:t>
      </w:r>
      <w:r>
        <w:br/>
      </w:r>
      <w:r>
        <w:rPr>
          <w:rStyle w:val="NormalTok"/>
        </w:rPr>
        <w:t xml:space="preserve">miso_counts_BD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"BD"</w:t>
      </w:r>
      <w:r>
        <w:rPr>
          <w:rStyle w:val="NormalTok"/>
        </w:rPr>
        <w:t xml:space="preserve">)</w:t>
      </w:r>
      <w:r>
        <w:br/>
      </w:r>
      <w:r>
        <w:br/>
      </w:r>
      <w:r>
        <w:rPr>
          <w:rStyle w:val="FunctionTok"/>
        </w:rPr>
        <w:t xml:space="preserve">plot_richness</w:t>
      </w:r>
      <w:r>
        <w:rPr>
          <w:rStyle w:val="NormalTok"/>
        </w:rPr>
        <w:t xml:space="preserve">(miso_counts_BD,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1B-2.Paste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1B-2. Did the relationship between age and alpha diversity change when only looking at the BD diet data points? Explain your answer by describing the trend or lack thereof in the graph.</w:t>
            </w:r>
            <w:r>
              <w:rPr>
                <w:bCs/>
                <w:b/>
              </w:rPr>
              <w:t xml:space="preserve"> </w:t>
            </w:r>
          </w:p>
        </w:tc>
      </w:tr>
      <w:tr>
        <w:tc>
          <w:tcPr/>
          <w:p>
            <w:pPr>
              <w:pStyle w:val="Compact"/>
              <w:jc w:val="left"/>
            </w:pPr>
          </w:p>
        </w:tc>
      </w:tr>
    </w:tbl>
    <w:p>
      <w:pPr>
        <w:pStyle w:val="BodyText"/>
      </w:pPr>
      <w:r>
        <w:rPr>
          <w:bCs/>
          <w:b/>
        </w:rPr>
        <w:t xml:space="preserve">Step 1C. Plot alpha diversity based on age for HD diet only.</w:t>
      </w:r>
    </w:p>
    <w:p>
      <w:pPr>
        <w:numPr>
          <w:ilvl w:val="0"/>
          <w:numId w:val="1172"/>
        </w:numPr>
        <w:pStyle w:val="Compact"/>
      </w:pPr>
      <w:r>
        <w:t xml:space="preserve">Subset data - diet HD</w:t>
      </w:r>
    </w:p>
    <w:p>
      <w:pPr>
        <w:numPr>
          <w:ilvl w:val="0"/>
          <w:numId w:val="1172"/>
        </w:numPr>
        <w:pStyle w:val="Compact"/>
      </w:pPr>
      <w:r>
        <w:t xml:space="preserve">age is on the x-axis</w:t>
      </w:r>
    </w:p>
    <w:p>
      <w:pPr>
        <w:numPr>
          <w:ilvl w:val="0"/>
          <w:numId w:val="1172"/>
        </w:numPr>
        <w:pStyle w:val="Compact"/>
      </w:pPr>
      <w:r>
        <w:t xml:space="preserve">Color is by subject</w:t>
      </w:r>
    </w:p>
    <w:p>
      <w:pPr>
        <w:numPr>
          <w:ilvl w:val="0"/>
          <w:numId w:val="1172"/>
        </w:numPr>
        <w:pStyle w:val="Compact"/>
      </w:pPr>
      <w:r>
        <w:t xml:space="preserve">Use the following code as a template:</w:t>
      </w:r>
    </w:p>
    <w:p>
      <w:pPr>
        <w:pStyle w:val="SourceCode"/>
      </w:pPr>
      <w:r>
        <w:rPr>
          <w:rStyle w:val="CommentTok"/>
        </w:rPr>
        <w:t xml:space="preserve">#Step1: Subset data for HD only</w:t>
      </w:r>
      <w:r>
        <w:br/>
      </w:r>
      <w:r>
        <w:rPr>
          <w:rStyle w:val="NormalTok"/>
        </w:rPr>
        <w:t xml:space="preserve">miso_counts_HD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plot_richness</w:t>
      </w:r>
      <w:r>
        <w:rPr>
          <w:rStyle w:val="NormalTok"/>
        </w:rPr>
        <w:t xml:space="preserve">(miso_counts_HD,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1C-1.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1C-2. Did the relationship between age and alpha diversity change when only looking at the HD diet data points? Explain your answer by describing the trend or lack thereof in the graph.</w:t>
            </w:r>
          </w:p>
        </w:tc>
      </w:tr>
      <w:tr>
        <w:tc>
          <w:tcPr/>
          <w:p>
            <w:pPr>
              <w:pStyle w:val="Compact"/>
              <w:jc w:val="left"/>
            </w:pPr>
          </w:p>
        </w:tc>
      </w:tr>
    </w:tbl>
    <w:p>
      <w:pPr>
        <w:pStyle w:val="BodyText"/>
      </w:pPr>
      <w:r>
        <w:rPr>
          <w:bCs/>
          <w:b/>
        </w:rPr>
        <w:t xml:space="preserve">1D-1. Plot alpha diversity based on age for WO diet only.</w:t>
      </w:r>
    </w:p>
    <w:p>
      <w:pPr>
        <w:numPr>
          <w:ilvl w:val="0"/>
          <w:numId w:val="1173"/>
        </w:numPr>
        <w:pStyle w:val="Compact"/>
      </w:pPr>
      <w:r>
        <w:t xml:space="preserve">Subset data - diet WO</w:t>
      </w:r>
    </w:p>
    <w:p>
      <w:pPr>
        <w:numPr>
          <w:ilvl w:val="0"/>
          <w:numId w:val="1173"/>
        </w:numPr>
        <w:pStyle w:val="Compact"/>
      </w:pPr>
      <w:r>
        <w:t xml:space="preserve">age is on the x-axis</w:t>
      </w:r>
    </w:p>
    <w:p>
      <w:pPr>
        <w:numPr>
          <w:ilvl w:val="0"/>
          <w:numId w:val="1173"/>
        </w:numPr>
        <w:pStyle w:val="Compact"/>
      </w:pPr>
      <w:r>
        <w:t xml:space="preserve">Color is by subject</w:t>
      </w:r>
    </w:p>
    <w:p>
      <w:pPr>
        <w:numPr>
          <w:ilvl w:val="0"/>
          <w:numId w:val="1173"/>
        </w:numPr>
        <w:pStyle w:val="Compact"/>
      </w:pPr>
      <w:r>
        <w:t xml:space="preserve">Use the following code as a template:</w:t>
      </w:r>
    </w:p>
    <w:p>
      <w:pPr>
        <w:pStyle w:val="SourceCode"/>
      </w:pPr>
      <w:r>
        <w:rPr>
          <w:rStyle w:val="CommentTok"/>
        </w:rPr>
        <w:t xml:space="preserve">#Step1: Subset data for WO only</w:t>
      </w:r>
      <w:r>
        <w:br/>
      </w:r>
      <w:r>
        <w:rPr>
          <w:rStyle w:val="NormalTok"/>
        </w:rPr>
        <w:t xml:space="preserve">miso_counts_WO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plot_richness</w:t>
      </w:r>
      <w:r>
        <w:rPr>
          <w:rStyle w:val="NormalTok"/>
        </w:rPr>
        <w:t xml:space="preserve">(fill </w:t>
      </w:r>
      <w:r>
        <w:rPr>
          <w:rStyle w:val="ControlFlowTok"/>
        </w:rPr>
        <w:t xml:space="preserve">in</w:t>
      </w:r>
      <w:r>
        <w:rPr>
          <w:rStyle w:val="NormalTok"/>
        </w:rPr>
        <w:t xml:space="preserve"> the blank,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1D-1.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1D-2. Did the relationship between age and alpha diversity change when only looking at the WO diet data points? Explain your answer by describing the trend or lack thereof in the graph. Remember, the WO only has half as many datapoints compared to the BD and HD since there is only 1 WO timepoint (versus 2 for BD and HD).</w:t>
            </w:r>
          </w:p>
        </w:tc>
      </w:tr>
      <w:tr>
        <w:tc>
          <w:tcPr/>
          <w:p>
            <w:pPr>
              <w:pStyle w:val="Compact"/>
              <w:jc w:val="left"/>
            </w:pPr>
          </w:p>
        </w:tc>
      </w:tr>
    </w:tbl>
    <w:bookmarkEnd w:id="356"/>
    <w:bookmarkStart w:id="357" w:name="X20c3c163d6a7429e4dd3bf5744dda10e0814627"/>
    <w:p>
      <w:pPr>
        <w:pStyle w:val="Heading3"/>
      </w:pPr>
      <w:r>
        <w:rPr>
          <w:rStyle w:val="SectionNumber"/>
        </w:rPr>
        <w:t xml:space="preserve">5.7.2</w:t>
      </w:r>
      <w:r>
        <w:tab/>
      </w:r>
      <w:r>
        <w:t xml:space="preserve">Step 2. Perform differential abundance analysis comparing HD to BD for the population in general, and then for older individuals specifically.</w:t>
      </w:r>
    </w:p>
    <w:p>
      <w:pPr>
        <w:pStyle w:val="FirstParagraph"/>
      </w:pPr>
      <w:r>
        <w:rPr>
          <w:bCs/>
          <w:b/>
        </w:rPr>
        <w:t xml:space="preserve">Step 2A. Perform differential abundance analysis between HD and BD.</w:t>
      </w:r>
    </w:p>
    <w:p>
      <w:pPr>
        <w:numPr>
          <w:ilvl w:val="0"/>
          <w:numId w:val="1174"/>
        </w:numPr>
      </w:pPr>
      <w:r>
        <w:t xml:space="preserve">Design - is based on diet (no double quotes)</w:t>
      </w:r>
    </w:p>
    <w:p>
      <w:pPr>
        <w:numPr>
          <w:ilvl w:val="0"/>
          <w:numId w:val="1174"/>
        </w:numPr>
      </w:pPr>
      <w:r>
        <w:t xml:space="preserve">Groups to compare - HD and BD (baseline)</w:t>
      </w:r>
    </w:p>
    <w:p>
      <w:pPr>
        <w:numPr>
          <w:ilvl w:val="0"/>
          <w:numId w:val="1174"/>
        </w:numPr>
      </w:pPr>
      <w:r>
        <w:t xml:space="preserve">Plot Phylum on the X-axis and color by Class</w:t>
      </w:r>
    </w:p>
    <w:p>
      <w:pPr>
        <w:numPr>
          <w:ilvl w:val="0"/>
          <w:numId w:val="1174"/>
        </w:numPr>
      </w:pPr>
      <w:r>
        <w:t xml:space="preserve">Make sure your graph has a title that includes the comparison you are making (ex. WO vs HD)</w:t>
      </w:r>
    </w:p>
    <w:p>
      <w:pPr>
        <w:numPr>
          <w:ilvl w:val="0"/>
          <w:numId w:val="1174"/>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74"/>
        </w:numPr>
      </w:pPr>
      <w:r>
        <w:t xml:space="preserve">Use the code below as a template:</w:t>
      </w:r>
    </w:p>
    <w:p>
      <w:pPr>
        <w:pStyle w:val="SourceCode"/>
      </w:pPr>
      <w:r>
        <w:rPr>
          <w:rStyle w:val="CommentTok"/>
        </w:rPr>
        <w:t xml:space="preserve"># STEP 1: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(miso_counts, </w:t>
      </w:r>
      <w:r>
        <w:rPr>
          <w:rStyle w:val="AttributeTok"/>
        </w:rPr>
        <w:t xml:space="preserve">design =</w:t>
      </w:r>
      <w:r>
        <w:rPr>
          <w:rStyle w:val="NormalTok"/>
        </w:rPr>
        <w:t xml:space="preserve"> </w:t>
      </w:r>
      <w:r>
        <w:rPr>
          <w:rStyle w:val="SpecialCharTok"/>
        </w:rPr>
        <w:t xml:space="preserve">~</w:t>
      </w:r>
      <w:r>
        <w:rPr>
          <w:rStyle w:val="NormalTok"/>
        </w:rPr>
        <w:t xml:space="preserve"> diet)</w:t>
      </w:r>
      <w:r>
        <w:br/>
      </w:r>
      <w:r>
        <w:br/>
      </w:r>
      <w:r>
        <w:rPr>
          <w:rStyle w:val="CommentTok"/>
        </w:rPr>
        <w:t xml:space="preserve"># STEP 2: Select the groups to compare, where the latter group is your baseline</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"diet"</w:t>
      </w:r>
      <w:r>
        <w:rPr>
          <w:rStyle w:val="NormalTok"/>
        </w:rPr>
        <w:t xml:space="preserve">, </w:t>
      </w:r>
      <w:r>
        <w:rPr>
          <w:rStyle w:val="StringTok"/>
        </w:rPr>
        <w:t xml:space="preserve">"HD"</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Significant_DEseq2_ASVs</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Phylum,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Did a change in diet from BD to HD cause there to be a lot of changes in microbe abundance?</w:t>
            </w:r>
          </w:p>
        </w:tc>
      </w:tr>
      <w:tr>
        <w:tc>
          <w:tcPr/>
          <w:p>
            <w:pPr>
              <w:pStyle w:val="Compact"/>
              <w:jc w:val="left"/>
            </w:pPr>
          </w:p>
        </w:tc>
      </w:tr>
    </w:tbl>
    <w:bookmarkEnd w:id="357"/>
    <w:bookmarkStart w:id="358" w:name="X5d873d7c1194470314eb407ed41c6f5cfdeeff4"/>
    <w:p>
      <w:pPr>
        <w:pStyle w:val="Heading3"/>
      </w:pPr>
      <w:r>
        <w:rPr>
          <w:rStyle w:val="SectionNumber"/>
        </w:rPr>
        <w:t xml:space="preserve">5.7.3</w:t>
      </w:r>
      <w:r>
        <w:tab/>
      </w:r>
      <w:r>
        <w:t xml:space="preserve">Step 2B. Perform differential abundance analysis between HD and BD for older individual (&gt; 50 yo.)</w:t>
      </w:r>
    </w:p>
    <w:p>
      <w:pPr>
        <w:numPr>
          <w:ilvl w:val="0"/>
          <w:numId w:val="1175"/>
        </w:numPr>
      </w:pPr>
      <w:r>
        <w:t xml:space="preserve">Subset data - older age (&gt; 50 yo)</w:t>
      </w:r>
    </w:p>
    <w:p>
      <w:pPr>
        <w:numPr>
          <w:ilvl w:val="0"/>
          <w:numId w:val="1175"/>
        </w:numPr>
      </w:pPr>
      <w:r>
        <w:t xml:space="preserve">Design - is based on diet (no double quotes)</w:t>
      </w:r>
    </w:p>
    <w:p>
      <w:pPr>
        <w:numPr>
          <w:ilvl w:val="0"/>
          <w:numId w:val="1175"/>
        </w:numPr>
      </w:pPr>
      <w:r>
        <w:t xml:space="preserve">Groups to compare - HD and BD (baseline)</w:t>
      </w:r>
    </w:p>
    <w:p>
      <w:pPr>
        <w:numPr>
          <w:ilvl w:val="0"/>
          <w:numId w:val="1175"/>
        </w:numPr>
      </w:pPr>
      <w:r>
        <w:t xml:space="preserve">Plot Phylum on the X-axis and color by Class</w:t>
      </w:r>
    </w:p>
    <w:p>
      <w:pPr>
        <w:numPr>
          <w:ilvl w:val="0"/>
          <w:numId w:val="1175"/>
        </w:numPr>
      </w:pPr>
      <w:r>
        <w:t xml:space="preserve">Make sure your graph has a title that includes the comparison you are making (ex. WO vs HD)</w:t>
      </w:r>
    </w:p>
    <w:p>
      <w:pPr>
        <w:numPr>
          <w:ilvl w:val="0"/>
          <w:numId w:val="1175"/>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75"/>
        </w:numPr>
      </w:pPr>
      <w:r>
        <w:t xml:space="preserve">Use the code below as a template:</w:t>
      </w:r>
    </w:p>
    <w:p>
      <w:pPr>
        <w:pStyle w:val="SourceCode"/>
      </w:pPr>
      <w:r>
        <w:rPr>
          <w:rStyle w:val="CommentTok"/>
        </w:rPr>
        <w:t xml:space="preserve">#First, subset miso_counts object to only include older individuals over age 50</w:t>
      </w:r>
      <w:r>
        <w:br/>
      </w:r>
      <w:r>
        <w:rPr>
          <w:rStyle w:val="NormalTok"/>
        </w:rPr>
        <w:t xml:space="preserve">subset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&gt;</w:t>
      </w:r>
      <w:r>
        <w:rPr>
          <w:rStyle w:val="DecValTok"/>
        </w:rPr>
        <w:t xml:space="preserve">50</w:t>
      </w:r>
      <w:r>
        <w:rPr>
          <w:rStyle w:val="NormalTok"/>
        </w:rPr>
        <w:t xml:space="preserve">)</w:t>
      </w:r>
      <w:r>
        <w:br/>
      </w:r>
      <w:r>
        <w:br/>
      </w:r>
      <w:r>
        <w:rPr>
          <w:rStyle w:val="CommentTok"/>
        </w:rPr>
        <w:t xml:space="preserve"># STEP 1: Convert the phyloseq object to a DESeq2 object and specify experimental design</w:t>
      </w:r>
      <w:r>
        <w:br/>
      </w:r>
      <w:r>
        <w:rPr>
          <w:rStyle w:val="NormalTok"/>
        </w:rPr>
        <w:t xml:space="preserve">DESeq2_subset </w:t>
      </w:r>
      <w:r>
        <w:rPr>
          <w:rStyle w:val="OtherTok"/>
        </w:rPr>
        <w:t xml:space="preserve">&lt;-</w:t>
      </w:r>
      <w:r>
        <w:rPr>
          <w:rStyle w:val="NormalTok"/>
        </w:rPr>
        <w:t xml:space="preserve"> </w:t>
      </w:r>
      <w:r>
        <w:rPr>
          <w:rStyle w:val="FunctionTok"/>
        </w:rPr>
        <w:t xml:space="preserve">phyloseq_to_deseq2</w:t>
      </w:r>
      <w:r>
        <w:rPr>
          <w:rStyle w:val="NormalTok"/>
        </w:rPr>
        <w:t xml:space="preserve">(subset, </w:t>
      </w:r>
      <w:r>
        <w:rPr>
          <w:rStyle w:val="AttributeTok"/>
        </w:rPr>
        <w:t xml:space="preserve">design =</w:t>
      </w:r>
      <w:r>
        <w:rPr>
          <w:rStyle w:val="NormalTok"/>
        </w:rPr>
        <w:t xml:space="preserve"> </w:t>
      </w:r>
      <w:r>
        <w:rPr>
          <w:rStyle w:val="SpecialCharTok"/>
        </w:rPr>
        <w:t xml:space="preserve">~</w:t>
      </w:r>
      <w:r>
        <w:rPr>
          <w:rStyle w:val="NormalTok"/>
        </w:rPr>
        <w:t xml:space="preserve"> diet)</w:t>
      </w:r>
      <w:r>
        <w:br/>
      </w:r>
      <w:r>
        <w:br/>
      </w:r>
      <w:r>
        <w:rPr>
          <w:rStyle w:val="CommentTok"/>
        </w:rPr>
        <w:t xml:space="preserve"># STEP 2: Select the groups to compare, where the latter group is your baseline</w:t>
      </w:r>
      <w:r>
        <w:br/>
      </w:r>
      <w:r>
        <w:rPr>
          <w:rStyle w:val="NormalTok"/>
        </w:rPr>
        <w:t xml:space="preserve">comparison_subset </w:t>
      </w:r>
      <w:r>
        <w:rPr>
          <w:rStyle w:val="OtherTok"/>
        </w:rPr>
        <w:t xml:space="preserve">&lt;-</w:t>
      </w:r>
      <w:r>
        <w:rPr>
          <w:rStyle w:val="FunctionTok"/>
        </w:rPr>
        <w:t xml:space="preserve">c</w:t>
      </w:r>
      <w:r>
        <w:rPr>
          <w:rStyle w:val="NormalTok"/>
        </w:rPr>
        <w:t xml:space="preserve">(</w:t>
      </w:r>
      <w:r>
        <w:rPr>
          <w:rStyle w:val="StringTok"/>
        </w:rPr>
        <w:t xml:space="preserve">"diet"</w:t>
      </w:r>
      <w:r>
        <w:rPr>
          <w:rStyle w:val="NormalTok"/>
        </w:rPr>
        <w:t xml:space="preserve">, </w:t>
      </w:r>
      <w:r>
        <w:rPr>
          <w:rStyle w:val="StringTok"/>
        </w:rPr>
        <w:t xml:space="preserve">"HD"</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Significant_ASVs_subset </w:t>
      </w:r>
      <w:r>
        <w:rPr>
          <w:rStyle w:val="OtherTok"/>
        </w:rPr>
        <w:t xml:space="preserve">&lt;-</w:t>
      </w:r>
      <w:r>
        <w:rPr>
          <w:rStyle w:val="NormalTok"/>
        </w:rPr>
        <w:t xml:space="preserve"> </w:t>
      </w:r>
      <w:r>
        <w:rPr>
          <w:rStyle w:val="FunctionTok"/>
        </w:rPr>
        <w:t xml:space="preserve">Differential_Abundance</w:t>
      </w:r>
      <w:r>
        <w:rPr>
          <w:rStyle w:val="NormalTok"/>
        </w:rPr>
        <w:t xml:space="preserve">(miso_counts, DESeq2_subset, comparison_subset,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Significant_ASVs_subset</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(Significant_ASVs_subset, </w:t>
      </w:r>
      <w:r>
        <w:rPr>
          <w:rStyle w:val="FunctionTok"/>
        </w:rPr>
        <w:t xml:space="preserve">aes</w:t>
      </w:r>
      <w:r>
        <w:rPr>
          <w:rStyle w:val="NormalTok"/>
        </w:rPr>
        <w:t xml:space="preserve">(</w:t>
      </w:r>
      <w:r>
        <w:rPr>
          <w:rStyle w:val="AttributeTok"/>
        </w:rPr>
        <w:t xml:space="preserve">x =</w:t>
      </w:r>
      <w:r>
        <w:rPr>
          <w:rStyle w:val="NormalTok"/>
        </w:rPr>
        <w:t xml:space="preserve"> Phylum,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2B-3. Did a change in diet from BD to HD cause there to be a lot of changes in microbe abundance in older individuals?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2B-4. How do these results compare to the results when we looked at the entire dataset (2A-1)?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2B-5. When this analysis is repeated for a younger population (&lt;=50), 3 differentially abundant ASVs are found. Do you think there is a diet-age interaction? A reminder that an interaction would cause different age groups to react to the change in diet differently.</w:t>
            </w:r>
          </w:p>
        </w:tc>
      </w:tr>
      <w:tr>
        <w:tc>
          <w:tcPr/>
          <w:p>
            <w:pPr>
              <w:pStyle w:val="Compact"/>
              <w:jc w:val="left"/>
            </w:pPr>
          </w:p>
        </w:tc>
      </w:tr>
    </w:tbl>
    <w:bookmarkEnd w:id="358"/>
    <w:bookmarkStart w:id="361" w:name="footnotes-16"/>
    <w:p>
      <w:pPr>
        <w:pStyle w:val="Heading3"/>
      </w:pPr>
      <w:r>
        <w:rPr>
          <w:rStyle w:val="SectionNumber"/>
        </w:rPr>
        <w:t xml:space="preserve">5.7.4</w:t>
      </w:r>
      <w:r>
        <w:tab/>
      </w:r>
      <w:r>
        <w:t xml:space="preserve">Footnotes</w:t>
      </w:r>
    </w:p>
    <w:bookmarkStart w:id="359" w:name="resources-20"/>
    <w:p>
      <w:pPr>
        <w:pStyle w:val="Heading4"/>
      </w:pPr>
      <w:r>
        <w:rPr>
          <w:rStyle w:val="SectionNumber"/>
        </w:rPr>
        <w:t xml:space="preserve">5.7.4.1</w:t>
      </w:r>
      <w:r>
        <w:tab/>
      </w:r>
      <w:r>
        <w:t xml:space="preserve">Resources</w:t>
      </w:r>
    </w:p>
    <w:p>
      <w:pPr>
        <w:numPr>
          <w:ilvl w:val="0"/>
          <w:numId w:val="1176"/>
        </w:numPr>
        <w:pStyle w:val="Compact"/>
      </w:pPr>
      <w:hyperlink r:id="rId327">
        <w:r>
          <w:rPr>
            <w:rStyle w:val="Hyperlink"/>
          </w:rPr>
          <w:t xml:space="preserve">Google Doc</w:t>
        </w:r>
      </w:hyperlink>
    </w:p>
    <w:p>
      <w:pPr>
        <w:numPr>
          <w:ilvl w:val="0"/>
          <w:numId w:val="1176"/>
        </w:numPr>
        <w:pStyle w:val="Compact"/>
      </w:pPr>
      <w:hyperlink r:id="rId271">
        <w:r>
          <w:rPr>
            <w:rStyle w:val="Hyperlink"/>
          </w:rPr>
          <w:t xml:space="preserve">16S rRNA R Quick Reference</w:t>
        </w:r>
      </w:hyperlink>
    </w:p>
    <w:bookmarkEnd w:id="359"/>
    <w:bookmarkStart w:id="360" w:name="contributions-and-affiliations-16"/>
    <w:p>
      <w:pPr>
        <w:pStyle w:val="Heading4"/>
      </w:pPr>
      <w:r>
        <w:rPr>
          <w:rStyle w:val="SectionNumber"/>
        </w:rPr>
        <w:t xml:space="preserve">5.7.4.2</w:t>
      </w:r>
      <w:r>
        <w:tab/>
      </w:r>
      <w: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Gauri Paul, Clovis Community College</w:t>
      </w:r>
    </w:p>
    <w:p>
      <w:pPr>
        <w:numPr>
          <w:ilvl w:val="0"/>
          <w:numId w:val="1177"/>
        </w:numPr>
        <w:pStyle w:val="Compact"/>
      </w:pPr>
      <w:r>
        <w:t xml:space="preserve">Frederick Tan, Johns Hopkins University</w:t>
      </w:r>
    </w:p>
    <w:p>
      <w:pPr>
        <w:numPr>
          <w:ilvl w:val="0"/>
          <w:numId w:val="1177"/>
        </w:numPr>
        <w:pStyle w:val="Compact"/>
      </w:pPr>
      <w:r>
        <w:t xml:space="preserve">Sayumi York, Notre Dame of Maryland University</w:t>
      </w:r>
    </w:p>
    <w:bookmarkEnd w:id="360"/>
    <w:bookmarkEnd w:id="361"/>
    <w:bookmarkEnd w:id="362"/>
    <w:bookmarkEnd w:id="363"/>
    <w:bookmarkStart w:id="369"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 this lab is to gain practice in scientific communication, project exploration and work on your scientific poster!</w:t>
      </w:r>
    </w:p>
    <w:p>
      <w:pPr>
        <w:pStyle w:val="BodyText"/>
      </w:pPr>
      <w:r>
        <w:t xml:space="preserve">Learning Objectives</w:t>
      </w:r>
    </w:p>
    <w:p>
      <w:pPr>
        <w:numPr>
          <w:ilvl w:val="0"/>
          <w:numId w:val="1178"/>
        </w:numPr>
        <w:pStyle w:val="Compact"/>
      </w:pPr>
      <w:r>
        <w:t xml:space="preserve">Engage with the Scientific Process</w:t>
      </w:r>
    </w:p>
    <w:p>
      <w:pPr>
        <w:numPr>
          <w:ilvl w:val="0"/>
          <w:numId w:val="1178"/>
        </w:numPr>
        <w:pStyle w:val="Compact"/>
      </w:pPr>
      <w:r>
        <w:t xml:space="preserve">Communicate your findings</w:t>
      </w:r>
    </w:p>
    <w:p>
      <w:pPr>
        <w:numPr>
          <w:ilvl w:val="0"/>
          <w:numId w:val="1178"/>
        </w:numPr>
        <w:pStyle w:val="Compact"/>
      </w:pPr>
      <w:r>
        <w:t xml:space="preserve">Create an outline for further exploratory research</w:t>
      </w:r>
    </w:p>
    <w:p>
      <w:pPr>
        <w:numPr>
          <w:ilvl w:val="0"/>
          <w:numId w:val="1178"/>
        </w:numPr>
        <w:pStyle w:val="Compact"/>
      </w:pPr>
      <w:r>
        <w:t xml:space="preserve">Develop your plot images using R code</w:t>
      </w:r>
    </w:p>
    <w:p>
      <w:pPr>
        <w:pStyle w:val="FirstParagraph"/>
      </w:pPr>
      <w:r>
        <w:t xml:space="preserve">Introduction</w:t>
      </w:r>
    </w:p>
    <w:p>
      <w:pPr>
        <w:pStyle w:val="BodyText"/>
      </w:pPr>
      <w:r>
        <w:t xml:space="preserve">It’s time to begin working on your independent research projects! You have your choice of a few datasets, each which allows you to ask a different set of questions and examine different variables.</w:t>
      </w:r>
    </w:p>
    <w:p>
      <w:pPr>
        <w:pStyle w:val="BodyText"/>
      </w:pPr>
      <w:r>
        <w:t xml:space="preserve">Here’s a few ideas to get you started:</w:t>
      </w:r>
    </w:p>
    <w:p>
      <w:pPr>
        <w:numPr>
          <w:ilvl w:val="0"/>
          <w:numId w:val="1179"/>
        </w:numPr>
        <w:pStyle w:val="Compact"/>
      </w:pPr>
      <w:r>
        <w:t xml:space="preserve">Pre- and probiotic supplements have been gaining visibilty over time as the field next generation sequencing has grown. What taxa are included in popular supplements? Can you find them in these datasets and if so, how are they correlated with different conditions?</w:t>
      </w:r>
    </w:p>
    <w:p>
      <w:pPr>
        <w:numPr>
          <w:ilvl w:val="0"/>
          <w:numId w:val="1179"/>
        </w:numPr>
        <w:pStyle w:val="Compact"/>
      </w:pPr>
      <w:r>
        <w:t xml:space="preserve">Many disease states are reflected in the gut microbiome, even if they themselves are not gastrointestinal disorders. Think of some disease states that you’re interested in. What kinds of microbiome compositions do we see in different states and how is biodiversity impacted?</w:t>
      </w:r>
    </w:p>
    <w:p>
      <w:pPr>
        <w:numPr>
          <w:ilvl w:val="0"/>
          <w:numId w:val="1179"/>
        </w:numPr>
        <w:pStyle w:val="Compact"/>
      </w:pPr>
      <w:r>
        <w:t xml:space="preserve">While we often focus on the most common core microbes, some datasets have a wealth of rare taxa to explore and may be important to the host’s phenotype. Consider looking at a few less common microbes in more detail and see if one catches your eye.</w:t>
      </w:r>
    </w:p>
    <w:bookmarkStart w:id="364" w:name="X6fc4309e4204e5588f204be8374e0fe94806c0a"/>
    <w:p>
      <w:pPr>
        <w:pStyle w:val="Heading3"/>
      </w:pPr>
      <w:r>
        <w:rPr>
          <w:rStyle w:val="SectionNumber"/>
        </w:rPr>
        <w:t xml:space="preserve">6.0.1</w:t>
      </w:r>
      <w:r>
        <w:tab/>
      </w:r>
      <w:r>
        <w:t xml:space="preserve">Activity 1 – Use the project work module to come up with a research question</w:t>
      </w:r>
    </w:p>
    <w:p>
      <w:pPr>
        <w:pStyle w:val="FirstParagraph"/>
      </w:pPr>
      <w:r>
        <w:rPr>
          <w:iCs/>
          <w:i/>
        </w:rPr>
        <w:t xml:space="preserve">Estimated time: 90 minutes, however may vary greatly by research team</w:t>
      </w:r>
    </w:p>
    <w:p>
      <w:pPr>
        <w:numPr>
          <w:ilvl w:val="0"/>
          <w:numId w:val="1180"/>
        </w:numPr>
        <w:pStyle w:val="Compact"/>
      </w:pPr>
      <w:r>
        <w:t xml:space="preserve">Access the C-MOOR Tutorials</w:t>
      </w:r>
    </w:p>
    <w:p>
      <w:pPr>
        <w:numPr>
          <w:ilvl w:val="0"/>
          <w:numId w:val="1181"/>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181"/>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3-16s-project</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181"/>
        </w:numPr>
      </w:pPr>
      <w:r>
        <w:t xml:space="preserve">If you are using an alternative setup, follow the instructions provided by your instructor.</w:t>
      </w:r>
    </w:p>
    <w:p>
      <w:pPr>
        <w:numPr>
          <w:ilvl w:val="0"/>
          <w:numId w:val="1182"/>
        </w:numPr>
        <w:pStyle w:val="Compact"/>
      </w:pPr>
      <w:r>
        <w:t xml:space="preserve">Start the</w:t>
      </w:r>
      <w:r>
        <w:t xml:space="preserve"> </w:t>
      </w:r>
      <w:r>
        <w:t xml:space="preserve">“</w:t>
      </w:r>
      <w:r>
        <w:t xml:space="preserve">16S rRNA Human Gut Microbiome Project Work</w:t>
      </w:r>
      <w:r>
        <w:t xml:space="preserve">”</w:t>
      </w:r>
      <w:r>
        <w:t xml:space="preserve"> </w:t>
      </w:r>
      <w:r>
        <w:t xml:space="preserve">tutorial.</w:t>
      </w:r>
    </w:p>
    <w:p>
      <w:pPr>
        <w:numPr>
          <w:ilvl w:val="0"/>
          <w:numId w:val="1182"/>
        </w:numPr>
        <w:pStyle w:val="Compact"/>
      </w:pPr>
      <w:r>
        <w:t xml:space="preserve">This tutorial allows you to jump to different datasets and analyses of your choice and run short lines of code to analyze the data.</w:t>
      </w:r>
    </w:p>
    <w:p>
      <w:pPr>
        <w:numPr>
          <w:ilvl w:val="0"/>
          <w:numId w:val="1182"/>
        </w:numPr>
        <w:pStyle w:val="Compact"/>
      </w:pPr>
      <w:r>
        <w:t xml:space="preserve">Consult your research group and instructor as your research idea progresses until you’ve come up with a testable idea that everyone is satisfied with.</w:t>
      </w:r>
    </w:p>
    <w:bookmarkEnd w:id="364"/>
    <w:bookmarkStart w:id="368" w:name="footnotes-17"/>
    <w:p>
      <w:pPr>
        <w:pStyle w:val="Heading3"/>
      </w:pPr>
      <w:r>
        <w:rPr>
          <w:rStyle w:val="SectionNumber"/>
        </w:rPr>
        <w:t xml:space="preserve">6.0.2</w:t>
      </w:r>
      <w:r>
        <w:tab/>
      </w:r>
      <w:r>
        <w:t xml:space="preserve">Footnotes</w:t>
      </w:r>
    </w:p>
    <w:p>
      <w:pPr>
        <w:numPr>
          <w:ilvl w:val="0"/>
          <w:numId w:val="1183"/>
        </w:numPr>
        <w:pStyle w:val="Compact"/>
      </w:pPr>
      <w:hyperlink r:id="rId365">
        <w:r>
          <w:rPr>
            <w:rStyle w:val="Hyperlink"/>
          </w:rPr>
          <w:t xml:space="preserve">16S miniCURE Guide</w:t>
        </w:r>
      </w:hyperlink>
    </w:p>
    <w:bookmarkStart w:id="366" w:name="resources-21"/>
    <w:p>
      <w:pPr>
        <w:pStyle w:val="Heading4"/>
      </w:pPr>
      <w:r>
        <w:rPr>
          <w:rStyle w:val="SectionNumber"/>
        </w:rPr>
        <w:t xml:space="preserve">6.0.2.1</w:t>
      </w:r>
      <w:r>
        <w:tab/>
      </w:r>
      <w:r>
        <w:t xml:space="preserve">Resources</w:t>
      </w:r>
    </w:p>
    <w:bookmarkEnd w:id="366"/>
    <w:bookmarkStart w:id="367" w:name="contributions-and-affiliations-17"/>
    <w:p>
      <w:pPr>
        <w:pStyle w:val="Heading4"/>
      </w:pPr>
      <w:r>
        <w:rPr>
          <w:rStyle w:val="SectionNumber"/>
        </w:rPr>
        <w:t xml:space="preserve">6.0.2.2</w:t>
      </w:r>
      <w:r>
        <w:tab/>
      </w:r>
      <w:r>
        <w:t xml:space="preserve">Contributions and affiliations</w:t>
      </w:r>
    </w:p>
    <w:p>
      <w:pPr>
        <w:numPr>
          <w:ilvl w:val="0"/>
          <w:numId w:val="1184"/>
        </w:numPr>
        <w:pStyle w:val="Compact"/>
      </w:pPr>
      <w:r>
        <w:t xml:space="preserve">Valeriya Gaysinskaya, Johns Hopkins University</w:t>
      </w:r>
    </w:p>
    <w:p>
      <w:pPr>
        <w:numPr>
          <w:ilvl w:val="0"/>
          <w:numId w:val="1184"/>
        </w:numPr>
        <w:pStyle w:val="Compact"/>
      </w:pPr>
      <w:r>
        <w:t xml:space="preserve">Gauri Paul, Clovis Community College</w:t>
      </w:r>
    </w:p>
    <w:p>
      <w:pPr>
        <w:numPr>
          <w:ilvl w:val="0"/>
          <w:numId w:val="1184"/>
        </w:numPr>
        <w:pStyle w:val="Compact"/>
      </w:pPr>
      <w:r>
        <w:t xml:space="preserve">Gugulethu Sakana, Clovis Community College</w:t>
      </w:r>
    </w:p>
    <w:p>
      <w:pPr>
        <w:numPr>
          <w:ilvl w:val="0"/>
          <w:numId w:val="1184"/>
        </w:numPr>
        <w:pStyle w:val="Compact"/>
      </w:pPr>
      <w:r>
        <w:t xml:space="preserve">Frederick Tan, Johns Hopkins University</w:t>
      </w:r>
    </w:p>
    <w:p>
      <w:pPr>
        <w:numPr>
          <w:ilvl w:val="0"/>
          <w:numId w:val="1184"/>
        </w:numPr>
        <w:pStyle w:val="Compact"/>
      </w:pPr>
      <w:r>
        <w:t xml:space="preserve">Rosa Alcazar, Clovis Community College</w:t>
      </w:r>
    </w:p>
    <w:p>
      <w:pPr>
        <w:numPr>
          <w:ilvl w:val="0"/>
          <w:numId w:val="1184"/>
        </w:numPr>
        <w:pStyle w:val="Compact"/>
      </w:pPr>
      <w:r>
        <w:t xml:space="preserve">Stephanie Coffman, Clovis Community College</w:t>
      </w:r>
    </w:p>
    <w:p>
      <w:pPr>
        <w:numPr>
          <w:ilvl w:val="0"/>
          <w:numId w:val="1184"/>
        </w:numPr>
        <w:pStyle w:val="Compact"/>
      </w:pPr>
      <w:r>
        <w:t xml:space="preserve">Sayumi York, Notre Dame of Maryland University</w:t>
      </w:r>
    </w:p>
    <w:p>
      <w:pPr>
        <w:pStyle w:val="FirstParagraph"/>
      </w:pPr>
      <w:r>
        <w:t xml:space="preserve">Last Revised: June 5, 2026</w:t>
      </w:r>
    </w:p>
    <w:bookmarkEnd w:id="367"/>
    <w:bookmarkEnd w:id="368"/>
    <w:bookmarkEnd w:id="369"/>
    <w:bookmarkStart w:id="385" w:name="additional-datasets"/>
    <w:p>
      <w:pPr>
        <w:pStyle w:val="Heading1"/>
      </w:pPr>
      <w:r>
        <w:rPr>
          <w:rStyle w:val="SectionNumber"/>
        </w:rPr>
        <w:t xml:space="preserve">7</w:t>
      </w:r>
      <w:r>
        <w:tab/>
      </w:r>
      <w:r>
        <w:t xml:space="preserve">Additional Datasets</w:t>
      </w:r>
    </w:p>
    <w:bookmarkStart w:id="375" w:name="the-fefifo-study"/>
    <w:p>
      <w:pPr>
        <w:pStyle w:val="Heading3"/>
      </w:pPr>
      <w:r>
        <w:rPr>
          <w:rStyle w:val="SectionNumber"/>
        </w:rPr>
        <w:t xml:space="preserve">7.0.1</w:t>
      </w:r>
      <w:r>
        <w:tab/>
      </w:r>
      <w:r>
        <w:t xml:space="preserve">The FeFiFo Study</w:t>
      </w:r>
    </w:p>
    <w:p>
      <w:pPr>
        <w:pStyle w:val="FirstParagraph"/>
      </w:pPr>
      <w:r>
        <w:t xml:space="preserve">You have probably heard that some fermented foods like yogurt and cheese contain bacteria that help support a healthy gut. Likewise, fiber is known for positively impacting digestion (though you can also have too much of all of these foods).</w:t>
      </w:r>
    </w:p>
    <w:p>
      <w:pPr>
        <w:pStyle w:val="BodyText"/>
      </w:pPr>
      <w:r>
        <w:t xml:space="preserve">Wastyk et al. (2021) explored these foods further in their study</w:t>
      </w:r>
      <w:r>
        <w:t xml:space="preserve"> </w:t>
      </w:r>
      <w:hyperlink r:id="rId370">
        <w:r>
          <w:rPr>
            <w:rStyle w:val="Hyperlink"/>
            <w:iCs/>
            <w:i/>
          </w:rPr>
          <w:t xml:space="preserve">Gut-microbiota-targeted diets modulate human immune status</w:t>
        </w:r>
      </w:hyperlink>
      <w:r>
        <w:t xml:space="preserve"> </w:t>
      </w:r>
      <w:r>
        <w:t xml:space="preserve">We call this the FeFiFo study because the experimental design includes fermented and fiber-rich food treatment groups.</w:t>
      </w:r>
    </w:p>
    <w:p>
      <w:pPr>
        <w:pStyle w:val="BodyText"/>
      </w:pPr>
      <w:r>
        <w:drawing>
          <wp:inline>
            <wp:extent cx="5334000" cy="3000375"/>
            <wp:effectExtent b="0" l="0" r="0" t="0"/>
            <wp:docPr descr="" title="" id="372" name="Picture"/>
            <a:graphic>
              <a:graphicData uri="http://schemas.openxmlformats.org/drawingml/2006/picture">
                <pic:pic>
                  <pic:nvPicPr>
                    <pic:cNvPr descr="additional-datasets_files/figure-docx//1dEZtb0TgLbzhbr3HxQElwg8hENur2HMIzseg19OGd0g_g36eaabae9be_0_25.png" id="373" name="Picture"/>
                    <pic:cNvPicPr>
                      <a:picLocks noChangeArrowheads="1" noChangeAspect="1"/>
                    </pic:cNvPicPr>
                  </pic:nvPicPr>
                  <pic:blipFill>
                    <a:blip r:embed="rId3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researchers examined effect of either high fiber (n=18) or fermented foods on the gut microbiome (n=18). Rather than controlling diet entirely through standardized portions, participants were allowed to select what foods they ate so long as these foods were high in fiber or were fermented. Additional metadata was collected from participants including ethnicity, relationship status, employment status, and education level. Similarly to the MISO study, participants had a baseline diet before switching to an intervention diet and finally returned to being allowed to eat whatever they wanted.</w:t>
      </w:r>
    </w:p>
    <w:bookmarkStart w:id="374" w:name="some-questions-to-get-you-started"/>
    <w:p>
      <w:pPr>
        <w:pStyle w:val="Heading4"/>
      </w:pPr>
      <w:r>
        <w:rPr>
          <w:rStyle w:val="SectionNumber"/>
        </w:rPr>
        <w:t xml:space="preserve">7.0.1.1</w:t>
      </w:r>
      <w:r>
        <w:tab/>
      </w:r>
      <w:r>
        <w:t xml:space="preserve">Some questions to get you started</w:t>
      </w:r>
    </w:p>
    <w:p>
      <w:pPr>
        <w:numPr>
          <w:ilvl w:val="0"/>
          <w:numId w:val="1185"/>
        </w:numPr>
        <w:pStyle w:val="Compact"/>
      </w:pPr>
      <w:r>
        <w:t xml:space="preserve">How variable is the change of microbiome composition and alpha diversity across individuals? Do all individuals change the same amount or are there some individuals much more sensitive to their chosen food group?</w:t>
      </w:r>
    </w:p>
    <w:p>
      <w:pPr>
        <w:numPr>
          <w:ilvl w:val="0"/>
          <w:numId w:val="1185"/>
        </w:numPr>
        <w:pStyle w:val="Compact"/>
      </w:pPr>
      <w:r>
        <w:t xml:space="preserve">What are the most abundant microbes in each treatment (fiber, fermented)? Are they similar taxa or different?</w:t>
      </w:r>
    </w:p>
    <w:p>
      <w:pPr>
        <w:numPr>
          <w:ilvl w:val="0"/>
          <w:numId w:val="1185"/>
        </w:numPr>
        <w:pStyle w:val="Compact"/>
      </w:pPr>
      <w:r>
        <w:t xml:space="preserve">Is there any relationship between ethnicity, education, employment, relationship status and microbiome composition and/or alpha diversity?</w:t>
      </w:r>
    </w:p>
    <w:p>
      <w:pPr>
        <w:numPr>
          <w:ilvl w:val="0"/>
          <w:numId w:val="1185"/>
        </w:numPr>
        <w:pStyle w:val="Compact"/>
      </w:pPr>
      <w:r>
        <w:t xml:space="preserve">Are the subject’s microbiomes at a given timepoint similar to each other? Similar to other samples from the same subject no matter the timepoint?</w:t>
      </w:r>
    </w:p>
    <w:bookmarkEnd w:id="374"/>
    <w:bookmarkEnd w:id="375"/>
    <w:bookmarkStart w:id="381" w:name="alzheimers-dataset"/>
    <w:p>
      <w:pPr>
        <w:pStyle w:val="Heading3"/>
      </w:pPr>
      <w:r>
        <w:rPr>
          <w:rStyle w:val="SectionNumber"/>
        </w:rPr>
        <w:t xml:space="preserve">7.0.2</w:t>
      </w:r>
      <w:r>
        <w:tab/>
      </w:r>
      <w:r>
        <w:t xml:space="preserve">Alzheimer’s dataset</w:t>
      </w:r>
    </w:p>
    <w:p>
      <w:pPr>
        <w:pStyle w:val="FirstParagraph"/>
      </w:pPr>
      <w:r>
        <w:t xml:space="preserve">Our body requires our organs working in tandem and communicating with each other in order to function. One of the key relationships you may have heard of is the gut-brain axis, a bidirectional relationship between the gastrointestinal system and the central nervous system.</w:t>
      </w:r>
    </w:p>
    <w:p>
      <w:pPr>
        <w:pStyle w:val="BodyText"/>
      </w:pPr>
      <w:r>
        <w:drawing>
          <wp:inline>
            <wp:extent cx="5334000" cy="3000375"/>
            <wp:effectExtent b="0" l="0" r="0" t="0"/>
            <wp:docPr descr="" title="" id="377" name="Picture"/>
            <a:graphic>
              <a:graphicData uri="http://schemas.openxmlformats.org/drawingml/2006/picture">
                <pic:pic>
                  <pic:nvPicPr>
                    <pic:cNvPr descr="additional-datasets_files/figure-docx//1dEZtb0TgLbzhbr3HxQElwg8hENur2HMIzseg19OGd0g_g36eaabae9be_0_235.png" id="378" name="Picture"/>
                    <pic:cNvPicPr>
                      <a:picLocks noChangeArrowheads="1" noChangeAspect="1"/>
                    </pic:cNvPicPr>
                  </pic:nvPicPr>
                  <pic:blipFill>
                    <a:blip r:embed="rId3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explore this relationship within the specific context of a disease, we have a dataset from</w:t>
      </w:r>
      <w:r>
        <w:t xml:space="preserve"> </w:t>
      </w:r>
      <w:hyperlink r:id="rId379">
        <w:r>
          <w:rPr>
            <w:rStyle w:val="Hyperlink"/>
            <w:iCs/>
            <w:i/>
          </w:rPr>
          <w:t xml:space="preserve">Gut microbiota is altered in patients with Alzheimer’s disease</w:t>
        </w:r>
        <w:r>
          <w:rPr>
            <w:rStyle w:val="Hyperlink"/>
          </w:rPr>
          <w:t xml:space="preserve"> </w:t>
        </w:r>
        <w:r>
          <w:rPr>
            <w:rStyle w:val="Hyperlink"/>
          </w:rPr>
          <w:t xml:space="preserve">by Zhuang et al. (2018)</w:t>
        </w:r>
      </w:hyperlink>
      <w:r>
        <w:t xml:space="preserve">. This dataset was selected by a student from Clovis Community College and integrated into our curriculum! In this study researchers sequenced the gut microbiome from 43 patients with Alzheimer’s disease and 43 patients from age and sex matched controls. The metadata is more sparse than our other datasets, but a wealth of taxonomic information remains unanalyzed!</w:t>
      </w:r>
    </w:p>
    <w:p>
      <w:pPr>
        <w:pStyle w:val="BodyText"/>
      </w:pPr>
      <w:r>
        <w:t xml:space="preserve">As computational methods and biological databases have advanced in the nearly decade since, we reanalyzed the raw data from this study with a more recent database (SILVA 138.2). As such, you may find that your results are drastically different from the original study, and its possible that changes in our understanding of microbiology and the processed data may lead us to draw different conclusions than the original authors.</w:t>
      </w:r>
    </w:p>
    <w:bookmarkStart w:id="380" w:name="some-questions-to-get-you-started-1"/>
    <w:p>
      <w:pPr>
        <w:pStyle w:val="Heading4"/>
      </w:pPr>
      <w:r>
        <w:rPr>
          <w:rStyle w:val="SectionNumber"/>
        </w:rPr>
        <w:t xml:space="preserve">7.0.2.1</w:t>
      </w:r>
      <w:r>
        <w:tab/>
      </w:r>
      <w:r>
        <w:t xml:space="preserve">Some questions to get you started</w:t>
      </w:r>
    </w:p>
    <w:p>
      <w:pPr>
        <w:numPr>
          <w:ilvl w:val="0"/>
          <w:numId w:val="1186"/>
        </w:numPr>
        <w:pStyle w:val="Compact"/>
      </w:pPr>
      <w:r>
        <w:t xml:space="preserve">How similar are microbiomes between healthy and AD individuals in composition and/or alpha diversity?</w:t>
      </w:r>
    </w:p>
    <w:p>
      <w:pPr>
        <w:numPr>
          <w:ilvl w:val="0"/>
          <w:numId w:val="1186"/>
        </w:numPr>
        <w:pStyle w:val="Compact"/>
      </w:pPr>
      <w:r>
        <w:t xml:space="preserve">Looking at other published research studies, are the microbial taxa associated with AD also found in this study?</w:t>
      </w:r>
    </w:p>
    <w:p>
      <w:pPr>
        <w:numPr>
          <w:ilvl w:val="0"/>
          <w:numId w:val="1186"/>
        </w:numPr>
        <w:pStyle w:val="Compact"/>
      </w:pPr>
      <w:r>
        <w:t xml:space="preserve">Select a microbial taxa of interest (perhaps from the idea above) and explore it at increasing levels of resolution up to the level of species. Looking at other published research studies, what functions are these taxa associated with? Do they have any relation to AD or other neurodegenerative diseases?</w:t>
      </w:r>
    </w:p>
    <w:bookmarkEnd w:id="380"/>
    <w:bookmarkEnd w:id="381"/>
    <w:bookmarkStart w:id="384" w:name="footnotes-18"/>
    <w:p>
      <w:pPr>
        <w:pStyle w:val="Heading3"/>
      </w:pPr>
      <w:r>
        <w:rPr>
          <w:rStyle w:val="SectionNumber"/>
        </w:rPr>
        <w:t xml:space="preserve">7.0.3</w:t>
      </w:r>
      <w:r>
        <w:tab/>
      </w:r>
      <w:r>
        <w:t xml:space="preserve">Footnotes</w:t>
      </w:r>
    </w:p>
    <w:bookmarkStart w:id="382" w:name="resources-22"/>
    <w:p>
      <w:pPr>
        <w:pStyle w:val="Heading4"/>
      </w:pPr>
      <w:r>
        <w:rPr>
          <w:rStyle w:val="SectionNumber"/>
        </w:rPr>
        <w:t xml:space="preserve">7.0.3.1</w:t>
      </w:r>
      <w:r>
        <w:tab/>
      </w:r>
      <w:r>
        <w:t xml:space="preserve">Resources</w:t>
      </w:r>
    </w:p>
    <w:p>
      <w:pPr>
        <w:numPr>
          <w:ilvl w:val="0"/>
          <w:numId w:val="1187"/>
        </w:numPr>
        <w:pStyle w:val="Compact"/>
      </w:pPr>
      <w:hyperlink r:id="rId365">
        <w:r>
          <w:rPr>
            <w:rStyle w:val="Hyperlink"/>
          </w:rPr>
          <w:t xml:space="preserve">16S miniCURE Guide</w:t>
        </w:r>
      </w:hyperlink>
    </w:p>
    <w:p>
      <w:pPr>
        <w:numPr>
          <w:ilvl w:val="0"/>
          <w:numId w:val="1187"/>
        </w:numPr>
        <w:pStyle w:val="Compact"/>
      </w:pPr>
      <w:hyperlink r:id="rId370">
        <w:r>
          <w:rPr>
            <w:rStyle w:val="Hyperlink"/>
          </w:rPr>
          <w:t xml:space="preserve">Wastyk et al. 2021</w:t>
        </w:r>
      </w:hyperlink>
    </w:p>
    <w:p>
      <w:pPr>
        <w:numPr>
          <w:ilvl w:val="0"/>
          <w:numId w:val="1187"/>
        </w:numPr>
        <w:pStyle w:val="Compact"/>
      </w:pPr>
      <w:hyperlink r:id="rId379">
        <w:r>
          <w:rPr>
            <w:rStyle w:val="Hyperlink"/>
          </w:rPr>
          <w:t xml:space="preserve">Zhuang et al. 2018</w:t>
        </w:r>
      </w:hyperlink>
    </w:p>
    <w:bookmarkEnd w:id="382"/>
    <w:bookmarkStart w:id="383" w:name="contributions-and-affiliations-18"/>
    <w:p>
      <w:pPr>
        <w:pStyle w:val="Heading4"/>
      </w:pPr>
      <w:r>
        <w:rPr>
          <w:rStyle w:val="SectionNumber"/>
        </w:rPr>
        <w:t xml:space="preserve">7.0.3.2</w:t>
      </w:r>
      <w:r>
        <w:tab/>
      </w:r>
      <w:r>
        <w:t xml:space="preserve">Contributions and Affiliations</w:t>
      </w:r>
    </w:p>
    <w:p>
      <w:pPr>
        <w:numPr>
          <w:ilvl w:val="0"/>
          <w:numId w:val="1188"/>
        </w:numPr>
        <w:pStyle w:val="Compact"/>
      </w:pPr>
      <w:r>
        <w:t xml:space="preserve">Sayumi York, Notre Dame of Maryland University</w:t>
      </w:r>
    </w:p>
    <w:p>
      <w:pPr>
        <w:pStyle w:val="FirstParagraph"/>
      </w:pPr>
      <w:r>
        <w:t xml:space="preserve">Last Revised: June 5, 2026</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383"/>
    <w:bookmarkEnd w:id="384"/>
    <w:bookmarkEnd w:id="385"/>
    <w:bookmarkStart w:id="464" w:name="scientific-posters"/>
    <w:p>
      <w:pPr>
        <w:pStyle w:val="Heading1"/>
      </w:pPr>
      <w:r>
        <w:rPr>
          <w:rStyle w:val="SectionNumber"/>
        </w:rPr>
        <w:t xml:space="preserve">8</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18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190"/>
        </w:numPr>
        <w:pStyle w:val="Compact"/>
      </w:pPr>
      <w:r>
        <w:t xml:space="preserve">The Clovis Community College Research Day</w:t>
      </w:r>
    </w:p>
    <w:p>
      <w:pPr>
        <w:numPr>
          <w:ilvl w:val="1"/>
          <w:numId w:val="1190"/>
        </w:numPr>
        <w:pStyle w:val="Compact"/>
      </w:pPr>
      <w:r>
        <w:t xml:space="preserve">The Notre Dame of Maryland University Research Day</w:t>
      </w:r>
    </w:p>
    <w:p>
      <w:pPr>
        <w:numPr>
          <w:ilvl w:val="1"/>
          <w:numId w:val="1190"/>
        </w:numPr>
        <w:pStyle w:val="Compact"/>
      </w:pPr>
      <w:r>
        <w:t xml:space="preserve">The GRADS-4C Conference (2025)</w:t>
      </w:r>
    </w:p>
    <w:p>
      <w:pPr>
        <w:pStyle w:val="FirstParagraph"/>
      </w:pPr>
      <w:r>
        <w:drawing>
          <wp:inline>
            <wp:extent cx="5334000" cy="3000375"/>
            <wp:effectExtent b="0" l="0" r="0" t="0"/>
            <wp:docPr descr="" title="" id="387" name="Picture"/>
            <a:graphic>
              <a:graphicData uri="http://schemas.openxmlformats.org/drawingml/2006/picture">
                <pic:pic>
                  <pic:nvPicPr>
                    <pic:cNvPr descr="community-analysis-and-feedback_files/figure-docx//1dI8-_iVqbkzNMf11M4dK85E8ZW3OyZECs_YwMKw5fhs_g362974128df_0_0.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9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19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389">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19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390">
        <w:r>
          <w:rPr>
            <w:rStyle w:val="Hyperlink"/>
          </w:rPr>
          <w:t xml:space="preserve">poster on posters!</w:t>
        </w:r>
      </w:hyperlink>
    </w:p>
    <w:bookmarkStart w:id="439" w:name="making-a-group-poster"/>
    <w:p>
      <w:pPr>
        <w:pStyle w:val="Heading2"/>
      </w:pPr>
      <w:r>
        <w:rPr>
          <w:rStyle w:val="SectionNumber"/>
        </w:rPr>
        <w:t xml:space="preserve">8.1</w:t>
      </w:r>
      <w:r>
        <w:tab/>
      </w:r>
      <w:r>
        <w:t xml:space="preserve">Making a Group Poster</w:t>
      </w:r>
    </w:p>
    <w:bookmarkStart w:id="391" w:name="preparing-to-make-a-poster"/>
    <w:p>
      <w:pPr>
        <w:pStyle w:val="Heading3"/>
      </w:pPr>
      <w:r>
        <w:rPr>
          <w:rStyle w:val="SectionNumber"/>
        </w:rPr>
        <w:t xml:space="preserve">8.1.1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391"/>
    <w:bookmarkStart w:id="393" w:name="part-1---choose-a-template"/>
    <w:p>
      <w:pPr>
        <w:pStyle w:val="Heading3"/>
      </w:pPr>
      <w:r>
        <w:rPr>
          <w:rStyle w:val="SectionNumber"/>
        </w:rPr>
        <w:t xml:space="preserve">8.1.2</w:t>
      </w:r>
      <w:r>
        <w:tab/>
      </w:r>
      <w:r>
        <w:t xml:space="preserve">Part 1 - Choose a Template</w:t>
      </w:r>
    </w:p>
    <w:p>
      <w:pPr>
        <w:pStyle w:val="FirstParagraph"/>
      </w:pPr>
      <w:r>
        <w:rPr>
          <w:iCs/>
          <w:i/>
        </w:rPr>
        <w:t xml:space="preserve">Estimated time: 5 minutes</w:t>
      </w:r>
    </w:p>
    <w:p>
      <w:pPr>
        <w:numPr>
          <w:ilvl w:val="0"/>
          <w:numId w:val="1192"/>
        </w:numPr>
        <w:pStyle w:val="Compact"/>
      </w:pPr>
      <w:r>
        <w:t xml:space="preserve">With your group, open a suggested</w:t>
      </w:r>
      <w:r>
        <w:t xml:space="preserve"> </w:t>
      </w:r>
      <w:hyperlink r:id="rId392">
        <w:r>
          <w:rPr>
            <w:rStyle w:val="Hyperlink"/>
          </w:rPr>
          <w:t xml:space="preserve">poster template</w:t>
        </w:r>
      </w:hyperlink>
      <w:r>
        <w:t xml:space="preserve"> </w:t>
      </w:r>
      <w:r>
        <w:t xml:space="preserve">to use for your poster.</w:t>
      </w:r>
    </w:p>
    <w:p>
      <w:pPr>
        <w:numPr>
          <w:ilvl w:val="0"/>
          <w:numId w:val="1192"/>
        </w:numPr>
        <w:pStyle w:val="Compact"/>
      </w:pPr>
      <w:r>
        <w:t xml:space="preserve">Discuss with your group how you will divide up the work and exchange important information (e.g. phone numbers, email). Consider the following sections:</w:t>
      </w:r>
    </w:p>
    <w:p>
      <w:pPr>
        <w:numPr>
          <w:ilvl w:val="0"/>
          <w:numId w:val="1193"/>
        </w:numPr>
        <w:pStyle w:val="Compact"/>
      </w:pPr>
      <w:r>
        <w:t xml:space="preserve">Abstract/Introduction</w:t>
      </w:r>
    </w:p>
    <w:p>
      <w:pPr>
        <w:numPr>
          <w:ilvl w:val="0"/>
          <w:numId w:val="1193"/>
        </w:numPr>
        <w:pStyle w:val="Compact"/>
      </w:pPr>
      <w:r>
        <w:t xml:space="preserve">Methods</w:t>
      </w:r>
    </w:p>
    <w:p>
      <w:pPr>
        <w:numPr>
          <w:ilvl w:val="0"/>
          <w:numId w:val="1193"/>
        </w:numPr>
        <w:pStyle w:val="Compact"/>
      </w:pPr>
      <w:r>
        <w:t xml:space="preserve">Results</w:t>
      </w:r>
    </w:p>
    <w:p>
      <w:pPr>
        <w:numPr>
          <w:ilvl w:val="0"/>
          <w:numId w:val="1193"/>
        </w:numPr>
        <w:pStyle w:val="Compact"/>
      </w:pPr>
      <w:r>
        <w:t xml:space="preserve">Conclusions/Discussion</w:t>
      </w:r>
    </w:p>
    <w:p>
      <w:pPr>
        <w:numPr>
          <w:ilvl w:val="0"/>
          <w:numId w:val="1193"/>
        </w:numPr>
        <w:pStyle w:val="Compact"/>
      </w:pPr>
      <w:r>
        <w:t xml:space="preserve">References</w:t>
      </w:r>
    </w:p>
    <w:p>
      <w:pPr>
        <w:numPr>
          <w:ilvl w:val="0"/>
          <w:numId w:val="1193"/>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393"/>
    <w:bookmarkStart w:id="431" w:name="X9dd2b8024e6c3fdd878c8e33fa6eaacd3888b94"/>
    <w:p>
      <w:pPr>
        <w:pStyle w:val="Heading3"/>
      </w:pPr>
      <w:r>
        <w:rPr>
          <w:rStyle w:val="SectionNumber"/>
        </w:rPr>
        <w:t xml:space="preserve">8.1.3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397" w:name="X617250bed78d561e84c31c5ecdd196317cafb67"/>
    <w:p>
      <w:pPr>
        <w:pStyle w:val="Heading4"/>
      </w:pPr>
      <w:r>
        <w:rPr>
          <w:rStyle w:val="SectionNumber"/>
        </w:rPr>
        <w:t xml:space="preserve">8.1.3.1</w:t>
      </w:r>
      <w:r>
        <w:tab/>
      </w:r>
      <w:r>
        <w:t xml:space="preserve">The header: title, authors, and affiliations</w:t>
      </w:r>
    </w:p>
    <w:p>
      <w:pPr>
        <w:pStyle w:val="FirstParagraph"/>
      </w:pPr>
      <w:r>
        <w:drawing>
          <wp:inline>
            <wp:extent cx="5334000" cy="3000375"/>
            <wp:effectExtent b="0" l="0" r="0" t="0"/>
            <wp:docPr descr="" title="" id="395" name="Picture"/>
            <a:graphic>
              <a:graphicData uri="http://schemas.openxmlformats.org/drawingml/2006/picture">
                <pic:pic>
                  <pic:nvPicPr>
                    <pic:cNvPr descr="community-analysis-and-feedback_files/figure-docx//1hYKF7Ss3vJ8rrUIH7ByNh1BUlRa2fhsJhq8MXzEowCc_g33d6e3b928f_0_67.png" id="396" name="Picture"/>
                    <pic:cNvPicPr>
                      <a:picLocks noChangeArrowheads="1" noChangeAspect="1"/>
                    </pic:cNvPicPr>
                  </pic:nvPicPr>
                  <pic:blipFill>
                    <a:blip r:embed="rId3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19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194"/>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195"/>
        </w:numPr>
        <w:pStyle w:val="Compact"/>
      </w:pPr>
      <w:r>
        <w:t xml:space="preserve">The title of the poster describes the main result of your research</w:t>
      </w:r>
    </w:p>
    <w:p>
      <w:pPr>
        <w:numPr>
          <w:ilvl w:val="0"/>
          <w:numId w:val="1195"/>
        </w:numPr>
        <w:pStyle w:val="Compact"/>
      </w:pPr>
      <w:r>
        <w:t xml:space="preserve">The title of the poster does not overstate the findings or significance of your research</w:t>
      </w:r>
    </w:p>
    <w:bookmarkEnd w:id="397"/>
    <w:bookmarkStart w:id="401" w:name="abstract"/>
    <w:p>
      <w:pPr>
        <w:pStyle w:val="Heading4"/>
      </w:pPr>
      <w:r>
        <w:rPr>
          <w:rStyle w:val="SectionNumber"/>
        </w:rPr>
        <w:t xml:space="preserve">8.1.3.2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399" name="Picture"/>
            <a:graphic>
              <a:graphicData uri="http://schemas.openxmlformats.org/drawingml/2006/picture">
                <pic:pic>
                  <pic:nvPicPr>
                    <pic:cNvPr descr="community-analysis-and-feedback_files/figure-docx//1dI8-_iVqbkzNMf11M4dK85E8ZW3OyZECs_YwMKw5fhs_g36d8202a6d3_0_0.png" id="400" name="Picture"/>
                    <pic:cNvPicPr>
                      <a:picLocks noChangeArrowheads="1" noChangeAspect="1"/>
                    </pic:cNvPicPr>
                  </pic:nvPicPr>
                  <pic:blipFill>
                    <a:blip r:embed="rId3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196"/>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197"/>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198"/>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199"/>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401"/>
    <w:bookmarkStart w:id="408" w:name="introduction-9"/>
    <w:p>
      <w:pPr>
        <w:pStyle w:val="Heading4"/>
      </w:pPr>
      <w:r>
        <w:rPr>
          <w:rStyle w:val="SectionNumber"/>
        </w:rPr>
        <w:t xml:space="preserve">8.1.3.3</w:t>
      </w:r>
      <w:r>
        <w:tab/>
      </w:r>
      <w:r>
        <w:t xml:space="preserve">Introduction</w:t>
      </w:r>
    </w:p>
    <w:p>
      <w:pPr>
        <w:pStyle w:val="FirstParagraph"/>
      </w:pPr>
      <w:r>
        <w:drawing>
          <wp:inline>
            <wp:extent cx="5334000" cy="3000375"/>
            <wp:effectExtent b="0" l="0" r="0" t="0"/>
            <wp:docPr descr="" title="" id="403" name="Picture"/>
            <a:graphic>
              <a:graphicData uri="http://schemas.openxmlformats.org/drawingml/2006/picture">
                <pic:pic>
                  <pic:nvPicPr>
                    <pic:cNvPr descr="community-analysis-and-feedback_files/figure-docx//1dI8-_iVqbkzNMf11M4dK85E8ZW3OyZECs_YwMKw5fhs_g362974128df_0_18.png" id="404" name="Picture"/>
                    <pic:cNvPicPr>
                      <a:picLocks noChangeArrowheads="1" noChangeAspect="1"/>
                    </pic:cNvPicPr>
                  </pic:nvPicPr>
                  <pic:blipFill>
                    <a:blip r:embed="rId4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200"/>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406" name="Picture"/>
            <a:graphic>
              <a:graphicData uri="http://schemas.openxmlformats.org/drawingml/2006/picture">
                <pic:pic>
                  <pic:nvPicPr>
                    <pic:cNvPr descr="community-analysis-and-feedback_files/figure-docx//1hYKF7Ss3vJ8rrUIH7ByNh1BUlRa2fhsJhq8MXzEowCc_g33d6e3b928f_0_149.png" id="407" name="Picture"/>
                    <pic:cNvPicPr>
                      <a:picLocks noChangeArrowheads="1" noChangeAspect="1"/>
                    </pic:cNvPicPr>
                  </pic:nvPicPr>
                  <pic:blipFill>
                    <a:blip r:embed="rId405"/>
                    <a:stretch>
                      <a:fillRect/>
                    </a:stretch>
                  </pic:blipFill>
                  <pic:spPr bwMode="auto">
                    <a:xfrm>
                      <a:off x="0" y="0"/>
                      <a:ext cx="5334000" cy="3000375"/>
                    </a:xfrm>
                    <a:prstGeom prst="rect">
                      <a:avLst/>
                    </a:prstGeom>
                    <a:noFill/>
                    <a:ln w="9525">
                      <a:noFill/>
                      <a:headEnd/>
                      <a:tailEnd/>
                    </a:ln>
                  </pic:spPr>
                </pic:pic>
              </a:graphicData>
            </a:graphic>
          </wp:inline>
        </w:drawing>
      </w:r>
    </w:p>
    <w:bookmarkEnd w:id="408"/>
    <w:bookmarkStart w:id="412" w:name="materials-and-methods"/>
    <w:p>
      <w:pPr>
        <w:pStyle w:val="Heading4"/>
      </w:pPr>
      <w:r>
        <w:rPr>
          <w:rStyle w:val="SectionNumber"/>
        </w:rPr>
        <w:t xml:space="preserve">8.1.3.4</w:t>
      </w:r>
      <w:r>
        <w:tab/>
      </w:r>
      <w:r>
        <w:t xml:space="preserve">Materials and Methods</w:t>
      </w:r>
    </w:p>
    <w:p>
      <w:pPr>
        <w:pStyle w:val="FirstParagraph"/>
      </w:pPr>
      <w:r>
        <w:drawing>
          <wp:inline>
            <wp:extent cx="5334000" cy="3000375"/>
            <wp:effectExtent b="0" l="0" r="0" t="0"/>
            <wp:docPr descr="" title="" id="410" name="Picture"/>
            <a:graphic>
              <a:graphicData uri="http://schemas.openxmlformats.org/drawingml/2006/picture">
                <pic:pic>
                  <pic:nvPicPr>
                    <pic:cNvPr descr="community-analysis-and-feedback_files/figure-docx//1hYKF7Ss3vJ8rrUIH7ByNh1BUlRa2fhsJhq8MXzEowCc_g33d6e3b928f_1_1.png" id="411" name="Picture"/>
                    <pic:cNvPicPr>
                      <a:picLocks noChangeArrowheads="1" noChangeAspect="1"/>
                    </pic:cNvPicPr>
                  </pic:nvPicPr>
                  <pic:blipFill>
                    <a:blip r:embed="rId4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412"/>
    <w:bookmarkStart w:id="416" w:name="results"/>
    <w:p>
      <w:pPr>
        <w:pStyle w:val="Heading4"/>
      </w:pPr>
      <w:r>
        <w:rPr>
          <w:rStyle w:val="SectionNumber"/>
        </w:rPr>
        <w:t xml:space="preserve">8.1.3.5</w:t>
      </w:r>
      <w:r>
        <w:tab/>
      </w:r>
      <w:r>
        <w:t xml:space="preserve">Results</w:t>
      </w:r>
    </w:p>
    <w:p>
      <w:pPr>
        <w:pStyle w:val="FirstParagraph"/>
      </w:pPr>
      <w:r>
        <w:drawing>
          <wp:inline>
            <wp:extent cx="5334000" cy="3000375"/>
            <wp:effectExtent b="0" l="0" r="0" t="0"/>
            <wp:docPr descr="" title="" id="414" name="Picture"/>
            <a:graphic>
              <a:graphicData uri="http://schemas.openxmlformats.org/drawingml/2006/picture">
                <pic:pic>
                  <pic:nvPicPr>
                    <pic:cNvPr descr="community-analysis-and-feedback_files/figure-docx//1hYKF7Ss3vJ8rrUIH7ByNh1BUlRa2fhsJhq8MXzEowCc_g33d6e3b928f_0_6.png" id="415" name="Picture"/>
                    <pic:cNvPicPr>
                      <a:picLocks noChangeArrowheads="1" noChangeAspect="1"/>
                    </pic:cNvPicPr>
                  </pic:nvPicPr>
                  <pic:blipFill>
                    <a:blip r:embed="rId4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01"/>
        </w:numPr>
        <w:pStyle w:val="Compact"/>
      </w:pPr>
      <w:r>
        <w:t xml:space="preserve">Has high resolution images, well spaced and labeled parts and text.</w:t>
      </w:r>
    </w:p>
    <w:p>
      <w:pPr>
        <w:numPr>
          <w:ilvl w:val="0"/>
          <w:numId w:val="1201"/>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02"/>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02"/>
        </w:numPr>
        <w:pStyle w:val="Compact"/>
      </w:pPr>
      <w:r>
        <w:t xml:space="preserve">The legend should be in a smaller font than the main text on the poster.</w:t>
      </w:r>
    </w:p>
    <w:p>
      <w:pPr>
        <w:numPr>
          <w:ilvl w:val="0"/>
          <w:numId w:val="1202"/>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02"/>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03"/>
        </w:numPr>
        <w:pStyle w:val="Compact"/>
      </w:pPr>
      <w:r>
        <w:t xml:space="preserve">Figures and Tables can have additional (optional) text. E.g.an optional text can describe the findings of the figure upfront to engage.</w:t>
      </w:r>
    </w:p>
    <w:p>
      <w:pPr>
        <w:numPr>
          <w:ilvl w:val="0"/>
          <w:numId w:val="1203"/>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03"/>
        </w:numPr>
        <w:pStyle w:val="Compact"/>
      </w:pPr>
      <w:r>
        <w:t xml:space="preserve">Bullet pointed text that summarizes the main findings of the figures/tables.</w:t>
      </w:r>
    </w:p>
    <w:bookmarkEnd w:id="416"/>
    <w:bookmarkStart w:id="420" w:name="conclusionsdiscussion"/>
    <w:p>
      <w:pPr>
        <w:pStyle w:val="Heading4"/>
      </w:pPr>
      <w:r>
        <w:rPr>
          <w:rStyle w:val="SectionNumber"/>
        </w:rPr>
        <w:t xml:space="preserve">8.1.3.6</w:t>
      </w:r>
      <w:r>
        <w:tab/>
      </w:r>
      <w:r>
        <w:t xml:space="preserve">Conclusions/Discussion</w:t>
      </w:r>
    </w:p>
    <w:p>
      <w:pPr>
        <w:pStyle w:val="FirstParagraph"/>
      </w:pPr>
      <w:r>
        <w:drawing>
          <wp:inline>
            <wp:extent cx="5334000" cy="3000375"/>
            <wp:effectExtent b="0" l="0" r="0" t="0"/>
            <wp:docPr descr="" title="" id="418" name="Picture"/>
            <a:graphic>
              <a:graphicData uri="http://schemas.openxmlformats.org/drawingml/2006/picture">
                <pic:pic>
                  <pic:nvPicPr>
                    <pic:cNvPr descr="community-analysis-and-feedback_files/figure-docx//1dI8-_iVqbkzNMf11M4dK85E8ZW3OyZECs_YwMKw5fhs_g362974128df_0_52.png" id="419" name="Picture"/>
                    <pic:cNvPicPr>
                      <a:picLocks noChangeArrowheads="1" noChangeAspect="1"/>
                    </pic:cNvPicPr>
                  </pic:nvPicPr>
                  <pic:blipFill>
                    <a:blip r:embed="rId4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04"/>
        </w:numPr>
        <w:pStyle w:val="Compact"/>
      </w:pPr>
      <w:r>
        <w:t xml:space="preserve">What do your results mean?</w:t>
      </w:r>
    </w:p>
    <w:p>
      <w:pPr>
        <w:numPr>
          <w:ilvl w:val="0"/>
          <w:numId w:val="1204"/>
        </w:numPr>
        <w:pStyle w:val="Compact"/>
      </w:pPr>
      <w:r>
        <w:t xml:space="preserve">How do they fit into the bigger picture?</w:t>
      </w:r>
    </w:p>
    <w:p>
      <w:pPr>
        <w:numPr>
          <w:ilvl w:val="0"/>
          <w:numId w:val="1204"/>
        </w:numPr>
        <w:pStyle w:val="Compact"/>
      </w:pPr>
      <w:r>
        <w:t xml:space="preserve">If any experiments did not give expected results, hypothesize why that might have been the case and propose alternate experiments that could confirm or clarify your results.</w:t>
      </w:r>
    </w:p>
    <w:p>
      <w:pPr>
        <w:numPr>
          <w:ilvl w:val="0"/>
          <w:numId w:val="1204"/>
        </w:numPr>
        <w:pStyle w:val="Compact"/>
      </w:pPr>
      <w:r>
        <w:t xml:space="preserve">Include at least one sentence of future work that you would do if you had more time or what students in upcoming semesters could do to continue to answer your questions.</w:t>
      </w:r>
    </w:p>
    <w:bookmarkEnd w:id="420"/>
    <w:bookmarkStart w:id="426" w:name="references"/>
    <w:p>
      <w:pPr>
        <w:pStyle w:val="Heading4"/>
      </w:pPr>
      <w:r>
        <w:rPr>
          <w:rStyle w:val="SectionNumber"/>
        </w:rPr>
        <w:t xml:space="preserve">8.1.3.7</w:t>
      </w:r>
      <w:r>
        <w:tab/>
      </w:r>
      <w:r>
        <w:t xml:space="preserve">References</w:t>
      </w:r>
    </w:p>
    <w:p>
      <w:pPr>
        <w:pStyle w:val="FirstParagraph"/>
      </w:pPr>
      <w:r>
        <w:drawing>
          <wp:inline>
            <wp:extent cx="5334000" cy="3000375"/>
            <wp:effectExtent b="0" l="0" r="0" t="0"/>
            <wp:docPr descr="" title="" id="422" name="Picture"/>
            <a:graphic>
              <a:graphicData uri="http://schemas.openxmlformats.org/drawingml/2006/picture">
                <pic:pic>
                  <pic:nvPicPr>
                    <pic:cNvPr descr="community-analysis-and-feedback_files/figure-docx//1dI8-_iVqbkzNMf11M4dK85E8ZW3OyZECs_YwMKw5fhs_g362974128df_0_80.png" id="423" name="Picture"/>
                    <pic:cNvPicPr>
                      <a:picLocks noChangeArrowheads="1" noChangeAspect="1"/>
                    </pic:cNvPicPr>
                  </pic:nvPicPr>
                  <pic:blipFill>
                    <a:blip r:embed="rId4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424">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425">
        <w:r>
          <w:rPr>
            <w:rStyle w:val="Hyperlink"/>
          </w:rPr>
          <w:t xml:space="preserve">doi:10.7554/eLife.00886</w:t>
        </w:r>
      </w:hyperlink>
    </w:p>
    <w:bookmarkEnd w:id="426"/>
    <w:bookmarkStart w:id="430" w:name="acknowledgements"/>
    <w:p>
      <w:pPr>
        <w:pStyle w:val="Heading4"/>
      </w:pPr>
      <w:r>
        <w:rPr>
          <w:rStyle w:val="SectionNumber"/>
        </w:rPr>
        <w:t xml:space="preserve">8.1.3.8</w:t>
      </w:r>
      <w:r>
        <w:tab/>
      </w:r>
      <w:r>
        <w:t xml:space="preserve">Acknowledgements</w:t>
      </w:r>
    </w:p>
    <w:p>
      <w:pPr>
        <w:pStyle w:val="FirstParagraph"/>
      </w:pPr>
      <w:r>
        <w:drawing>
          <wp:inline>
            <wp:extent cx="5334000" cy="3000375"/>
            <wp:effectExtent b="0" l="0" r="0" t="0"/>
            <wp:docPr descr="" title="" id="428" name="Picture"/>
            <a:graphic>
              <a:graphicData uri="http://schemas.openxmlformats.org/drawingml/2006/picture">
                <pic:pic>
                  <pic:nvPicPr>
                    <pic:cNvPr descr="community-analysis-and-feedback_files/figure-docx//1dI8-_iVqbkzNMf11M4dK85E8ZW3OyZECs_YwMKw5fhs_g362974128df_0_30.png" id="429" name="Picture"/>
                    <pic:cNvPicPr>
                      <a:picLocks noChangeArrowheads="1" noChangeAspect="1"/>
                    </pic:cNvPicPr>
                  </pic:nvPicPr>
                  <pic:blipFill>
                    <a:blip r:embed="rId4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430"/>
    <w:bookmarkEnd w:id="431"/>
    <w:bookmarkStart w:id="432" w:name="part-3---proofread-and-add-final-touches"/>
    <w:p>
      <w:pPr>
        <w:pStyle w:val="Heading3"/>
      </w:pPr>
      <w:r>
        <w:rPr>
          <w:rStyle w:val="SectionNumber"/>
        </w:rPr>
        <w:t xml:space="preserve">8.1.4</w:t>
      </w:r>
      <w:r>
        <w:tab/>
      </w:r>
      <w:r>
        <w:t xml:space="preserve">Part 3 - Proofread and Add Final Touches</w:t>
      </w:r>
    </w:p>
    <w:p>
      <w:pPr>
        <w:pStyle w:val="FirstParagraph"/>
      </w:pPr>
      <w:r>
        <w:rPr>
          <w:iCs/>
          <w:i/>
        </w:rPr>
        <w:t xml:space="preserve">Estimated time: 30 min to an hour</w:t>
      </w:r>
    </w:p>
    <w:p>
      <w:pPr>
        <w:numPr>
          <w:ilvl w:val="0"/>
          <w:numId w:val="1205"/>
        </w:numPr>
        <w:pStyle w:val="Compact"/>
      </w:pPr>
      <w:r>
        <w:t xml:space="preserve">Each group member should re-read the poster from beginning to end and fix any typos or grammatical errors.</w:t>
      </w:r>
    </w:p>
    <w:p>
      <w:pPr>
        <w:numPr>
          <w:ilvl w:val="0"/>
          <w:numId w:val="1205"/>
        </w:numPr>
        <w:pStyle w:val="Compact"/>
      </w:pPr>
      <w:r>
        <w:t xml:space="preserve">Check the alignment of figures, text boxes, titles, etc.</w:t>
      </w:r>
    </w:p>
    <w:p>
      <w:pPr>
        <w:numPr>
          <w:ilvl w:val="0"/>
          <w:numId w:val="1205"/>
        </w:numPr>
        <w:pStyle w:val="Compact"/>
      </w:pPr>
      <w:r>
        <w:t xml:space="preserve">Add some finishing touches. You can play with the color, the font, add additional images if it’s relevant.</w:t>
      </w:r>
    </w:p>
    <w:bookmarkEnd w:id="432"/>
    <w:bookmarkStart w:id="438" w:name="part-4---canvas-discussion"/>
    <w:p>
      <w:pPr>
        <w:pStyle w:val="Heading3"/>
      </w:pPr>
      <w:r>
        <w:rPr>
          <w:rStyle w:val="SectionNumber"/>
        </w:rPr>
        <w:t xml:space="preserve">8.1.5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06"/>
        </w:numPr>
        <w:pStyle w:val="Compact"/>
      </w:pPr>
      <w:r>
        <w:t xml:space="preserve">Convert your poster to a pdf.</w:t>
      </w:r>
    </w:p>
    <w:p>
      <w:pPr>
        <w:numPr>
          <w:ilvl w:val="0"/>
          <w:numId w:val="1206"/>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06"/>
        </w:numPr>
        <w:pStyle w:val="Compact"/>
      </w:pPr>
      <w:r>
        <w:t xml:space="preserve">Have one member of your group post a pdf of your poster in the Canvas C-MOOR Poster Discussion.</w:t>
      </w:r>
    </w:p>
    <w:p>
      <w:pPr>
        <w:numPr>
          <w:ilvl w:val="1"/>
          <w:numId w:val="1207"/>
        </w:numPr>
        <w:pStyle w:val="Compact"/>
      </w:pPr>
      <w:r>
        <w:t xml:space="preserve">With your poster, introduce your group members and copy and paste your abstract into the post.</w:t>
      </w:r>
    </w:p>
    <w:p>
      <w:pPr>
        <w:numPr>
          <w:ilvl w:val="1"/>
          <w:numId w:val="1207"/>
        </w:numPr>
        <w:pStyle w:val="Compact"/>
      </w:pPr>
      <w:r>
        <w:t xml:space="preserve">Insert your pdf into the post and edit the link so that it automatically shows the inline preview. This will make it easier for students to view your poster.</w:t>
      </w:r>
    </w:p>
    <w:p>
      <w:pPr>
        <w:numPr>
          <w:ilvl w:val="0"/>
          <w:numId w:val="1206"/>
        </w:numPr>
        <w:pStyle w:val="Compact"/>
      </w:pPr>
      <w:r>
        <w:t xml:space="preserve">As an individual, read through the other posters from different groups.</w:t>
      </w:r>
    </w:p>
    <w:p>
      <w:pPr>
        <w:numPr>
          <w:ilvl w:val="0"/>
          <w:numId w:val="1206"/>
        </w:numPr>
        <w:pStyle w:val="Compact"/>
      </w:pPr>
      <w:r>
        <w:t xml:space="preserve">Post comments</w:t>
      </w:r>
    </w:p>
    <w:bookmarkStart w:id="433" w:name="grading-criteria-9"/>
    <w:p>
      <w:pPr>
        <w:pStyle w:val="Heading4"/>
      </w:pPr>
      <w:r>
        <w:rPr>
          <w:rStyle w:val="SectionNumber"/>
        </w:rPr>
        <w:t xml:space="preserve">8.1.5.1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433"/>
    <w:bookmarkStart w:id="437" w:name="footnotes-19"/>
    <w:p>
      <w:pPr>
        <w:pStyle w:val="Heading4"/>
      </w:pPr>
      <w:r>
        <w:rPr>
          <w:rStyle w:val="SectionNumber"/>
        </w:rPr>
        <w:t xml:space="preserve">8.1.5.2</w:t>
      </w:r>
      <w:r>
        <w:tab/>
      </w:r>
      <w:r>
        <w:t xml:space="preserve">Footnotes</w:t>
      </w:r>
    </w:p>
    <w:p>
      <w:pPr>
        <w:pStyle w:val="FirstParagraph"/>
      </w:pPr>
      <w:r>
        <w:rPr>
          <w:bCs/>
          <w:b/>
        </w:rPr>
        <w:t xml:space="preserve">Resources</w:t>
      </w:r>
    </w:p>
    <w:p>
      <w:pPr>
        <w:numPr>
          <w:ilvl w:val="0"/>
          <w:numId w:val="1208"/>
        </w:numPr>
        <w:pStyle w:val="Compact"/>
      </w:pPr>
      <w:r>
        <w:t xml:space="preserve">[Google Doc]</w:t>
      </w:r>
    </w:p>
    <w:p>
      <w:pPr>
        <w:numPr>
          <w:ilvl w:val="0"/>
          <w:numId w:val="1208"/>
        </w:numPr>
        <w:pStyle w:val="Compact"/>
      </w:pPr>
      <w:hyperlink r:id="rId434">
        <w:r>
          <w:rPr>
            <w:rStyle w:val="Hyperlink"/>
          </w:rPr>
          <w:t xml:space="preserve">Generic rubric</w:t>
        </w:r>
      </w:hyperlink>
    </w:p>
    <w:p>
      <w:pPr>
        <w:pStyle w:val="FirstParagraph"/>
      </w:pPr>
      <w:r>
        <w:rPr>
          <w:bCs/>
          <w:b/>
        </w:rPr>
        <w:t xml:space="preserve">References</w:t>
      </w:r>
    </w:p>
    <w:p>
      <w:pPr>
        <w:numPr>
          <w:ilvl w:val="0"/>
          <w:numId w:val="1209"/>
        </w:numPr>
        <w:pStyle w:val="Compact"/>
      </w:pPr>
      <w:hyperlink r:id="rId435">
        <w:r>
          <w:rPr>
            <w:rStyle w:val="Hyperlink"/>
          </w:rPr>
          <w:t xml:space="preserve">Abstract vs. Introduction</w:t>
        </w:r>
      </w:hyperlink>
    </w:p>
    <w:p>
      <w:pPr>
        <w:numPr>
          <w:ilvl w:val="0"/>
          <w:numId w:val="1209"/>
        </w:numPr>
        <w:pStyle w:val="Compact"/>
      </w:pPr>
      <w:r>
        <w:t xml:space="preserve">[Preparing and presenting effective research posters] (</w:t>
      </w:r>
      <w:hyperlink r:id="rId436">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210"/>
        </w:numPr>
        <w:pStyle w:val="Compact"/>
      </w:pPr>
      <w:r>
        <w:t xml:space="preserve">Stephanie R. Coffman, Clovis Community College</w:t>
      </w:r>
    </w:p>
    <w:p>
      <w:pPr>
        <w:numPr>
          <w:ilvl w:val="0"/>
          <w:numId w:val="1210"/>
        </w:numPr>
        <w:pStyle w:val="Compact"/>
      </w:pPr>
      <w:r>
        <w:t xml:space="preserve">Valeriya Gaysinskaya, Johns Hopkins University</w:t>
      </w:r>
    </w:p>
    <w:p>
      <w:pPr>
        <w:numPr>
          <w:ilvl w:val="0"/>
          <w:numId w:val="1210"/>
        </w:numPr>
        <w:pStyle w:val="Compact"/>
      </w:pPr>
      <w:r>
        <w:t xml:space="preserve">Frederick Tan, Johns Hopkins University</w:t>
      </w:r>
    </w:p>
    <w:p>
      <w:pPr>
        <w:numPr>
          <w:ilvl w:val="0"/>
          <w:numId w:val="1210"/>
        </w:numPr>
        <w:pStyle w:val="Compact"/>
      </w:pPr>
      <w:r>
        <w:t xml:space="preserve">Sayumi York, Notre Dame of Maryland University</w:t>
      </w:r>
    </w:p>
    <w:p>
      <w:pPr>
        <w:pStyle w:val="FirstParagraph"/>
      </w:pPr>
      <w:r>
        <w:t xml:space="preserve">Last Revised: August 2025</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437"/>
    <w:bookmarkEnd w:id="438"/>
    <w:bookmarkEnd w:id="439"/>
    <w:bookmarkStart w:id="444" w:name="lecture---scientific-posters"/>
    <w:p>
      <w:pPr>
        <w:pStyle w:val="Heading2"/>
      </w:pPr>
      <w:r>
        <w:rPr>
          <w:rStyle w:val="SectionNumber"/>
        </w:rPr>
        <w:t xml:space="preserve">8.2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41" name="Picture"/>
            <a:graphic>
              <a:graphicData uri="http://schemas.openxmlformats.org/drawingml/2006/picture">
                <pic:pic>
                  <pic:nvPicPr>
                    <pic:cNvPr descr="community-analysis-and-feedback_files/figure-docx//1-orSi8DpN22hMt9-6p_rHZnte1YXXLe-a132HDSyd0U_g35f391192_00.png" id="442" name="Picture"/>
                    <pic:cNvPicPr>
                      <a:picLocks noChangeArrowheads="1" noChangeAspect="1"/>
                    </pic:cNvPicPr>
                  </pic:nvPicPr>
                  <pic:blipFill>
                    <a:blip r:embed="rId4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3">
        <w:r>
          <w:rPr>
            <w:rStyle w:val="Hyperlink"/>
          </w:rPr>
          <w:t xml:space="preserve">Scientific Posters</w:t>
        </w:r>
      </w:hyperlink>
    </w:p>
    <w:bookmarkEnd w:id="444"/>
    <w:bookmarkStart w:id="452" w:name="activity---scientific-posters"/>
    <w:p>
      <w:pPr>
        <w:pStyle w:val="Heading2"/>
      </w:pPr>
      <w:r>
        <w:rPr>
          <w:rStyle w:val="SectionNumber"/>
        </w:rPr>
        <w:t xml:space="preserve">8.3</w:t>
      </w:r>
      <w:r>
        <w:tab/>
      </w:r>
      <w:r>
        <w:t xml:space="preserve">Activity - Scientific Posters</w:t>
      </w:r>
    </w:p>
    <w:bookmarkStart w:id="449" w:name="activity-1"/>
    <w:p>
      <w:pPr>
        <w:pStyle w:val="Heading3"/>
      </w:pPr>
      <w:r>
        <w:rPr>
          <w:rStyle w:val="SectionNumber"/>
        </w:rPr>
        <w:t xml:space="preserve">8.3.1</w:t>
      </w:r>
      <w:r>
        <w:tab/>
      </w:r>
      <w:r>
        <w:t xml:space="preserve">Activity</w:t>
      </w:r>
    </w:p>
    <w:p>
      <w:pPr>
        <w:pStyle w:val="FirstParagraph"/>
      </w:pPr>
      <w:r>
        <w:rPr>
          <w:iCs/>
          <w:i/>
        </w:rPr>
        <w:t xml:space="preserve">Estimated time: —</w:t>
      </w:r>
    </w:p>
    <w:bookmarkStart w:id="448" w:name="instructions-2"/>
    <w:p>
      <w:pPr>
        <w:pStyle w:val="Heading4"/>
      </w:pPr>
      <w:r>
        <w:rPr>
          <w:rStyle w:val="SectionNumber"/>
        </w:rPr>
        <w:t xml:space="preserve">8.3.1.1</w:t>
      </w:r>
      <w:r>
        <w:tab/>
      </w:r>
      <w:r>
        <w:t xml:space="preserve">Instructions</w:t>
      </w:r>
    </w:p>
    <w:p>
      <w:pPr>
        <w:numPr>
          <w:ilvl w:val="0"/>
          <w:numId w:val="1211"/>
        </w:numPr>
      </w:pPr>
      <w:r>
        <w:t xml:space="preserve">Review</w:t>
      </w:r>
      <w:r>
        <w:t xml:space="preserve"> </w:t>
      </w:r>
      <w:hyperlink r:id="rId445">
        <w:r>
          <w:rPr>
            <w:rStyle w:val="Hyperlink"/>
            <w:bCs/>
            <w:b/>
          </w:rPr>
          <w:t xml:space="preserve">Presentations Guidelines for Posters</w:t>
        </w:r>
      </w:hyperlink>
    </w:p>
    <w:p>
      <w:pPr>
        <w:numPr>
          <w:ilvl w:val="0"/>
          <w:numId w:val="1211"/>
        </w:numPr>
      </w:pPr>
      <w:r>
        <w:t xml:space="preserve">Skim three posters from among the following (must be Biology if from UMBC Posters)</w:t>
      </w:r>
    </w:p>
    <w:p>
      <w:pPr>
        <w:numPr>
          <w:ilvl w:val="0"/>
          <w:numId w:val="1212"/>
        </w:numPr>
      </w:pPr>
      <w:hyperlink r:id="rId52">
        <w:r>
          <w:rPr>
            <w:rStyle w:val="Hyperlink"/>
            <w:bCs/>
            <w:b/>
          </w:rPr>
          <w:t xml:space="preserve">Look at This! Category on the Academy Discussion Forum</w:t>
        </w:r>
      </w:hyperlink>
    </w:p>
    <w:p>
      <w:pPr>
        <w:numPr>
          <w:ilvl w:val="0"/>
          <w:numId w:val="1212"/>
        </w:numPr>
      </w:pPr>
      <w:hyperlink r:id="rId446">
        <w:r>
          <w:rPr>
            <w:rStyle w:val="Hyperlink"/>
            <w:bCs/>
            <w:b/>
          </w:rPr>
          <w:t xml:space="preserve">UMBC Biology Posters</w:t>
        </w:r>
      </w:hyperlink>
    </w:p>
    <w:p>
      <w:pPr>
        <w:numPr>
          <w:ilvl w:val="0"/>
          <w:numId w:val="1212"/>
        </w:numPr>
      </w:pPr>
      <w:hyperlink r:id="rId447">
        <w:r>
          <w:rPr>
            <w:rStyle w:val="Hyperlink"/>
            <w:bCs/>
            <w:b/>
          </w:rPr>
          <w:t xml:space="preserve">The example PacBio Poster</w:t>
        </w:r>
      </w:hyperlink>
    </w:p>
    <w:p>
      <w:pPr>
        <w:numPr>
          <w:ilvl w:val="0"/>
          <w:numId w:val="1213"/>
        </w:numPr>
        <w:pStyle w:val="Compact"/>
      </w:pPr>
      <w:r>
        <w:t xml:space="preserve">Pick one poster and address the following points.</w:t>
      </w:r>
    </w:p>
    <w:p>
      <w:pPr>
        <w:numPr>
          <w:ilvl w:val="0"/>
          <w:numId w:val="1214"/>
        </w:numPr>
      </w:pPr>
      <w:r>
        <w:rPr>
          <w:bCs/>
          <w:b/>
        </w:rPr>
        <w:t xml:space="preserve">Notice</w:t>
      </w:r>
      <w:r>
        <w:t xml:space="preserve"> </w:t>
      </w:r>
      <w:r>
        <w:t xml:space="preserve">– What about this poster most interests you?</w:t>
      </w:r>
    </w:p>
    <w:p>
      <w:pPr>
        <w:numPr>
          <w:ilvl w:val="0"/>
          <w:numId w:val="1214"/>
        </w:numPr>
      </w:pPr>
      <w:r>
        <w:rPr>
          <w:bCs/>
          <w:b/>
        </w:rPr>
        <w:t xml:space="preserve">Wonder</w:t>
      </w:r>
      <w:r>
        <w:t xml:space="preserve"> </w:t>
      </w:r>
      <w:r>
        <w:t xml:space="preserve">– Two or three questions you would ask the authors.</w:t>
      </w:r>
    </w:p>
    <w:p>
      <w:pPr>
        <w:numPr>
          <w:ilvl w:val="0"/>
          <w:numId w:val="1214"/>
        </w:numPr>
      </w:pPr>
      <w:r>
        <w:rPr>
          <w:bCs/>
          <w:b/>
        </w:rPr>
        <w:t xml:space="preserve">Support</w:t>
      </w:r>
      <w:r>
        <w:t xml:space="preserve"> </w:t>
      </w:r>
      <w:r>
        <w:t xml:space="preserve">– Two or three suggestions on how the poster could be improved.</w:t>
      </w:r>
    </w:p>
    <w:bookmarkEnd w:id="448"/>
    <w:bookmarkEnd w:id="449"/>
    <w:bookmarkStart w:id="450" w:name="grading-criteria-10"/>
    <w:p>
      <w:pPr>
        <w:pStyle w:val="Heading3"/>
      </w:pPr>
      <w:r>
        <w:rPr>
          <w:rStyle w:val="SectionNumber"/>
        </w:rPr>
        <w:t xml:space="preserve">8.3.2</w:t>
      </w:r>
      <w:r>
        <w:tab/>
      </w:r>
      <w:r>
        <w:t xml:space="preserve">Grading Criteria</w:t>
      </w:r>
    </w:p>
    <w:p>
      <w:pPr>
        <w:pStyle w:val="FirstParagraph"/>
      </w:pPr>
      <w:r>
        <w:t xml:space="preserve">Comment on your class’ LMS (Blackboard, Canvas, Google Classroom) discussion board or refer to your instructor’s choice.</w:t>
      </w:r>
    </w:p>
    <w:bookmarkEnd w:id="450"/>
    <w:bookmarkStart w:id="451" w:name="footnotes-20"/>
    <w:p>
      <w:pPr>
        <w:pStyle w:val="Heading3"/>
      </w:pPr>
      <w:r>
        <w:rPr>
          <w:rStyle w:val="SectionNumber"/>
        </w:rPr>
        <w:t xml:space="preserve">8.3.3</w:t>
      </w:r>
      <w:r>
        <w:tab/>
      </w:r>
      <w:r>
        <w:t xml:space="preserve">Footnotes</w:t>
      </w:r>
    </w:p>
    <w:p>
      <w:pPr>
        <w:pStyle w:val="FirstParagraph"/>
      </w:pPr>
      <w:r>
        <w:rPr>
          <w:bCs/>
          <w:b/>
        </w:rPr>
        <w:t xml:space="preserve">Contributions and Affiliations</w:t>
      </w:r>
    </w:p>
    <w:p>
      <w:pPr>
        <w:numPr>
          <w:ilvl w:val="0"/>
          <w:numId w:val="1215"/>
        </w:numPr>
        <w:pStyle w:val="Compact"/>
      </w:pPr>
      <w:r>
        <w:t xml:space="preserve">Valeriya Gaysinskaya, Johns Hopkins University</w:t>
      </w:r>
    </w:p>
    <w:p>
      <w:pPr>
        <w:numPr>
          <w:ilvl w:val="0"/>
          <w:numId w:val="1215"/>
        </w:numPr>
        <w:pStyle w:val="Compact"/>
      </w:pPr>
      <w:r>
        <w:t xml:space="preserve">Frederick Tan, Johns Hopkins University</w:t>
      </w:r>
    </w:p>
    <w:p>
      <w:pPr>
        <w:numPr>
          <w:ilvl w:val="0"/>
          <w:numId w:val="1215"/>
        </w:numPr>
        <w:pStyle w:val="Compact"/>
      </w:pPr>
      <w:r>
        <w:t xml:space="preserve">Sayumi York, Notre Dame of Maryland University</w:t>
      </w:r>
    </w:p>
    <w:p>
      <w:pPr>
        <w:pStyle w:val="FirstParagraph"/>
      </w:pPr>
      <w:r>
        <w:t xml:space="preserve">Last Revised: January 2026</w:t>
      </w:r>
    </w:p>
    <w:bookmarkEnd w:id="451"/>
    <w:bookmarkEnd w:id="452"/>
    <w:bookmarkStart w:id="463" w:name="activity---share-your-poster"/>
    <w:p>
      <w:pPr>
        <w:pStyle w:val="Heading2"/>
      </w:pPr>
      <w:r>
        <w:rPr>
          <w:rStyle w:val="SectionNumber"/>
        </w:rPr>
        <w:t xml:space="preserve">8.4</w:t>
      </w:r>
      <w:r>
        <w:tab/>
      </w:r>
      <w:r>
        <w:t xml:space="preserve">Activity - Share Your Poster</w:t>
      </w:r>
    </w:p>
    <w:bookmarkStart w:id="456" w:name="introduction-10"/>
    <w:p>
      <w:pPr>
        <w:pStyle w:val="Heading3"/>
      </w:pPr>
      <w:r>
        <w:rPr>
          <w:rStyle w:val="SectionNumber"/>
        </w:rPr>
        <w:t xml:space="preserve">8.4.1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453" w:name="activity-1-share-your-poster"/>
    <w:p>
      <w:pPr>
        <w:pStyle w:val="Heading4"/>
      </w:pPr>
      <w:r>
        <w:rPr>
          <w:rStyle w:val="SectionNumber"/>
        </w:rPr>
        <w:t xml:space="preserve">8.4.1.1</w:t>
      </w:r>
      <w:r>
        <w:tab/>
      </w:r>
      <w:r>
        <w:t xml:space="preserve">Activity 1 – Share Your Poster</w:t>
      </w:r>
    </w:p>
    <w:p>
      <w:pPr>
        <w:pStyle w:val="FirstParagraph"/>
      </w:pPr>
      <w:r>
        <w:rPr>
          <w:iCs/>
          <w:i/>
        </w:rPr>
        <w:t xml:space="preserve">Estimated time: 20 min</w:t>
      </w:r>
    </w:p>
    <w:bookmarkEnd w:id="453"/>
    <w:bookmarkStart w:id="454" w:name="instructions-3"/>
    <w:p>
      <w:pPr>
        <w:pStyle w:val="Heading4"/>
      </w:pPr>
      <w:r>
        <w:rPr>
          <w:rStyle w:val="SectionNumber"/>
        </w:rPr>
        <w:t xml:space="preserve">8.4.1.2</w:t>
      </w:r>
      <w:r>
        <w:tab/>
      </w:r>
      <w:r>
        <w:t xml:space="preserve">Instructions</w:t>
      </w:r>
    </w:p>
    <w:p>
      <w:pPr>
        <w:numPr>
          <w:ilvl w:val="0"/>
          <w:numId w:val="1216"/>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217"/>
        </w:numPr>
      </w:pPr>
      <w:r>
        <w:t xml:space="preserve">In Google Slides:</w:t>
      </w:r>
    </w:p>
    <w:p>
      <w:pPr>
        <w:numPr>
          <w:ilvl w:val="1"/>
          <w:numId w:val="1218"/>
        </w:numPr>
      </w:pPr>
      <w:r>
        <w:t xml:space="preserve">Go to File &gt; Download &gt; select PNG image or JPEG image.</w:t>
      </w:r>
    </w:p>
    <w:p>
      <w:pPr>
        <w:numPr>
          <w:ilvl w:val="1"/>
          <w:numId w:val="1218"/>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217"/>
        </w:numPr>
      </w:pPr>
      <w:r>
        <w:t xml:space="preserve">In PowerPoint:</w:t>
      </w:r>
    </w:p>
    <w:p>
      <w:pPr>
        <w:numPr>
          <w:ilvl w:val="1"/>
          <w:numId w:val="1219"/>
        </w:numPr>
      </w:pPr>
      <w:r>
        <w:t xml:space="preserve">Enter the File tab to the top of the window, to the left of the Home tab</w:t>
      </w:r>
    </w:p>
    <w:p>
      <w:pPr>
        <w:numPr>
          <w:ilvl w:val="1"/>
          <w:numId w:val="1219"/>
        </w:numPr>
      </w:pPr>
      <w:r>
        <w:t xml:space="preserve">Select Save As</w:t>
      </w:r>
    </w:p>
    <w:p>
      <w:pPr>
        <w:numPr>
          <w:ilvl w:val="1"/>
          <w:numId w:val="1219"/>
        </w:numPr>
      </w:pPr>
      <w:r>
        <w:t xml:space="preserve">Select This PC</w:t>
      </w:r>
    </w:p>
    <w:p>
      <w:pPr>
        <w:numPr>
          <w:ilvl w:val="1"/>
          <w:numId w:val="1219"/>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219"/>
        </w:numPr>
      </w:pPr>
      <w:r>
        <w:t xml:space="preserve">Select save</w:t>
      </w:r>
    </w:p>
    <w:p>
      <w:pPr>
        <w:numPr>
          <w:ilvl w:val="1"/>
          <w:numId w:val="1219"/>
        </w:numPr>
      </w:pPr>
      <w:r>
        <w:t xml:space="preserve">Locate the saved file on your computer. By default, most computers will save the file in the same location as the original PowerPoint (.pptx) file.</w:t>
      </w:r>
    </w:p>
    <w:p>
      <w:pPr>
        <w:numPr>
          <w:ilvl w:val="0"/>
          <w:numId w:val="1220"/>
        </w:numPr>
      </w:pPr>
      <w:r>
        <w:t xml:space="preserve">Have one person on behalf of the group create a New Topic on your instructor’s chosen forum below with the title of your poster as the topic title and your .png file as the contents in either the:</w:t>
      </w:r>
    </w:p>
    <w:p>
      <w:pPr>
        <w:numPr>
          <w:ilvl w:val="1"/>
          <w:numId w:val="1221"/>
        </w:numPr>
      </w:pPr>
      <w:hyperlink r:id="rId52">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221"/>
        </w:numPr>
      </w:pPr>
      <w:r>
        <w:t xml:space="preserve">Class category on the C-MOOR Academy Discussion Forum (if applicable) to keep your work private</w:t>
      </w:r>
    </w:p>
    <w:p>
      <w:pPr>
        <w:numPr>
          <w:ilvl w:val="1"/>
          <w:numId w:val="1221"/>
        </w:numPr>
      </w:pPr>
      <w:r>
        <w:t xml:space="preserve">The forum or outlet of your instructor’s choice</w:t>
      </w:r>
    </w:p>
    <w:p>
      <w:pPr>
        <w:numPr>
          <w:ilvl w:val="0"/>
          <w:numId w:val="1220"/>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222"/>
        </w:numPr>
        <w:pStyle w:val="Compact"/>
      </w:pPr>
      <w:r>
        <w:t xml:space="preserve">What was your favorite part about doing the research project and why?</w:t>
      </w:r>
    </w:p>
    <w:p>
      <w:pPr>
        <w:numPr>
          <w:ilvl w:val="1"/>
          <w:numId w:val="1222"/>
        </w:numPr>
        <w:pStyle w:val="Compact"/>
      </w:pPr>
      <w:r>
        <w:t xml:space="preserve">What was something about your project or the research process that surprised you and why?</w:t>
      </w:r>
    </w:p>
    <w:p>
      <w:pPr>
        <w:numPr>
          <w:ilvl w:val="1"/>
          <w:numId w:val="1222"/>
        </w:numPr>
        <w:pStyle w:val="Compact"/>
      </w:pPr>
      <w:r>
        <w:t xml:space="preserve">What is one specific skill in biology and/or research that you learned through this project? Give an example how you used this in your project.</w:t>
      </w:r>
    </w:p>
    <w:p>
      <w:pPr>
        <w:numPr>
          <w:ilvl w:val="1"/>
          <w:numId w:val="1222"/>
        </w:numPr>
        <w:pStyle w:val="Compact"/>
      </w:pPr>
      <w:r>
        <w:t xml:space="preserve">What is an example of a challenge that you had to overcome during this research project?</w:t>
      </w:r>
    </w:p>
    <w:p>
      <w:pPr>
        <w:numPr>
          <w:ilvl w:val="1"/>
          <w:numId w:val="1222"/>
        </w:numPr>
        <w:pStyle w:val="Compact"/>
      </w:pPr>
      <w:r>
        <w:t xml:space="preserve">What is one thing you learned from this project that you can take forward in your future work? How do you see it being helpful in your chosen field?</w:t>
      </w:r>
    </w:p>
    <w:bookmarkEnd w:id="454"/>
    <w:bookmarkStart w:id="455" w:name="questions-1"/>
    <w:p>
      <w:pPr>
        <w:pStyle w:val="Heading4"/>
      </w:pPr>
      <w:r>
        <w:rPr>
          <w:rStyle w:val="SectionNumber"/>
        </w:rPr>
        <w:t xml:space="preserve">8.4.1.3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455"/>
    <w:bookmarkEnd w:id="456"/>
    <w:bookmarkStart w:id="459" w:name="activity-2-present-your-poster"/>
    <w:p>
      <w:pPr>
        <w:pStyle w:val="Heading3"/>
      </w:pPr>
      <w:r>
        <w:rPr>
          <w:rStyle w:val="SectionNumber"/>
        </w:rPr>
        <w:t xml:space="preserve">8.4.2</w:t>
      </w:r>
      <w:r>
        <w:tab/>
      </w:r>
      <w:r>
        <w:t xml:space="preserve">Activity 2 – Present Your Poster</w:t>
      </w:r>
    </w:p>
    <w:p>
      <w:pPr>
        <w:pStyle w:val="FirstParagraph"/>
      </w:pPr>
      <w:r>
        <w:rPr>
          <w:iCs/>
          <w:i/>
        </w:rPr>
        <w:t xml:space="preserve">Estimated time: 40 min</w:t>
      </w:r>
    </w:p>
    <w:bookmarkStart w:id="457" w:name="instructions-4"/>
    <w:p>
      <w:pPr>
        <w:pStyle w:val="Heading4"/>
      </w:pPr>
      <w:r>
        <w:rPr>
          <w:rStyle w:val="SectionNumber"/>
        </w:rPr>
        <w:t xml:space="preserve">8.4.2.1</w:t>
      </w:r>
      <w:r>
        <w:tab/>
      </w:r>
      <w:r>
        <w:t xml:space="preserve">Instructions</w:t>
      </w:r>
    </w:p>
    <w:p>
      <w:pPr>
        <w:numPr>
          <w:ilvl w:val="0"/>
          <w:numId w:val="1223"/>
        </w:numPr>
      </w:pPr>
      <w:r>
        <w:t xml:space="preserve">Create a plan for a 5 min presentation taking into consideration:</w:t>
      </w:r>
    </w:p>
    <w:p>
      <w:pPr>
        <w:numPr>
          <w:ilvl w:val="1"/>
          <w:numId w:val="1224"/>
        </w:numPr>
      </w:pPr>
      <w:r>
        <w:t xml:space="preserve">Who will speak when</w:t>
      </w:r>
    </w:p>
    <w:p>
      <w:pPr>
        <w:numPr>
          <w:ilvl w:val="1"/>
          <w:numId w:val="1224"/>
        </w:numPr>
      </w:pPr>
      <w:r>
        <w:t xml:space="preserve">What each person will cover</w:t>
      </w:r>
    </w:p>
    <w:p>
      <w:pPr>
        <w:numPr>
          <w:ilvl w:val="0"/>
          <w:numId w:val="1223"/>
        </w:numPr>
      </w:pPr>
      <w:r>
        <w:t xml:space="preserve">Practice your presentation</w:t>
      </w:r>
    </w:p>
    <w:p>
      <w:pPr>
        <w:numPr>
          <w:ilvl w:val="1"/>
          <w:numId w:val="1225"/>
        </w:numPr>
      </w:pPr>
      <w:r>
        <w:t xml:space="preserve">In your group</w:t>
      </w:r>
    </w:p>
    <w:p>
      <w:pPr>
        <w:numPr>
          <w:ilvl w:val="1"/>
          <w:numId w:val="1225"/>
        </w:numPr>
      </w:pPr>
      <w:r>
        <w:t xml:space="preserve">To the class</w:t>
      </w:r>
    </w:p>
    <w:bookmarkEnd w:id="457"/>
    <w:bookmarkStart w:id="458" w:name="questions-2"/>
    <w:p>
      <w:pPr>
        <w:pStyle w:val="Heading4"/>
      </w:pPr>
      <w:r>
        <w:rPr>
          <w:rStyle w:val="SectionNumber"/>
        </w:rPr>
        <w:t xml:space="preserve">8.4.2.2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458"/>
    <w:bookmarkEnd w:id="459"/>
    <w:bookmarkStart w:id="460" w:name="grading-criteria-11"/>
    <w:p>
      <w:pPr>
        <w:pStyle w:val="Heading3"/>
      </w:pPr>
      <w:r>
        <w:rPr>
          <w:rStyle w:val="SectionNumber"/>
        </w:rPr>
        <w:t xml:space="preserve">8.4.3</w:t>
      </w:r>
      <w:r>
        <w:tab/>
      </w:r>
      <w:r>
        <w:t xml:space="preserve">Grading Criteria</w:t>
      </w:r>
    </w:p>
    <w:p>
      <w:pPr>
        <w:numPr>
          <w:ilvl w:val="0"/>
          <w:numId w:val="1226"/>
        </w:numPr>
        <w:pStyle w:val="Compact"/>
      </w:pPr>
      <w:r>
        <w:t xml:space="preserve">Submit your work on your LMS (Blackboard, Canvas, Google Classroom) or refer to your instructor’s choice.</w:t>
      </w:r>
    </w:p>
    <w:bookmarkEnd w:id="460"/>
    <w:bookmarkStart w:id="462" w:name="footnotes-21"/>
    <w:p>
      <w:pPr>
        <w:pStyle w:val="Heading3"/>
      </w:pPr>
      <w:r>
        <w:rPr>
          <w:rStyle w:val="SectionNumber"/>
        </w:rPr>
        <w:t xml:space="preserve">8.4.4</w:t>
      </w:r>
      <w:r>
        <w:tab/>
      </w:r>
      <w:r>
        <w:t xml:space="preserve">Footnotes</w:t>
      </w:r>
    </w:p>
    <w:p>
      <w:pPr>
        <w:pStyle w:val="FirstParagraph"/>
      </w:pPr>
      <w:r>
        <w:rPr>
          <w:bCs/>
          <w:b/>
        </w:rPr>
        <w:t xml:space="preserve">Resources</w:t>
      </w:r>
    </w:p>
    <w:p>
      <w:pPr>
        <w:numPr>
          <w:ilvl w:val="0"/>
          <w:numId w:val="1227"/>
        </w:numPr>
        <w:pStyle w:val="Compact"/>
      </w:pPr>
      <w:hyperlink r:id="rId461">
        <w:r>
          <w:rPr>
            <w:rStyle w:val="Hyperlink"/>
          </w:rPr>
          <w:t xml:space="preserve">Google Doc</w:t>
        </w:r>
      </w:hyperlink>
    </w:p>
    <w:p>
      <w:pPr>
        <w:pStyle w:val="FirstParagraph"/>
      </w:pPr>
      <w:r>
        <w:rPr>
          <w:bCs/>
          <w:b/>
        </w:rPr>
        <w:t xml:space="preserve">Contributions and Affiliations</w:t>
      </w:r>
    </w:p>
    <w:p>
      <w:pPr>
        <w:numPr>
          <w:ilvl w:val="0"/>
          <w:numId w:val="1228"/>
        </w:numPr>
        <w:pStyle w:val="Compact"/>
      </w:pPr>
      <w:r>
        <w:t xml:space="preserve">Valeriya Gaysinskaya, Johns Hopkins University</w:t>
      </w:r>
    </w:p>
    <w:p>
      <w:pPr>
        <w:numPr>
          <w:ilvl w:val="0"/>
          <w:numId w:val="1228"/>
        </w:numPr>
        <w:pStyle w:val="Compact"/>
      </w:pPr>
      <w:r>
        <w:t xml:space="preserve">Frederick Tan, Johns Hopkins University</w:t>
      </w:r>
    </w:p>
    <w:p>
      <w:pPr>
        <w:numPr>
          <w:ilvl w:val="0"/>
          <w:numId w:val="1228"/>
        </w:numPr>
        <w:pStyle w:val="Compact"/>
      </w:pPr>
      <w:r>
        <w:t xml:space="preserve">Sayumi York, Notre Dame of Maryland University</w:t>
      </w:r>
    </w:p>
    <w:p>
      <w:pPr>
        <w:pStyle w:val="FirstParagraph"/>
      </w:pPr>
      <w:r>
        <w:t xml:space="preserve">Last Revised: January 2026</w:t>
      </w:r>
    </w:p>
    <w:bookmarkEnd w:id="462"/>
    <w:bookmarkEnd w:id="463"/>
    <w:bookmarkEnd w:id="464"/>
    <w:bookmarkStart w:id="493" w:name="professional-development"/>
    <w:p>
      <w:pPr>
        <w:pStyle w:val="Heading1"/>
      </w:pPr>
      <w:r>
        <w:rPr>
          <w:rStyle w:val="SectionNumber"/>
        </w:rPr>
        <w:t xml:space="preserve">9</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466" name="Picture"/>
            <a:graphic>
              <a:graphicData uri="http://schemas.openxmlformats.org/drawingml/2006/picture">
                <pic:pic>
                  <pic:nvPicPr>
                    <pic:cNvPr descr="community-analysis-and-feedback_files/figure-docx//1hYKF7Ss3vJ8rrUIH7ByNh1BUlRa2fhsJhq8MXzEowCc_g344ad28629a_0_229.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bookmarkStart w:id="472" w:name="lecture---next-steps"/>
    <w:p>
      <w:pPr>
        <w:pStyle w:val="Heading2"/>
      </w:pPr>
      <w:r>
        <w:rPr>
          <w:rStyle w:val="SectionNumber"/>
        </w:rPr>
        <w:t xml:space="preserve">9.1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469" name="Picture"/>
            <a:graphic>
              <a:graphicData uri="http://schemas.openxmlformats.org/drawingml/2006/picture">
                <pic:pic>
                  <pic:nvPicPr>
                    <pic:cNvPr descr="community-analysis-and-feedback_files/figure-docx//1cH7vm_lAxe_JUlr1H_M5Ujas-pTUY8qPBthTcSOiIXA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Next Steps</w:t>
        </w:r>
      </w:hyperlink>
    </w:p>
    <w:bookmarkEnd w:id="472"/>
    <w:bookmarkStart w:id="490" w:name="activity---next-steps"/>
    <w:p>
      <w:pPr>
        <w:pStyle w:val="Heading2"/>
      </w:pPr>
      <w:r>
        <w:rPr>
          <w:rStyle w:val="SectionNumber"/>
        </w:rPr>
        <w:t xml:space="preserve">9.2</w:t>
      </w:r>
      <w:r>
        <w:tab/>
      </w:r>
      <w:r>
        <w:t xml:space="preserve">Activity - Next Steps</w:t>
      </w:r>
    </w:p>
    <w:bookmarkStart w:id="473" w:name="introduction-11"/>
    <w:p>
      <w:pPr>
        <w:pStyle w:val="Heading3"/>
      </w:pPr>
      <w:r>
        <w:rPr>
          <w:rStyle w:val="SectionNumber"/>
        </w:rPr>
        <w:t xml:space="preserve">9.2.1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473"/>
    <w:bookmarkStart w:id="475" w:name="activity-1-complete-feedback"/>
    <w:p>
      <w:pPr>
        <w:pStyle w:val="Heading3"/>
      </w:pPr>
      <w:r>
        <w:rPr>
          <w:rStyle w:val="SectionNumber"/>
        </w:rPr>
        <w:t xml:space="preserve">9.2.2</w:t>
      </w:r>
      <w:r>
        <w:tab/>
      </w:r>
      <w:r>
        <w:t xml:space="preserve">Activity 1 – Complete Feedback</w:t>
      </w:r>
    </w:p>
    <w:p>
      <w:pPr>
        <w:pStyle w:val="FirstParagraph"/>
      </w:pPr>
      <w:r>
        <w:rPr>
          <w:iCs/>
          <w:i/>
        </w:rPr>
        <w:t xml:space="preserve">Estimated time: 15 min</w:t>
      </w:r>
    </w:p>
    <w:bookmarkStart w:id="474" w:name="instructions-5"/>
    <w:p>
      <w:pPr>
        <w:pStyle w:val="Heading4"/>
      </w:pPr>
      <w:r>
        <w:rPr>
          <w:rStyle w:val="SectionNumber"/>
        </w:rPr>
        <w:t xml:space="preserve">9.2.2.1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474"/>
    <w:bookmarkEnd w:id="475"/>
    <w:bookmarkStart w:id="478" w:name="activity-2-research-opportunities"/>
    <w:p>
      <w:pPr>
        <w:pStyle w:val="Heading3"/>
      </w:pPr>
      <w:r>
        <w:rPr>
          <w:rStyle w:val="SectionNumber"/>
        </w:rPr>
        <w:t xml:space="preserve">9.2.3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476">
              <w:r>
                <w:rPr>
                  <w:rStyle w:val="Hyperlink"/>
                </w:rPr>
                <w:t xml:space="preserve">https://www.nsf.gov/funding/initiatives/reu/students</w:t>
              </w:r>
            </w:hyperlink>
          </w:p>
        </w:tc>
      </w:tr>
      <w:tr>
        <w:tc>
          <w:tcPr/>
          <w:p>
            <w:pPr>
              <w:pStyle w:val="Compact"/>
              <w:jc w:val="left"/>
            </w:pPr>
            <w:r>
              <w:t xml:space="preserve">b. Search –</w:t>
            </w:r>
            <w:r>
              <w:t xml:space="preserve"> </w:t>
            </w:r>
            <w:hyperlink r:id="rId477">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478"/>
    <w:bookmarkStart w:id="486" w:name="activity-3-explore-communities"/>
    <w:p>
      <w:pPr>
        <w:pStyle w:val="Heading3"/>
      </w:pPr>
      <w:r>
        <w:rPr>
          <w:rStyle w:val="SectionNumber"/>
        </w:rPr>
        <w:t xml:space="preserve">9.2.4</w:t>
      </w:r>
      <w:r>
        <w:tab/>
      </w:r>
      <w:r>
        <w:t xml:space="preserve">Activity 3 – Explore Communities</w:t>
      </w:r>
    </w:p>
    <w:p>
      <w:pPr>
        <w:pStyle w:val="FirstParagraph"/>
      </w:pPr>
      <w:r>
        <w:rPr>
          <w:iCs/>
          <w:i/>
        </w:rPr>
        <w:t xml:space="preserve">Estimated time: 15 min</w:t>
      </w:r>
    </w:p>
    <w:bookmarkStart w:id="479" w:name="instructions-6"/>
    <w:p>
      <w:pPr>
        <w:pStyle w:val="Heading4"/>
      </w:pPr>
      <w:r>
        <w:rPr>
          <w:rStyle w:val="SectionNumber"/>
        </w:rPr>
        <w:t xml:space="preserve">9.2.4.1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479"/>
    <w:bookmarkStart w:id="485" w:name="questions-3"/>
    <w:p>
      <w:pPr>
        <w:pStyle w:val="Heading4"/>
      </w:pPr>
      <w:r>
        <w:rPr>
          <w:rStyle w:val="SectionNumber"/>
        </w:rPr>
        <w:t xml:space="preserve">9.2.4.2</w:t>
      </w:r>
      <w:r>
        <w:tab/>
      </w:r>
      <w:r>
        <w:t xml:space="preserve">Questions</w:t>
      </w:r>
    </w:p>
    <w:p>
      <w:pPr>
        <w:numPr>
          <w:ilvl w:val="0"/>
          <w:numId w:val="1229"/>
        </w:numPr>
        <w:pStyle w:val="Compact"/>
      </w:pPr>
      <w:r>
        <w:t xml:space="preserve">Specialized Communities</w:t>
      </w:r>
    </w:p>
    <w:p>
      <w:pPr>
        <w:numPr>
          <w:ilvl w:val="0"/>
          <w:numId w:val="1230"/>
        </w:numPr>
        <w:pStyle w:val="Compact"/>
      </w:pPr>
      <w:r>
        <w:t xml:space="preserve">SEQanswers: the next-generation sequencing community</w:t>
      </w:r>
    </w:p>
    <w:p>
      <w:pPr>
        <w:numPr>
          <w:ilvl w:val="0"/>
          <w:numId w:val="1231"/>
        </w:numPr>
        <w:pStyle w:val="Compact"/>
      </w:pPr>
      <w:hyperlink r:id="rId480">
        <w:r>
          <w:rPr>
            <w:rStyle w:val="Hyperlink"/>
          </w:rPr>
          <w:t xml:space="preserve">https://www.seqanswers.com</w:t>
        </w:r>
      </w:hyperlink>
    </w:p>
    <w:p>
      <w:pPr>
        <w:numPr>
          <w:ilvl w:val="0"/>
          <w:numId w:val="1232"/>
        </w:numPr>
        <w:pStyle w:val="Compact"/>
      </w:pPr>
      <w:r>
        <w:t xml:space="preserve">Biostars: bioinformatics explained</w:t>
      </w:r>
    </w:p>
    <w:p>
      <w:pPr>
        <w:numPr>
          <w:ilvl w:val="0"/>
          <w:numId w:val="1233"/>
        </w:numPr>
        <w:pStyle w:val="Compact"/>
      </w:pPr>
      <w:hyperlink r:id="rId481">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234"/>
        </w:numPr>
        <w:pStyle w:val="Compact"/>
      </w:pPr>
      <w:r>
        <w:t xml:space="preserve">General Communities</w:t>
      </w:r>
    </w:p>
    <w:p>
      <w:pPr>
        <w:numPr>
          <w:ilvl w:val="0"/>
          <w:numId w:val="1235"/>
        </w:numPr>
        <w:pStyle w:val="Compact"/>
      </w:pPr>
      <w:r>
        <w:t xml:space="preserve">Reddit: The heart of the internet</w:t>
      </w:r>
    </w:p>
    <w:p>
      <w:pPr>
        <w:numPr>
          <w:ilvl w:val="0"/>
          <w:numId w:val="1236"/>
        </w:numPr>
        <w:pStyle w:val="Compact"/>
      </w:pPr>
      <w:hyperlink r:id="rId482">
        <w:r>
          <w:rPr>
            <w:rStyle w:val="Hyperlink"/>
          </w:rPr>
          <w:t xml:space="preserve">https://www.reddit.com/r/metagenomics</w:t>
        </w:r>
      </w:hyperlink>
    </w:p>
    <w:p>
      <w:pPr>
        <w:numPr>
          <w:ilvl w:val="0"/>
          <w:numId w:val="1237"/>
        </w:numPr>
        <w:pStyle w:val="Compact"/>
      </w:pPr>
      <w:r>
        <w:t xml:space="preserve">Twitter/X: It’s what’s happening</w:t>
      </w:r>
    </w:p>
    <w:p>
      <w:pPr>
        <w:numPr>
          <w:ilvl w:val="0"/>
          <w:numId w:val="1238"/>
        </w:numPr>
        <w:pStyle w:val="Compact"/>
      </w:pPr>
      <w:hyperlink r:id="rId483">
        <w:r>
          <w:rPr>
            <w:rStyle w:val="Hyperlink"/>
          </w:rPr>
          <w:t xml:space="preserve">https://x.com/search?q=%23metagenomics</w:t>
        </w:r>
      </w:hyperlink>
    </w:p>
    <w:p>
      <w:pPr>
        <w:numPr>
          <w:ilvl w:val="0"/>
          <w:numId w:val="1239"/>
        </w:numPr>
        <w:pStyle w:val="Compact"/>
      </w:pPr>
      <w:r>
        <w:t xml:space="preserve">Bluesky: Social media as it should be</w:t>
      </w:r>
    </w:p>
    <w:p>
      <w:pPr>
        <w:numPr>
          <w:ilvl w:val="0"/>
          <w:numId w:val="1240"/>
        </w:numPr>
        <w:pStyle w:val="Compact"/>
      </w:pPr>
      <w:hyperlink r:id="rId484">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485"/>
    <w:bookmarkEnd w:id="486"/>
    <w:bookmarkStart w:id="487" w:name="grading-criteria-12"/>
    <w:p>
      <w:pPr>
        <w:pStyle w:val="Heading3"/>
      </w:pPr>
      <w:r>
        <w:rPr>
          <w:rStyle w:val="SectionNumber"/>
        </w:rPr>
        <w:t xml:space="preserve">9.2.5</w:t>
      </w:r>
      <w:r>
        <w:tab/>
      </w:r>
      <w:r>
        <w:t xml:space="preserve">Grading Criteria</w:t>
      </w:r>
    </w:p>
    <w:p>
      <w:pPr>
        <w:numPr>
          <w:ilvl w:val="0"/>
          <w:numId w:val="1241"/>
        </w:numPr>
        <w:pStyle w:val="Compact"/>
      </w:pPr>
      <w:r>
        <w:t xml:space="preserve">Download as Microsoft Word (.docx) and upload to your LMS (Blackboard, Canvas, Google Classroom) or refer to your instructor’s choice.</w:t>
      </w:r>
    </w:p>
    <w:bookmarkEnd w:id="487"/>
    <w:bookmarkStart w:id="489" w:name="footnotes-22"/>
    <w:p>
      <w:pPr>
        <w:pStyle w:val="Heading3"/>
      </w:pPr>
      <w:r>
        <w:rPr>
          <w:rStyle w:val="SectionNumber"/>
        </w:rPr>
        <w:t xml:space="preserve">9.2.6</w:t>
      </w:r>
      <w:r>
        <w:tab/>
      </w:r>
      <w:r>
        <w:t xml:space="preserve">Footnotes</w:t>
      </w:r>
    </w:p>
    <w:p>
      <w:pPr>
        <w:pStyle w:val="FirstParagraph"/>
      </w:pPr>
      <w:r>
        <w:rPr>
          <w:bCs/>
          <w:b/>
        </w:rPr>
        <w:t xml:space="preserve">Resources</w:t>
      </w:r>
    </w:p>
    <w:p>
      <w:pPr>
        <w:numPr>
          <w:ilvl w:val="0"/>
          <w:numId w:val="1242"/>
        </w:numPr>
        <w:pStyle w:val="Compact"/>
      </w:pPr>
      <w:hyperlink r:id="rId488">
        <w:r>
          <w:rPr>
            <w:rStyle w:val="Hyperlink"/>
          </w:rPr>
          <w:t xml:space="preserve">Google Doc</w:t>
        </w:r>
      </w:hyperlink>
    </w:p>
    <w:p>
      <w:pPr>
        <w:pStyle w:val="FirstParagraph"/>
      </w:pPr>
      <w:r>
        <w:rPr>
          <w:bCs/>
          <w:b/>
        </w:rPr>
        <w:t xml:space="preserve">Contributions and Affiliations</w:t>
      </w:r>
    </w:p>
    <w:p>
      <w:pPr>
        <w:numPr>
          <w:ilvl w:val="0"/>
          <w:numId w:val="1243"/>
        </w:numPr>
        <w:pStyle w:val="Compact"/>
      </w:pPr>
      <w:r>
        <w:t xml:space="preserve">Valeriya Gaysinskaya, Johns Hopkins University</w:t>
      </w:r>
    </w:p>
    <w:p>
      <w:pPr>
        <w:numPr>
          <w:ilvl w:val="0"/>
          <w:numId w:val="1243"/>
        </w:numPr>
        <w:pStyle w:val="Compact"/>
      </w:pPr>
      <w:r>
        <w:t xml:space="preserve">Frederick Tan, Johns Hopkins University</w:t>
      </w:r>
    </w:p>
    <w:p>
      <w:pPr>
        <w:numPr>
          <w:ilvl w:val="0"/>
          <w:numId w:val="1243"/>
        </w:numPr>
        <w:pStyle w:val="Compact"/>
      </w:pPr>
      <w:r>
        <w:t xml:space="preserve">Sayumi York, Notre Dame of Maryland Univeristy</w:t>
      </w:r>
    </w:p>
    <w:bookmarkEnd w:id="489"/>
    <w:bookmarkEnd w:id="490"/>
    <w:bookmarkStart w:id="492" w:name="create-your-cv"/>
    <w:p>
      <w:pPr>
        <w:pStyle w:val="Heading2"/>
      </w:pPr>
      <w:r>
        <w:rPr>
          <w:rStyle w:val="SectionNumber"/>
        </w:rPr>
        <w:t xml:space="preserve">9.3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491" w:name="resume-or-cv"/>
    <w:p>
      <w:pPr>
        <w:pStyle w:val="Heading4"/>
      </w:pPr>
      <w:r>
        <w:rPr>
          <w:rStyle w:val="SectionNumber"/>
        </w:rPr>
        <w:t xml:space="preserve">9.3.0.1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24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24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24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245"/>
        </w:numPr>
        <w:pStyle w:val="Compact"/>
      </w:pPr>
      <w:r>
        <w:t xml:space="preserve">☐   You credit the source of your data (Citation, SRA #, Project #)</w:t>
      </w:r>
    </w:p>
    <w:p>
      <w:pPr>
        <w:numPr>
          <w:ilvl w:val="0"/>
          <w:numId w:val="1245"/>
        </w:numPr>
        <w:pStyle w:val="Compact"/>
      </w:pPr>
      <w:r>
        <w:t xml:space="preserve">☐   You describe why your research project matters</w:t>
      </w:r>
    </w:p>
    <w:p>
      <w:pPr>
        <w:numPr>
          <w:ilvl w:val="0"/>
          <w:numId w:val="124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491"/>
    <w:bookmarkEnd w:id="492"/>
    <w:bookmarkEnd w:id="493"/>
    <w:bookmarkStart w:id="515" w:name="c-moor-scholars"/>
    <w:p>
      <w:pPr>
        <w:pStyle w:val="Heading1"/>
      </w:pPr>
      <w:r>
        <w:rPr>
          <w:rStyle w:val="SectionNumber"/>
        </w:rPr>
        <w:t xml:space="preserve">10</w:t>
      </w:r>
      <w:r>
        <w:tab/>
      </w:r>
      <w:r>
        <w:t xml:space="preserve">C-MOOR Scholars</w:t>
      </w:r>
    </w:p>
    <w:bookmarkStart w:id="502" w:name="c-moor-scholars-1"/>
    <w:p>
      <w:pPr>
        <w:pStyle w:val="Heading2"/>
      </w:pPr>
      <w:r>
        <w:rPr>
          <w:rStyle w:val="SectionNumber"/>
        </w:rPr>
        <w:t xml:space="preserve">10.1</w:t>
      </w:r>
      <w:r>
        <w:tab/>
      </w:r>
      <w:r>
        <w:t xml:space="preserve">C-MOOR Scholars</w:t>
      </w:r>
    </w:p>
    <w:p>
      <w:pPr>
        <w:pStyle w:val="FirstParagraph"/>
      </w:pPr>
      <w:r>
        <w:drawing>
          <wp:inline>
            <wp:extent cx="5334000" cy="3000375"/>
            <wp:effectExtent b="0" l="0" r="0" t="0"/>
            <wp:docPr descr="" title="" id="495" name="Picture"/>
            <a:graphic>
              <a:graphicData uri="http://schemas.openxmlformats.org/drawingml/2006/picture">
                <pic:pic>
                  <pic:nvPicPr>
                    <pic:cNvPr descr="community-analysis-and-feedback_files/figure-docx//1dI8-_iVqbkzNMf11M4dK85E8ZW3OyZECs_YwMKw5fhs_g362a06a915d_2_4.png" id="496" name="Picture"/>
                    <pic:cNvPicPr>
                      <a:picLocks noChangeArrowheads="1" noChangeAspect="1"/>
                    </pic:cNvPicPr>
                  </pic:nvPicPr>
                  <pic:blipFill>
                    <a:blip r:embed="rId4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497">
        <w:r>
          <w:rPr>
            <w:rStyle w:val="Hyperlink"/>
          </w:rPr>
          <w:t xml:space="preserve">C-MOOR Scholars Interest Form</w:t>
        </w:r>
      </w:hyperlink>
      <w:r>
        <w:t xml:space="preserve"> </w:t>
      </w:r>
      <w:r>
        <w:t xml:space="preserve">if interested, and meet some</w:t>
      </w:r>
      <w:r>
        <w:t xml:space="preserve"> </w:t>
      </w:r>
      <w:hyperlink r:id="rId49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246"/>
        </w:numPr>
        <w:pStyle w:val="Compact"/>
      </w:pPr>
      <w:r>
        <w:t xml:space="preserve">A place to grow your skills</w:t>
      </w:r>
    </w:p>
    <w:p>
      <w:pPr>
        <w:numPr>
          <w:ilvl w:val="0"/>
          <w:numId w:val="1246"/>
        </w:numPr>
        <w:pStyle w:val="Compact"/>
      </w:pPr>
      <w:r>
        <w:t xml:space="preserve">A place to network</w:t>
      </w:r>
    </w:p>
    <w:p>
      <w:pPr>
        <w:numPr>
          <w:ilvl w:val="0"/>
          <w:numId w:val="124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247"/>
        </w:numPr>
        <w:pStyle w:val="Compact"/>
      </w:pPr>
      <w:r>
        <w:t xml:space="preserve">A commitment to pursuing research as a career</w:t>
      </w:r>
    </w:p>
    <w:p>
      <w:pPr>
        <w:numPr>
          <w:ilvl w:val="0"/>
          <w:numId w:val="1247"/>
        </w:numPr>
        <w:pStyle w:val="Compact"/>
      </w:pPr>
      <w:r>
        <w:t xml:space="preserve">A graded class where we score work</w:t>
      </w:r>
    </w:p>
    <w:p>
      <w:pPr>
        <w:numPr>
          <w:ilvl w:val="0"/>
          <w:numId w:val="124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499">
        <w:r>
          <w:rPr>
            <w:rStyle w:val="Hyperlink"/>
          </w:rPr>
          <w:t xml:space="preserve">C-MOOR Academy Discussion Forum</w:t>
        </w:r>
      </w:hyperlink>
      <w:r>
        <w:t xml:space="preserve"> </w:t>
      </w:r>
      <w:r>
        <w:t xml:space="preserve">to hear about any remote opportunities we have.</w:t>
      </w:r>
    </w:p>
    <w:bookmarkStart w:id="501" w:name="c-moor-scholars-links"/>
    <w:p>
      <w:pPr>
        <w:pStyle w:val="Heading3"/>
      </w:pPr>
      <w:r>
        <w:rPr>
          <w:rStyle w:val="SectionNumber"/>
        </w:rPr>
        <w:t xml:space="preserve">10.1.1</w:t>
      </w:r>
      <w:r>
        <w:tab/>
      </w:r>
      <w:r>
        <w:t xml:space="preserve">C-MOOR Scholars links</w:t>
      </w:r>
    </w:p>
    <w:p>
      <w:pPr>
        <w:pStyle w:val="FirstParagraph"/>
      </w:pPr>
      <w:r>
        <w:t xml:space="preserve">Share your interests via C-MOOR Scholars Interest Form and learn how C-MOOR community can support you.</w:t>
      </w:r>
    </w:p>
    <w:p>
      <w:pPr>
        <w:numPr>
          <w:ilvl w:val="0"/>
          <w:numId w:val="1248"/>
        </w:numPr>
        <w:pStyle w:val="Compact"/>
      </w:pPr>
      <w:hyperlink r:id="rId500">
        <w:r>
          <w:rPr>
            <w:rStyle w:val="Hyperlink"/>
          </w:rPr>
          <w:t xml:space="preserve">C-MOOR Scholars Interest Form</w:t>
        </w:r>
      </w:hyperlink>
    </w:p>
    <w:p>
      <w:pPr>
        <w:pStyle w:val="FirstParagraph"/>
      </w:pPr>
      <w:r>
        <w:t xml:space="preserve">Meet some of the C-MOOR Scholars and learn how you can support them</w:t>
      </w:r>
    </w:p>
    <w:p>
      <w:pPr>
        <w:numPr>
          <w:ilvl w:val="0"/>
          <w:numId w:val="1249"/>
        </w:numPr>
        <w:pStyle w:val="Compact"/>
      </w:pPr>
      <w:hyperlink r:id="rId498">
        <w:r>
          <w:rPr>
            <w:rStyle w:val="Hyperlink"/>
          </w:rPr>
          <w:t xml:space="preserve">C-MOOR Scholars at CCC</w:t>
        </w:r>
      </w:hyperlink>
    </w:p>
    <w:bookmarkEnd w:id="501"/>
    <w:bookmarkEnd w:id="502"/>
    <w:bookmarkStart w:id="509" w:name="pursue-further-research"/>
    <w:p>
      <w:pPr>
        <w:pStyle w:val="Heading2"/>
      </w:pPr>
      <w:r>
        <w:rPr>
          <w:rStyle w:val="SectionNumber"/>
        </w:rPr>
        <w:t xml:space="preserve">10.2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04" name="Picture"/>
            <a:graphic>
              <a:graphicData uri="http://schemas.openxmlformats.org/drawingml/2006/picture">
                <pic:pic>
                  <pic:nvPicPr>
                    <pic:cNvPr descr="community-analysis-and-feedback_files/figure-docx//1dI8-_iVqbkzNMf11M4dK85E8ZW3OyZECs_YwMKw5fhs_g362974128df_0_98.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bookmarkStart w:id="507" w:name="Xc738158caaf65c8ffd3c6f2ca9b7fa0c34fc752"/>
    <w:p>
      <w:pPr>
        <w:pStyle w:val="Heading3"/>
      </w:pPr>
      <w:r>
        <w:rPr>
          <w:rStyle w:val="SectionNumber"/>
        </w:rPr>
        <w:t xml:space="preserve">10.2.1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25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25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0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07"/>
    <w:bookmarkStart w:id="508" w:name="find-a-research-lab-to-join"/>
    <w:p>
      <w:pPr>
        <w:pStyle w:val="Heading3"/>
      </w:pPr>
      <w:r>
        <w:rPr>
          <w:rStyle w:val="SectionNumber"/>
        </w:rPr>
        <w:t xml:space="preserve">10.2.2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251"/>
        </w:numPr>
        <w:pStyle w:val="Compact"/>
      </w:pPr>
      <w:r>
        <w:t xml:space="preserve">☐  An introduction about yourself (name, class year, institution, major)</w:t>
      </w:r>
    </w:p>
    <w:p>
      <w:pPr>
        <w:numPr>
          <w:ilvl w:val="0"/>
          <w:numId w:val="1251"/>
        </w:numPr>
        <w:pStyle w:val="Compact"/>
      </w:pPr>
      <w:r>
        <w:t xml:space="preserve">☐  1-2 sentences about your previous experience in research</w:t>
      </w:r>
    </w:p>
    <w:p>
      <w:pPr>
        <w:numPr>
          <w:ilvl w:val="0"/>
          <w:numId w:val="1251"/>
        </w:numPr>
        <w:pStyle w:val="Compact"/>
      </w:pPr>
      <w:r>
        <w:t xml:space="preserve">☐  1-2 sentences about why you’re interested in their lab specifically</w:t>
      </w:r>
    </w:p>
    <w:p>
      <w:pPr>
        <w:numPr>
          <w:ilvl w:val="0"/>
          <w:numId w:val="125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08"/>
    <w:bookmarkEnd w:id="509"/>
    <w:bookmarkStart w:id="514" w:name="biodigs"/>
    <w:p>
      <w:pPr>
        <w:pStyle w:val="Heading2"/>
      </w:pPr>
      <w:r>
        <w:rPr>
          <w:rStyle w:val="SectionNumber"/>
        </w:rPr>
        <w:t xml:space="preserve">10.3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11" name="Picture"/>
            <a:graphic>
              <a:graphicData uri="http://schemas.openxmlformats.org/drawingml/2006/picture">
                <pic:pic>
                  <pic:nvPicPr>
                    <pic:cNvPr descr="community-analysis-and-feedback_files/figure-docx//1dI8-_iVqbkzNMf11M4dK85E8ZW3OyZECs_YwMKw5fhs_g362a06a915d_2_10.png" id="512" name="Picture"/>
                    <pic:cNvPicPr>
                      <a:picLocks noChangeArrowheads="1" noChangeAspect="1"/>
                    </pic:cNvPicPr>
                  </pic:nvPicPr>
                  <pic:blipFill>
                    <a:blip r:embed="rId5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1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514"/>
    <w:bookmarkEnd w:id="515"/>
    <w:bookmarkStart w:id="534" w:name="online-community"/>
    <w:p>
      <w:pPr>
        <w:pStyle w:val="Heading1"/>
      </w:pPr>
      <w:r>
        <w:rPr>
          <w:rStyle w:val="SectionNumber"/>
        </w:rPr>
        <w:t xml:space="preserve">11</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51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252"/>
        </w:numPr>
        <w:pStyle w:val="Compact"/>
      </w:pPr>
      <w:hyperlink r:id="rId517">
        <w:r>
          <w:rPr>
            <w:rStyle w:val="Hyperlink"/>
          </w:rPr>
          <w:t xml:space="preserve">C-MOOR Academy Discussion Forum</w:t>
        </w:r>
      </w:hyperlink>
      <w:r>
        <w:t xml:space="preserve"> </w:t>
      </w:r>
      <w:r>
        <w:t xml:space="preserve">for help with and example miniCUREs</w:t>
      </w:r>
    </w:p>
    <w:p>
      <w:pPr>
        <w:numPr>
          <w:ilvl w:val="0"/>
          <w:numId w:val="1252"/>
        </w:numPr>
        <w:pStyle w:val="Compact"/>
      </w:pPr>
      <w:hyperlink r:id="rId518">
        <w:r>
          <w:rPr>
            <w:rStyle w:val="Hyperlink"/>
          </w:rPr>
          <w:t xml:space="preserve">Galaxy forum</w:t>
        </w:r>
      </w:hyperlink>
      <w:r>
        <w:t xml:space="preserve"> </w:t>
      </w:r>
      <w:r>
        <w:t xml:space="preserve">for all things Galaxy</w:t>
      </w:r>
    </w:p>
    <w:p>
      <w:pPr>
        <w:numPr>
          <w:ilvl w:val="0"/>
          <w:numId w:val="1252"/>
        </w:numPr>
        <w:pStyle w:val="Compact"/>
      </w:pPr>
      <w:hyperlink r:id="rId519">
        <w:r>
          <w:rPr>
            <w:rStyle w:val="Hyperlink"/>
          </w:rPr>
          <w:t xml:space="preserve">Bioconductor forum</w:t>
        </w:r>
      </w:hyperlink>
      <w:r>
        <w:t xml:space="preserve"> </w:t>
      </w:r>
      <w:r>
        <w:t xml:space="preserve">for all things R/Bioconductor</w:t>
      </w:r>
    </w:p>
    <w:p>
      <w:pPr>
        <w:numPr>
          <w:ilvl w:val="0"/>
          <w:numId w:val="1252"/>
        </w:numPr>
        <w:pStyle w:val="Compact"/>
      </w:pPr>
      <w:hyperlink r:id="rId520">
        <w:r>
          <w:rPr>
            <w:rStyle w:val="Hyperlink"/>
          </w:rPr>
          <w:t xml:space="preserve">AnVIL forum</w:t>
        </w:r>
      </w:hyperlink>
      <w:r>
        <w:t xml:space="preserve"> </w:t>
      </w:r>
      <w:r>
        <w:t xml:space="preserve">for all things related to the cloud computing platform, AnVIL</w:t>
      </w:r>
    </w:p>
    <w:p>
      <w:pPr>
        <w:numPr>
          <w:ilvl w:val="0"/>
          <w:numId w:val="1252"/>
        </w:numPr>
        <w:pStyle w:val="Compact"/>
      </w:pPr>
      <w:hyperlink r:id="rId521">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523" name="Picture"/>
            <a:graphic>
              <a:graphicData uri="http://schemas.openxmlformats.org/drawingml/2006/picture">
                <pic:pic>
                  <pic:nvPicPr>
                    <pic:cNvPr descr="community-analysis-and-feedback_files/figure-docx//1fH9s5OLcRF5meZtFWTJe89RFvJSh125kdjhdqp5smqA_g302b08c5e6e_0_16.png" id="524" name="Picture"/>
                    <pic:cNvPicPr>
                      <a:picLocks noChangeArrowheads="1" noChangeAspect="1"/>
                    </pic:cNvPicPr>
                  </pic:nvPicPr>
                  <pic:blipFill>
                    <a:blip r:embed="rId5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26" name="Picture"/>
            <a:graphic>
              <a:graphicData uri="http://schemas.openxmlformats.org/drawingml/2006/picture">
                <pic:pic>
                  <pic:nvPicPr>
                    <pic:cNvPr descr="community-analysis-and-feedback_files/figure-docx//1fH9s5OLcRF5meZtFWTJe89RFvJSh125kdjhdqp5smqA_g302b08c5e6e_0_5.png" id="527" name="Picture"/>
                    <pic:cNvPicPr>
                      <a:picLocks noChangeArrowheads="1" noChangeAspect="1"/>
                    </pic:cNvPicPr>
                  </pic:nvPicPr>
                  <pic:blipFill>
                    <a:blip r:embed="rId5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29" name="Picture"/>
            <a:graphic>
              <a:graphicData uri="http://schemas.openxmlformats.org/drawingml/2006/picture">
                <pic:pic>
                  <pic:nvPicPr>
                    <pic:cNvPr descr="community-analysis-and-feedback_files/figure-docx//1fH9s5OLcRF5meZtFWTJe89RFvJSh125kdjhdqp5smqA_g302b08c5e6e_0_22.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32" name="Picture"/>
            <a:graphic>
              <a:graphicData uri="http://schemas.openxmlformats.org/drawingml/2006/picture">
                <pic:pic>
                  <pic:nvPicPr>
                    <pic:cNvPr descr="community-analysis-and-feedback_files/figure-docx//1fH9s5OLcRF5meZtFWTJe89RFvJSh125kdjhdqp5smqA_g302b08c5e6e_0_12.png" id="533" name="Picture"/>
                    <pic:cNvPicPr>
                      <a:picLocks noChangeArrowheads="1" noChangeAspect="1"/>
                    </pic:cNvPicPr>
                  </pic:nvPicPr>
                  <pic:blipFill>
                    <a:blip r:embed="rId53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534"/>
    <w:bookmarkStart w:id="565" w:name="spreadsheets-101"/>
    <w:p>
      <w:pPr>
        <w:pStyle w:val="Heading1"/>
      </w:pPr>
      <w:r>
        <w:rPr>
          <w:rStyle w:val="SectionNumber"/>
        </w:rPr>
        <w:t xml:space="preserve">12</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535" w:name="right-clicking"/>
    <w:p>
      <w:pPr>
        <w:pStyle w:val="Heading4"/>
      </w:pPr>
      <w:r>
        <w:rPr>
          <w:rStyle w:val="SectionNumber"/>
        </w:rPr>
        <w:t xml:space="preserve">12.0.0.1</w:t>
      </w:r>
      <w:r>
        <w:tab/>
      </w:r>
      <w:r>
        <w:rPr>
          <w:bCs/>
          <w:b/>
        </w:rPr>
        <w:t xml:space="preserve">Right clicking?</w:t>
      </w:r>
    </w:p>
    <w:bookmarkEnd w:id="535"/>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253"/>
        </w:numPr>
        <w:pStyle w:val="Compact"/>
      </w:pPr>
      <w:r>
        <w:t xml:space="preserve">Right click by holding Ctrl and left-clicking</w:t>
      </w:r>
    </w:p>
    <w:p>
      <w:pPr>
        <w:numPr>
          <w:ilvl w:val="0"/>
          <w:numId w:val="1253"/>
        </w:numPr>
        <w:pStyle w:val="Compact"/>
      </w:pPr>
      <w:r>
        <w:t xml:space="preserve">Tapping with two fingers as opposed to one</w:t>
      </w:r>
    </w:p>
    <w:bookmarkStart w:id="539" w:name="getting-a-copy-of-the-spreadsheet"/>
    <w:p>
      <w:pPr>
        <w:pStyle w:val="Heading3"/>
      </w:pPr>
      <w:r>
        <w:rPr>
          <w:rStyle w:val="SectionNumber"/>
        </w:rPr>
        <w:t xml:space="preserve">12.0.1</w:t>
      </w:r>
      <w:r>
        <w:tab/>
      </w:r>
      <w:r>
        <w:t xml:space="preserve">Getting a copy of the spreadsheet</w:t>
      </w:r>
    </w:p>
    <w:p>
      <w:pPr>
        <w:pStyle w:val="FirstParagraph"/>
      </w:pPr>
      <w:r>
        <w:drawing>
          <wp:inline>
            <wp:extent cx="5334000" cy="3000375"/>
            <wp:effectExtent b="0" l="0" r="0" t="0"/>
            <wp:docPr descr="" title="" id="537" name="Picture"/>
            <a:graphic>
              <a:graphicData uri="http://schemas.openxmlformats.org/drawingml/2006/picture">
                <pic:pic>
                  <pic:nvPicPr>
                    <pic:cNvPr descr="resources_files/figure-docx//1ah82NLd1weER1SUEJ9aPFDWT2vLg5wK5JW6tjdVkf6o_g3b212331eba_0_25.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539"/>
    <w:bookmarkStart w:id="543" w:name="basic-spreadsheet-terms"/>
    <w:p>
      <w:pPr>
        <w:pStyle w:val="Heading3"/>
      </w:pPr>
      <w:r>
        <w:rPr>
          <w:rStyle w:val="SectionNumber"/>
        </w:rPr>
        <w:t xml:space="preserve">12.0.2</w:t>
      </w:r>
      <w:r>
        <w:tab/>
      </w:r>
      <w:r>
        <w:t xml:space="preserve">Basic spreadsheet terms</w:t>
      </w:r>
    </w:p>
    <w:p>
      <w:pPr>
        <w:pStyle w:val="FirstParagraph"/>
      </w:pPr>
      <w:r>
        <w:drawing>
          <wp:inline>
            <wp:extent cx="5334000" cy="3000375"/>
            <wp:effectExtent b="0" l="0" r="0" t="0"/>
            <wp:docPr descr="" title="" id="541" name="Picture"/>
            <a:graphic>
              <a:graphicData uri="http://schemas.openxmlformats.org/drawingml/2006/picture">
                <pic:pic>
                  <pic:nvPicPr>
                    <pic:cNvPr descr="resources_files/figure-docx//1ah82NLd1weER1SUEJ9aPFDWT2vLg5wK5JW6tjdVkf6o_g3b212331eba_0_5.png" id="542" name="Picture"/>
                    <pic:cNvPicPr>
                      <a:picLocks noChangeArrowheads="1" noChangeAspect="1"/>
                    </pic:cNvPicPr>
                  </pic:nvPicPr>
                  <pic:blipFill>
                    <a:blip r:embed="rId5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543"/>
    <w:bookmarkStart w:id="550" w:name="summary-statistics-by-row-or-column"/>
    <w:p>
      <w:pPr>
        <w:pStyle w:val="Heading3"/>
      </w:pPr>
      <w:r>
        <w:rPr>
          <w:rStyle w:val="SectionNumber"/>
        </w:rPr>
        <w:t xml:space="preserve">12.0.3</w:t>
      </w:r>
      <w:r>
        <w:tab/>
      </w:r>
      <w:r>
        <w:t xml:space="preserve">Summary statistics by row or column</w:t>
      </w:r>
    </w:p>
    <w:p>
      <w:pPr>
        <w:pStyle w:val="FirstParagraph"/>
      </w:pPr>
      <w:r>
        <w:drawing>
          <wp:inline>
            <wp:extent cx="5334000" cy="3000375"/>
            <wp:effectExtent b="0" l="0" r="0" t="0"/>
            <wp:docPr descr="" title="" id="545" name="Picture"/>
            <a:graphic>
              <a:graphicData uri="http://schemas.openxmlformats.org/drawingml/2006/picture">
                <pic:pic>
                  <pic:nvPicPr>
                    <pic:cNvPr descr="resources_files/figure-docx//1ah82NLd1weER1SUEJ9aPFDWT2vLg5wK5JW6tjdVkf6o_g3b212331eba_0_11.png" id="546" name="Picture"/>
                    <pic:cNvPicPr>
                      <a:picLocks noChangeArrowheads="1" noChangeAspect="1"/>
                    </pic:cNvPicPr>
                  </pic:nvPicPr>
                  <pic:blipFill>
                    <a:blip r:embed="rId5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548" name="Picture"/>
            <a:graphic>
              <a:graphicData uri="http://schemas.openxmlformats.org/drawingml/2006/picture">
                <pic:pic>
                  <pic:nvPicPr>
                    <pic:cNvPr descr="resources_files/figure-docx//1ah82NLd1weER1SUEJ9aPFDWT2vLg5wK5JW6tjdVkf6o_g3b212331eba_0_16.png" id="549" name="Picture"/>
                    <pic:cNvPicPr>
                      <a:picLocks noChangeArrowheads="1" noChangeAspect="1"/>
                    </pic:cNvPicPr>
                  </pic:nvPicPr>
                  <pic:blipFill>
                    <a:blip r:embed="rId5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550"/>
    <w:bookmarkStart w:id="554" w:name="adding-data-to-cells"/>
    <w:p>
      <w:pPr>
        <w:pStyle w:val="Heading3"/>
      </w:pPr>
      <w:r>
        <w:rPr>
          <w:rStyle w:val="SectionNumber"/>
        </w:rPr>
        <w:t xml:space="preserve">12.0.4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552" name="Picture"/>
            <a:graphic>
              <a:graphicData uri="http://schemas.openxmlformats.org/drawingml/2006/picture">
                <pic:pic>
                  <pic:nvPicPr>
                    <pic:cNvPr descr="resources_files/figure-docx//1ah82NLd1weER1SUEJ9aPFDWT2vLg5wK5JW6tjdVkf6o_g3b212331eba_0_19.png" id="553" name="Picture"/>
                    <pic:cNvPicPr>
                      <a:picLocks noChangeArrowheads="1" noChangeAspect="1"/>
                    </pic:cNvPicPr>
                  </pic:nvPicPr>
                  <pic:blipFill>
                    <a:blip r:embed="rId5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254"/>
        </w:numPr>
        <w:pStyle w:val="Compact"/>
      </w:pPr>
      <w:r>
        <w:t xml:space="preserve">1+1</w:t>
      </w:r>
    </w:p>
    <w:p>
      <w:pPr>
        <w:numPr>
          <w:ilvl w:val="0"/>
          <w:numId w:val="1254"/>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255"/>
        </w:numPr>
        <w:pStyle w:val="Compact"/>
      </w:pPr>
      <w:r>
        <w:t xml:space="preserve">Type = into a cell</w:t>
      </w:r>
    </w:p>
    <w:p>
      <w:pPr>
        <w:numPr>
          <w:ilvl w:val="0"/>
          <w:numId w:val="1255"/>
        </w:numPr>
        <w:pStyle w:val="Compact"/>
      </w:pPr>
      <w:r>
        <w:t xml:space="preserve">Click on the cell you want to use in a calculation</w:t>
      </w:r>
    </w:p>
    <w:p>
      <w:pPr>
        <w:numPr>
          <w:ilvl w:val="0"/>
          <w:numId w:val="1255"/>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554"/>
    <w:bookmarkStart w:id="558" w:name="applying-a-calculation-to-many-cells"/>
    <w:p>
      <w:pPr>
        <w:pStyle w:val="Heading3"/>
      </w:pPr>
      <w:r>
        <w:rPr>
          <w:rStyle w:val="SectionNumber"/>
        </w:rPr>
        <w:t xml:space="preserve">12.0.5</w:t>
      </w:r>
      <w:r>
        <w:tab/>
      </w:r>
      <w:r>
        <w:t xml:space="preserve">Applying a calculation to many cells</w:t>
      </w:r>
    </w:p>
    <w:p>
      <w:pPr>
        <w:pStyle w:val="FirstParagraph"/>
      </w:pPr>
      <w:r>
        <w:drawing>
          <wp:inline>
            <wp:extent cx="5334000" cy="3000375"/>
            <wp:effectExtent b="0" l="0" r="0" t="0"/>
            <wp:docPr descr="" title="" id="556" name="Picture"/>
            <a:graphic>
              <a:graphicData uri="http://schemas.openxmlformats.org/drawingml/2006/picture">
                <pic:pic>
                  <pic:nvPicPr>
                    <pic:cNvPr descr="resources_files/figure-docx//1ah82NLd1weER1SUEJ9aPFDWT2vLg5wK5JW6tjdVkf6o_g3b212331eba_0_22.png" id="557" name="Picture"/>
                    <pic:cNvPicPr>
                      <a:picLocks noChangeArrowheads="1" noChangeAspect="1"/>
                    </pic:cNvPicPr>
                  </pic:nvPicPr>
                  <pic:blipFill>
                    <a:blip r:embed="rId5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558"/>
    <w:bookmarkStart w:id="562" w:name="manipulating-the-spreadsheet"/>
    <w:p>
      <w:pPr>
        <w:pStyle w:val="Heading3"/>
      </w:pPr>
      <w:r>
        <w:rPr>
          <w:rStyle w:val="SectionNumber"/>
        </w:rPr>
        <w:t xml:space="preserve">12.0.6</w:t>
      </w:r>
      <w:r>
        <w:tab/>
      </w:r>
      <w:r>
        <w:t xml:space="preserve">Manipulating the spreadsheet</w:t>
      </w:r>
    </w:p>
    <w:p>
      <w:pPr>
        <w:pStyle w:val="FirstParagraph"/>
      </w:pPr>
      <w:r>
        <w:drawing>
          <wp:inline>
            <wp:extent cx="5334000" cy="3000375"/>
            <wp:effectExtent b="0" l="0" r="0" t="0"/>
            <wp:docPr descr="" title="" id="560" name="Picture"/>
            <a:graphic>
              <a:graphicData uri="http://schemas.openxmlformats.org/drawingml/2006/picture">
                <pic:pic>
                  <pic:nvPicPr>
                    <pic:cNvPr descr="resources_files/figure-docx//1ah82NLd1weER1SUEJ9aPFDWT2vLg5wK5JW6tjdVkf6o_g3b212331eba_0_28.png" id="561" name="Picture"/>
                    <pic:cNvPicPr>
                      <a:picLocks noChangeArrowheads="1" noChangeAspect="1"/>
                    </pic:cNvPicPr>
                  </pic:nvPicPr>
                  <pic:blipFill>
                    <a:blip r:embed="rId5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562"/>
    <w:bookmarkStart w:id="564" w:name="useful-formulas-in-google-sheets"/>
    <w:p>
      <w:pPr>
        <w:pStyle w:val="Heading3"/>
      </w:pPr>
      <w:r>
        <w:rPr>
          <w:rStyle w:val="SectionNumber"/>
        </w:rPr>
        <w:t xml:space="preserve">12.0.7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563" w:name="on-variance"/>
    <w:p>
      <w:pPr>
        <w:pStyle w:val="Heading4"/>
      </w:pPr>
      <w:r>
        <w:rPr>
          <w:rStyle w:val="SectionNumber"/>
        </w:rPr>
        <w:t xml:space="preserve">12.0.7.1</w:t>
      </w:r>
      <w:r>
        <w:tab/>
      </w:r>
      <w:r>
        <w:rPr>
          <w:bCs/>
          <w:b/>
        </w:rPr>
        <w:t xml:space="preserve">On variance</w:t>
      </w:r>
    </w:p>
    <w:bookmarkEnd w:id="563"/>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564"/>
    <w:bookmarkEnd w:id="565"/>
    <w:bookmarkStart w:id="580" w:name="figure-and-tables-guide"/>
    <w:p>
      <w:pPr>
        <w:pStyle w:val="Heading1"/>
      </w:pPr>
      <w:r>
        <w:rPr>
          <w:rStyle w:val="SectionNumber"/>
        </w:rPr>
        <w:t xml:space="preserve">13</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575" w:name="figures"/>
    <w:p>
      <w:pPr>
        <w:pStyle w:val="Heading3"/>
      </w:pPr>
      <w:r>
        <w:rPr>
          <w:rStyle w:val="SectionNumber"/>
        </w:rPr>
        <w:t xml:space="preserve">13.0.1</w:t>
      </w:r>
      <w:r>
        <w:tab/>
      </w:r>
      <w:r>
        <w:t xml:space="preserve">Figures</w:t>
      </w:r>
    </w:p>
    <w:p>
      <w:pPr>
        <w:pStyle w:val="FirstParagraph"/>
      </w:pPr>
      <w:r>
        <w:drawing>
          <wp:inline>
            <wp:extent cx="5334000" cy="3000375"/>
            <wp:effectExtent b="0" l="0" r="0" t="0"/>
            <wp:docPr descr="" title="" id="567" name="Picture"/>
            <a:graphic>
              <a:graphicData uri="http://schemas.openxmlformats.org/drawingml/2006/picture">
                <pic:pic>
                  <pic:nvPicPr>
                    <pic:cNvPr descr="resources_files/figure-docx//1dI8-_iVqbkzNMf11M4dK85E8ZW3OyZECs_YwMKw5fhs_g3b458cb4825_0_4.png" id="568" name="Picture"/>
                    <pic:cNvPicPr>
                      <a:picLocks noChangeArrowheads="1" noChangeAspect="1"/>
                    </pic:cNvPicPr>
                  </pic:nvPicPr>
                  <pic:blipFill>
                    <a:blip r:embed="rId5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570" name="Picture"/>
            <a:graphic>
              <a:graphicData uri="http://schemas.openxmlformats.org/drawingml/2006/picture">
                <pic:pic>
                  <pic:nvPicPr>
                    <pic:cNvPr descr="resources_files/figure-docx//1dI8-_iVqbkzNMf11M4dK85E8ZW3OyZECs_YwMKw5fhs_g3b458cb4825_0_28.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573" name="Picture"/>
            <a:graphic>
              <a:graphicData uri="http://schemas.openxmlformats.org/drawingml/2006/picture">
                <pic:pic>
                  <pic:nvPicPr>
                    <pic:cNvPr descr="resources_files/figure-docx//1dI8-_iVqbkzNMf11M4dK85E8ZW3OyZECs_YwMKw5fhs_g3b458cb4825_0_85.png" id="574" name="Picture"/>
                    <pic:cNvPicPr>
                      <a:picLocks noChangeArrowheads="1" noChangeAspect="1"/>
                    </pic:cNvPicPr>
                  </pic:nvPicPr>
                  <pic:blipFill>
                    <a:blip r:embed="rId5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256"/>
        </w:numPr>
        <w:pStyle w:val="Compact"/>
      </w:pPr>
      <w:r>
        <w:t xml:space="preserve">Each panel is denoted by a different letter.</w:t>
      </w:r>
    </w:p>
    <w:p>
      <w:pPr>
        <w:numPr>
          <w:ilvl w:val="0"/>
          <w:numId w:val="1256"/>
        </w:numPr>
        <w:pStyle w:val="Compact"/>
      </w:pPr>
      <w:r>
        <w:t xml:space="preserve">The title is comprehensive of both panels.</w:t>
      </w:r>
    </w:p>
    <w:p>
      <w:pPr>
        <w:numPr>
          <w:ilvl w:val="0"/>
          <w:numId w:val="1256"/>
        </w:numPr>
        <w:pStyle w:val="Compact"/>
      </w:pPr>
      <w:r>
        <w:t xml:space="preserve">Bolded letters draw the reader to the part of the legend specific to each panel.</w:t>
      </w:r>
    </w:p>
    <w:p>
      <w:pPr>
        <w:numPr>
          <w:ilvl w:val="0"/>
          <w:numId w:val="1256"/>
        </w:numPr>
        <w:pStyle w:val="Compact"/>
      </w:pPr>
      <w:r>
        <w:t xml:space="preserve">The standard information for the legend is included for each panel.</w:t>
      </w:r>
    </w:p>
    <w:bookmarkEnd w:id="575"/>
    <w:bookmarkStart w:id="579" w:name="tables"/>
    <w:p>
      <w:pPr>
        <w:pStyle w:val="Heading3"/>
      </w:pPr>
      <w:r>
        <w:rPr>
          <w:rStyle w:val="SectionNumber"/>
        </w:rPr>
        <w:t xml:space="preserve">13.0.2</w:t>
      </w:r>
      <w:r>
        <w:tab/>
      </w:r>
      <w:r>
        <w:t xml:space="preserve">Tables</w:t>
      </w:r>
    </w:p>
    <w:p>
      <w:pPr>
        <w:pStyle w:val="FirstParagraph"/>
      </w:pPr>
      <w:r>
        <w:drawing>
          <wp:inline>
            <wp:extent cx="5334000" cy="3000375"/>
            <wp:effectExtent b="0" l="0" r="0" t="0"/>
            <wp:docPr descr="" title="" id="577" name="Picture"/>
            <a:graphic>
              <a:graphicData uri="http://schemas.openxmlformats.org/drawingml/2006/picture">
                <pic:pic>
                  <pic:nvPicPr>
                    <pic:cNvPr descr="resources_files/figure-docx//1dI8-_iVqbkzNMf11M4dK85E8ZW3OyZECs_YwMKw5fhs_g3b458cb4825_0_60.png" id="578" name="Picture"/>
                    <pic:cNvPicPr>
                      <a:picLocks noChangeArrowheads="1" noChangeAspect="1"/>
                    </pic:cNvPicPr>
                  </pic:nvPicPr>
                  <pic:blipFill>
                    <a:blip r:embed="rId5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579"/>
    <w:bookmarkEnd w:id="580"/>
    <w:bookmarkStart w:id="586" w:name="s-minicure-guide"/>
    <w:p>
      <w:pPr>
        <w:pStyle w:val="Heading1"/>
      </w:pPr>
      <w:r>
        <w:rPr>
          <w:rStyle w:val="SectionNumber"/>
        </w:rPr>
        <w:t xml:space="preserve">14</w:t>
      </w:r>
      <w:r>
        <w:tab/>
      </w:r>
      <w:r>
        <w:t xml:space="preserve">16S miniCURE Guide</w:t>
      </w:r>
    </w:p>
    <w:p>
      <w:pPr>
        <w:pStyle w:val="FirstParagraph"/>
      </w:pPr>
      <w:r>
        <w:drawing>
          <wp:inline>
            <wp:extent cx="5334000" cy="3000375"/>
            <wp:effectExtent b="0" l="0" r="0" t="0"/>
            <wp:docPr descr="" title="" id="582" name="Picture"/>
            <a:graphic>
              <a:graphicData uri="http://schemas.openxmlformats.org/drawingml/2006/picture">
                <pic:pic>
                  <pic:nvPicPr>
                    <pic:cNvPr descr="resources_files/figure-docx//1dEZtb0TgLbzhbr3HxQElwg8hENur2HMIzseg19OGd0g_g364010c1963_0_5.png" id="583" name="Picture"/>
                    <pic:cNvPicPr>
                      <a:picLocks noChangeArrowheads="1" noChangeAspect="1"/>
                    </pic:cNvPicPr>
                  </pic:nvPicPr>
                  <pic:blipFill>
                    <a:blip r:embed="rId5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have a</w:t>
      </w:r>
      <w:r>
        <w:t xml:space="preserve"> </w:t>
      </w:r>
      <w:hyperlink r:id="rId584">
        <w:r>
          <w:rPr>
            <w:rStyle w:val="Hyperlink"/>
          </w:rPr>
          <w:t xml:space="preserve">comprehensive guide for this miniCURE</w:t>
        </w:r>
      </w:hyperlink>
      <w:r>
        <w:t xml:space="preserve">!</w:t>
      </w:r>
    </w:p>
    <w:p>
      <w:pPr>
        <w:pStyle w:val="BodyText"/>
      </w:pPr>
      <w:r>
        <w:t xml:space="preserve">This guide is a complete packet that contains an overview of the learning objectives for ecah module, instructions for accessing modules on AnVIL, highlights of content, guided code blocks, and an overview of each dataset we have available for research projects!</w:t>
      </w:r>
    </w:p>
    <w:p>
      <w:pPr>
        <w:pStyle w:val="BodyText"/>
      </w:pPr>
      <w:r>
        <w:t xml:space="preserve">Download the PDF for a digital reference and print out selected sheets for use in the classroom!</w:t>
      </w:r>
    </w:p>
    <w:bookmarkStart w:id="585" w:name="footnotes-23"/>
    <w:p>
      <w:pPr>
        <w:pStyle w:val="Heading3"/>
      </w:pPr>
      <w:r>
        <w:rPr>
          <w:rStyle w:val="SectionNumber"/>
        </w:rPr>
        <w:t xml:space="preserve">14.0.1</w:t>
      </w:r>
      <w:r>
        <w:tab/>
      </w:r>
      <w:r>
        <w:t xml:space="preserve">Footnotes</w:t>
      </w:r>
    </w:p>
    <w:p>
      <w:pPr>
        <w:pStyle w:val="FirstParagraph"/>
      </w:pPr>
      <w:r>
        <w:rPr>
          <w:bCs/>
          <w:b/>
        </w:rPr>
        <w:t xml:space="preserve">Contributions and Affiliations</w:t>
      </w:r>
    </w:p>
    <w:p>
      <w:pPr>
        <w:numPr>
          <w:ilvl w:val="0"/>
          <w:numId w:val="1257"/>
        </w:numPr>
        <w:pStyle w:val="Compact"/>
      </w:pPr>
      <w:r>
        <w:t xml:space="preserve">Sayumi York, Notre Dame of Maryland University</w:t>
      </w:r>
    </w:p>
    <w:p>
      <w:pPr>
        <w:pStyle w:val="FirstParagraph"/>
      </w:pPr>
      <w:r>
        <w:t xml:space="preserve">Last Revised: August 2025</w:t>
      </w:r>
    </w:p>
    <w:bookmarkEnd w:id="585"/>
    <w:bookmarkEnd w:id="586"/>
    <w:bookmarkStart w:id="587" w:name="appendix"/>
    <w:p>
      <w:pPr>
        <w:pStyle w:val="Heading1"/>
      </w:pPr>
      <w:r>
        <w:t xml:space="preserve">Appendix</w:t>
      </w:r>
    </w:p>
    <w:bookmarkEnd w:id="587"/>
    <w:bookmarkStart w:id="589" w:name="competencies-table"/>
    <w:p>
      <w:pPr>
        <w:pStyle w:val="Heading1"/>
      </w:pPr>
      <w:r>
        <w:rPr>
          <w:rStyle w:val="SectionNumber"/>
        </w:rPr>
        <w:t xml:space="preserve">15</w:t>
      </w:r>
      <w:r>
        <w:tab/>
      </w:r>
      <w:r>
        <w:t xml:space="preserve">Core Competencies</w:t>
      </w:r>
    </w:p>
    <w:p>
      <w:pPr>
        <w:pStyle w:val="FirstParagraph"/>
      </w:pPr>
      <w:r>
        <w:t xml:space="preserve">The activities in this miniCURE address several core concepts and competencies as identified by professional societies and working groups. The table below lists the relevant core concepts and competencies from the following sources:</w:t>
      </w:r>
      <w:r>
        <w:t xml:space="preserve"> </w:t>
      </w:r>
      <w:r>
        <w:t xml:space="preserve"> </w:t>
      </w:r>
    </w:p>
    <w:p>
      <w:pPr>
        <w:numPr>
          <w:ilvl w:val="0"/>
          <w:numId w:val="1258"/>
        </w:numPr>
        <w:pStyle w:val="Compact"/>
      </w:pPr>
      <w:hyperlink r:id="rId588">
        <w:r>
          <w:rPr>
            <w:rStyle w:val="Hyperlink"/>
          </w:rPr>
          <w:t xml:space="preserve">Vision and Change in Undergraduate Biology Education</w:t>
        </w:r>
      </w:hyperlink>
      <w:r>
        <w:t xml:space="preserve"> </w:t>
      </w:r>
      <w:r>
        <w:t xml:space="preserve">AAAS report</w:t>
      </w:r>
    </w:p>
    <w:p>
      <w:pPr>
        <w:numPr>
          <w:ilvl w:val="0"/>
          <w:numId w:val="1258"/>
        </w:numPr>
        <w:pStyle w:val="Compact"/>
      </w:pPr>
      <w:hyperlink r:id="rId27">
        <w:r>
          <w:rPr>
            <w:rStyle w:val="Hyperlink"/>
          </w:rPr>
          <w:t xml:space="preserve">Bioinformatics core competencies for undergraduate life sciences education</w:t>
        </w:r>
      </w:hyperlink>
      <w:r>
        <w:t xml:space="preserve"> </w:t>
      </w:r>
      <w:r>
        <w:t xml:space="preserve">by</w:t>
      </w:r>
      <w:r>
        <w:t xml:space="preserve"> </w:t>
      </w:r>
      <w:hyperlink r:id="rId28">
        <w:r>
          <w:rPr>
            <w:rStyle w:val="Hyperlink"/>
          </w:rPr>
          <w:t xml:space="preserve">NIBLSE</w:t>
        </w:r>
      </w:hyperlink>
    </w:p>
    <w:p>
      <w:pPr>
        <w:pStyle w:val="FirstParagraph"/>
      </w:pPr>
      <w:r>
        <w:t xml:space="preserve"> </w:t>
      </w:r>
    </w:p>
    <w:p>
      <w:pPr>
        <w:pStyle w:val="BodyText"/>
      </w:pPr>
      <w:r>
        <w:rPr>
          <w:bCs/>
          <w:b/>
        </w:rPr>
        <w:t xml:space="preserve">Vision and Change</w:t>
      </w:r>
    </w:p>
    <w:p>
      <w:pPr>
        <w:pStyle w:val="BodyText"/>
      </w:pPr>
      <w:r>
        <w:t xml:space="preserve">Concepts</w:t>
      </w:r>
    </w:p>
    <w:p>
      <w:pPr>
        <w:pStyle w:val="BodyText"/>
      </w:pPr>
      <w:r>
        <w:rPr>
          <w:bCs/>
          <w:b/>
        </w:rPr>
        <w:t xml:space="preserve">5</w:t>
      </w:r>
      <w:r>
        <w:t xml:space="preserve">: SYSTEMS: Living systems are interconnected and interacting.</w:t>
      </w:r>
    </w:p>
    <w:p>
      <w:pPr>
        <w:pStyle w:val="BodyText"/>
      </w:pPr>
      <w:r>
        <w:t xml:space="preserve">Competencies</w:t>
      </w:r>
    </w:p>
    <w:p>
      <w:pPr>
        <w:pStyle w:val="BodyText"/>
      </w:pPr>
      <w:r>
        <w:rPr>
          <w:bCs/>
          <w:b/>
        </w:rPr>
        <w:t xml:space="preserve">1</w:t>
      </w:r>
      <w:r>
        <w:t xml:space="preserve">: Ability to apply the process of science</w:t>
      </w:r>
    </w:p>
    <w:p>
      <w:pPr>
        <w:pStyle w:val="BodyText"/>
      </w:pPr>
      <w:r>
        <w:rPr>
          <w:bCs/>
          <w:b/>
        </w:rPr>
        <w:t xml:space="preserve">2</w:t>
      </w:r>
      <w:r>
        <w:t xml:space="preserve">: Ability to use quantitative reasoning</w:t>
      </w:r>
    </w:p>
    <w:p>
      <w:pPr>
        <w:pStyle w:val="BodyText"/>
      </w:pPr>
      <w:r>
        <w:rPr>
          <w:bCs/>
          <w:b/>
        </w:rPr>
        <w:t xml:space="preserve">4</w:t>
      </w:r>
      <w:r>
        <w:t xml:space="preserve">: Ability to tap into the interdisciplinary nature of science</w:t>
      </w:r>
    </w:p>
    <w:p>
      <w:pPr>
        <w:pStyle w:val="BodyText"/>
      </w:pPr>
      <w:r>
        <w:rPr>
          <w:bCs/>
          <w:b/>
        </w:rPr>
        <w:t xml:space="preserve">5</w:t>
      </w:r>
      <w:r>
        <w:t xml:space="preserve">: Ability to communicate and collaborate with other disciplines</w:t>
      </w:r>
    </w:p>
    <w:p>
      <w:pPr>
        <w:pStyle w:val="BodyText"/>
      </w:pPr>
      <w:r>
        <w:rPr>
          <w:bCs/>
          <w:b/>
        </w:rPr>
        <w:t xml:space="preserve">6</w:t>
      </w:r>
      <w:r>
        <w:t xml:space="preserve">: Ability to understand the relationship between science and society</w:t>
      </w:r>
    </w:p>
    <w:p>
      <w:pPr>
        <w:pStyle w:val="BodyText"/>
      </w:pPr>
      <w:r>
        <w:rPr>
          <w:bCs/>
          <w:b/>
        </w:rPr>
        <w:t xml:space="preserve">Bioinformatics</w:t>
      </w:r>
    </w:p>
    <w:p>
      <w:pPr>
        <w:pStyle w:val="BodyText"/>
      </w:pPr>
      <w:r>
        <w:rPr>
          <w:bCs/>
          <w:b/>
        </w:rPr>
        <w:t xml:space="preserve">C1</w:t>
      </w:r>
      <w:r>
        <w:t xml:space="preserve">: Explain the role of computation and data mining in addressing hypothesis-driven and hypothesis-generating questions within the life sciences</w:t>
      </w:r>
    </w:p>
    <w:p>
      <w:pPr>
        <w:pStyle w:val="BodyText"/>
      </w:pPr>
      <w:r>
        <w:rPr>
          <w:bCs/>
          <w:b/>
        </w:rPr>
        <w:t xml:space="preserve">C3</w:t>
      </w:r>
      <w:r>
        <w:t xml:space="preserve">: Apply statistical concepts used in bioinformatics</w:t>
      </w:r>
    </w:p>
    <w:p>
      <w:pPr>
        <w:pStyle w:val="BodyText"/>
      </w:pPr>
      <w:r>
        <w:rPr>
          <w:bCs/>
          <w:b/>
        </w:rPr>
        <w:t xml:space="preserve">C4</w:t>
      </w:r>
      <w:r>
        <w:t xml:space="preserve">: Use bioinformatics tools to examine complex biological problems in evolution, information flow, and other important areas of biology</w:t>
      </w:r>
    </w:p>
    <w:p>
      <w:pPr>
        <w:pStyle w:val="BodyText"/>
      </w:pPr>
      <w:r>
        <w:rPr>
          <w:bCs/>
          <w:b/>
        </w:rPr>
        <w:t xml:space="preserve">C5</w:t>
      </w:r>
      <w:r>
        <w:t xml:space="preserve">: Find, retrieve, and organize various types of biological data</w:t>
      </w:r>
    </w:p>
    <w:p>
      <w:pPr>
        <w:pStyle w:val="BodyText"/>
      </w:pPr>
      <w:r>
        <w:rPr>
          <w:bCs/>
          <w:b/>
        </w:rPr>
        <w:t xml:space="preserve">C6</w:t>
      </w:r>
      <w:r>
        <w:t xml:space="preserve">: Explore and/or model biological interactions, networks and data integration using bioinformatics</w:t>
      </w:r>
    </w:p>
    <w:bookmarkEnd w:id="589"/>
    <w:bookmarkStart w:id="597" w:name="about-the-authors"/>
    <w:p>
      <w:pPr>
        <w:pStyle w:val="Heading1"/>
      </w:pPr>
      <w:r>
        <w:t xml:space="preserve">About the Authors</w:t>
      </w:r>
    </w:p>
    <w:p>
      <w:pPr>
        <w:pStyle w:val="FirstParagraph"/>
      </w:pPr>
      <w:r>
        <w:t xml:space="preserve">These credits are based on our</w:t>
      </w:r>
      <w:r>
        <w:t xml:space="preserve"> </w:t>
      </w:r>
      <w:hyperlink r:id="rId59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91">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92">
              <w:r>
                <w:rPr>
                  <w:rStyle w:val="Hyperlink"/>
                </w:rPr>
                <w:t xml:space="preserve">Candace Savonen</w:t>
              </w:r>
            </w:hyperlink>
            <w:r>
              <w:t xml:space="preserve">,</w:t>
            </w:r>
            <w:r>
              <w:t xml:space="preserve"> </w:t>
            </w:r>
            <w:hyperlink r:id="rId593">
              <w:r>
                <w:rPr>
                  <w:rStyle w:val="Hyperlink"/>
                </w:rPr>
                <w:t xml:space="preserve">Carrie Wright</w:t>
              </w:r>
            </w:hyperlink>
            <w:r>
              <w:t xml:space="preserve">,</w:t>
            </w:r>
            <w:r>
              <w:t xml:space="preserve"> </w:t>
            </w:r>
            <w:hyperlink r:id="rId59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9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93">
              <w:r>
                <w:rPr>
                  <w:rStyle w:val="Hyperlink"/>
                </w:rPr>
                <w:t xml:space="preserve">Carrie Wright</w:t>
              </w:r>
            </w:hyperlink>
            <w:r>
              <w:t xml:space="preserve">,</w:t>
            </w:r>
            <w:r>
              <w:t xml:space="preserve"> </w:t>
            </w:r>
            <w:hyperlink r:id="rId594">
              <w:r>
                <w:rPr>
                  <w:rStyle w:val="Hyperlink"/>
                </w:rPr>
                <w:t xml:space="preserve">Ava Hoffman</w:t>
              </w:r>
            </w:hyperlink>
            <w:r>
              <w:t xml:space="preserve">,</w:t>
            </w:r>
            <w:r>
              <w:t xml:space="preserve"> </w:t>
            </w:r>
            <w:hyperlink r:id="rId592">
              <w:r>
                <w:rPr>
                  <w:rStyle w:val="Hyperlink"/>
                </w:rPr>
                <w:t xml:space="preserve">Candace Savonen</w:t>
              </w:r>
            </w:hyperlink>
          </w:p>
        </w:tc>
      </w:tr>
      <w:tr>
        <w:tc>
          <w:tcPr/>
          <w:p>
            <w:pPr>
              <w:pStyle w:val="Compact"/>
              <w:jc w:val="left"/>
            </w:pPr>
            <w:r>
              <w:t xml:space="preserve">Package Developers (</w:t>
            </w:r>
            <w:hyperlink r:id="rId595">
              <w:r>
                <w:rPr>
                  <w:rStyle w:val="Hyperlink"/>
                </w:rPr>
                <w:t xml:space="preserve">ottrpal</w:t>
              </w:r>
            </w:hyperlink>
            <w:r>
              <w:t xml:space="preserve">)</w:t>
            </w:r>
            <w:r>
              <w:t xml:space="preserve"> </w:t>
            </w:r>
            <w:hyperlink r:id="rId592">
              <w:r>
                <w:rPr>
                  <w:rStyle w:val="Hyperlink"/>
                </w:rPr>
                <w:t xml:space="preserve">Candace Savonen</w:t>
              </w:r>
            </w:hyperlink>
            <w:r>
              <w:t xml:space="preserve">,</w:t>
            </w:r>
            <w:r>
              <w:t xml:space="preserve"> </w:t>
            </w:r>
            <w:hyperlink r:id="rId596">
              <w:r>
                <w:rPr>
                  <w:rStyle w:val="Hyperlink"/>
                </w:rPr>
                <w:t xml:space="preserve">John Muschelli</w:t>
              </w:r>
            </w:hyperlink>
            <w:r>
              <w:t xml:space="preserve">,</w:t>
            </w:r>
            <w:r>
              <w:t xml:space="preserve"> </w:t>
            </w:r>
            <w:hyperlink r:id="rId593">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2026-07-02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597"/>
    <w:bookmarkStart w:id="598" w:name="references-1"/>
    <w:p>
      <w:pPr>
        <w:pStyle w:val="Heading1"/>
      </w:pPr>
      <w:r>
        <w:t xml:space="preserve">References</w:t>
      </w:r>
    </w:p>
    <w:bookmarkEnd w:id="5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1"/>
  </w:num>
  <w:num w:numId="12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8">
    <w:abstractNumId w:val="991"/>
  </w:num>
  <w:num w:numId="123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 Target="media/rId226.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376" Target="media/rId376.png" /><Relationship Type="http://schemas.openxmlformats.org/officeDocument/2006/relationships/image" Id="rId371" Target="media/rId371.png" /><Relationship Type="http://schemas.openxmlformats.org/officeDocument/2006/relationships/image" Id="rId312" Target="media/rId312.png" /><Relationship Type="http://schemas.openxmlformats.org/officeDocument/2006/relationships/image" Id="rId440" Target="media/rId440.png" /><Relationship Type="http://schemas.openxmlformats.org/officeDocument/2006/relationships/image" Id="rId468" Target="media/rId468.png" /><Relationship Type="http://schemas.openxmlformats.org/officeDocument/2006/relationships/image" Id="rId386" Target="media/rId386.png" /><Relationship Type="http://schemas.openxmlformats.org/officeDocument/2006/relationships/image" Id="rId402" Target="media/rId402.png" /><Relationship Type="http://schemas.openxmlformats.org/officeDocument/2006/relationships/image" Id="rId427" Target="media/rId427.png" /><Relationship Type="http://schemas.openxmlformats.org/officeDocument/2006/relationships/image" Id="rId417" Target="media/rId417.png" /><Relationship Type="http://schemas.openxmlformats.org/officeDocument/2006/relationships/image" Id="rId421" Target="media/rId421.png" /><Relationship Type="http://schemas.openxmlformats.org/officeDocument/2006/relationships/image" Id="rId503" Target="media/rId503.png" /><Relationship Type="http://schemas.openxmlformats.org/officeDocument/2006/relationships/image" Id="rId510" Target="media/rId510.png" /><Relationship Type="http://schemas.openxmlformats.org/officeDocument/2006/relationships/image" Id="rId494" Target="media/rId494.png" /><Relationship Type="http://schemas.openxmlformats.org/officeDocument/2006/relationships/image" Id="rId398" Target="media/rId398.png" /><Relationship Type="http://schemas.openxmlformats.org/officeDocument/2006/relationships/image" Id="rId531" Target="media/rId531.png" /><Relationship Type="http://schemas.openxmlformats.org/officeDocument/2006/relationships/image" Id="rId522" Target="media/rId522.png" /><Relationship Type="http://schemas.openxmlformats.org/officeDocument/2006/relationships/image" Id="rId528" Target="media/rId528.png" /><Relationship Type="http://schemas.openxmlformats.org/officeDocument/2006/relationships/image" Id="rId525" Target="media/rId525.png" /><Relationship Type="http://schemas.openxmlformats.org/officeDocument/2006/relationships/image" Id="rId405" Target="media/rId405.png" /><Relationship Type="http://schemas.openxmlformats.org/officeDocument/2006/relationships/image" Id="rId413" Target="media/rId413.png" /><Relationship Type="http://schemas.openxmlformats.org/officeDocument/2006/relationships/image" Id="rId394" Target="media/rId394.png" /><Relationship Type="http://schemas.openxmlformats.org/officeDocument/2006/relationships/image" Id="rId409" Target="media/rId409.png" /><Relationship Type="http://schemas.openxmlformats.org/officeDocument/2006/relationships/image" Id="rId465" Target="media/rId465.png" /><Relationship Type="http://schemas.openxmlformats.org/officeDocument/2006/relationships/image" Id="rId255" Target="media/rId255.png" /><Relationship Type="http://schemas.openxmlformats.org/officeDocument/2006/relationships/image" Id="rId58" Target="media/rId58.jpg" /><Relationship Type="http://schemas.openxmlformats.org/officeDocument/2006/relationships/image" Id="rId20" Target="media/rId20.png" /><Relationship Type="http://schemas.openxmlformats.org/officeDocument/2006/relationships/image" Id="rId126" Target="media/rId126.png" /><Relationship Type="http://schemas.openxmlformats.org/officeDocument/2006/relationships/image" Id="rId140" Target="media/rId140.png" /><Relationship Type="http://schemas.openxmlformats.org/officeDocument/2006/relationships/image" Id="rId157" Target="media/rId157.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88" Target="media/rId88.png" /><Relationship Type="http://schemas.openxmlformats.org/officeDocument/2006/relationships/image" Id="rId99" Target="media/rId99.png" /><Relationship Type="http://schemas.openxmlformats.org/officeDocument/2006/relationships/image" Id="rId91" Target="media/rId91.png" /><Relationship Type="http://schemas.openxmlformats.org/officeDocument/2006/relationships/image" Id="rId69" Target="media/rId69.png" /><Relationship Type="http://schemas.openxmlformats.org/officeDocument/2006/relationships/image" Id="rId49" Target="media/rId49.png" /><Relationship Type="http://schemas.openxmlformats.org/officeDocument/2006/relationships/image" Id="rId118" Target="media/rId118.png" /><Relationship Type="http://schemas.openxmlformats.org/officeDocument/2006/relationships/image" Id="rId110" Target="media/rId110.png" /><Relationship Type="http://schemas.openxmlformats.org/officeDocument/2006/relationships/image" Id="rId115" Target="media/rId115.png" /><Relationship Type="http://schemas.openxmlformats.org/officeDocument/2006/relationships/image" Id="rId544" Target="media/rId544.png" /><Relationship Type="http://schemas.openxmlformats.org/officeDocument/2006/relationships/image" Id="rId547" Target="media/rId547.png" /><Relationship Type="http://schemas.openxmlformats.org/officeDocument/2006/relationships/image" Id="rId551" Target="media/rId551.png" /><Relationship Type="http://schemas.openxmlformats.org/officeDocument/2006/relationships/image" Id="rId555" Target="media/rId555.png" /><Relationship Type="http://schemas.openxmlformats.org/officeDocument/2006/relationships/image" Id="rId536" Target="media/rId536.png" /><Relationship Type="http://schemas.openxmlformats.org/officeDocument/2006/relationships/image" Id="rId559" Target="media/rId559.png" /><Relationship Type="http://schemas.openxmlformats.org/officeDocument/2006/relationships/image" Id="rId540" Target="media/rId540.png" /><Relationship Type="http://schemas.openxmlformats.org/officeDocument/2006/relationships/image" Id="rId581" Target="media/rId581.png" /><Relationship Type="http://schemas.openxmlformats.org/officeDocument/2006/relationships/image" Id="rId569" Target="media/rId569.png" /><Relationship Type="http://schemas.openxmlformats.org/officeDocument/2006/relationships/image" Id="rId566" Target="media/rId566.png" /><Relationship Type="http://schemas.openxmlformats.org/officeDocument/2006/relationships/image" Id="rId576" Target="media/rId576.png" /><Relationship Type="http://schemas.openxmlformats.org/officeDocument/2006/relationships/image" Id="rId572" Target="media/rId572.png" /><Relationship Type="http://schemas.openxmlformats.org/officeDocument/2006/relationships/image" Id="rId167" Target="media/rId167.png" /><Relationship Type="http://schemas.openxmlformats.org/officeDocument/2006/relationships/image" Id="rId181" Target="media/rId181.png" /><Relationship Type="http://schemas.openxmlformats.org/officeDocument/2006/relationships/hyperlink" Id="rId513" Target="biodigs.org" TargetMode="External" /><Relationship Type="http://schemas.openxmlformats.org/officeDocument/2006/relationships/hyperlink" Id="rId424" Target="doi:10.1261/rna.2000810" TargetMode="External" /><Relationship Type="http://schemas.openxmlformats.org/officeDocument/2006/relationships/hyperlink" Id="rId425" Target="doi:10.7554/eLife.00886" TargetMode="External" /><Relationship Type="http://schemas.openxmlformats.org/officeDocument/2006/relationships/hyperlink" Id="rId499" Target="help.c-moor.org" TargetMode="External" /><Relationship Type="http://schemas.openxmlformats.org/officeDocument/2006/relationships/hyperlink" Id="rId35" Target="https://anvil.terra.bio/" TargetMode="External" /><Relationship Type="http://schemas.openxmlformats.org/officeDocument/2006/relationships/hyperlink" Id="rId521" Target="https://biodigs.org/#home" TargetMode="External" /><Relationship Type="http://schemas.openxmlformats.org/officeDocument/2006/relationships/hyperlink" Id="rId484" Target="https://bsky.app/search?q=metagenomics" TargetMode="External" /><Relationship Type="http://schemas.openxmlformats.org/officeDocument/2006/relationships/hyperlink" Id="rId593" Target="https://carriewright11.github.io/" TargetMode="External" /><Relationship Type="http://schemas.openxmlformats.org/officeDocument/2006/relationships/hyperlink" Id="rId488" Target="https://docs.google.com/document/d/11gEndv8IaqVKuq53rMzltsUQSvyLNjczRTZAD_xt_do/edit?usp=sharing" TargetMode="External" /><Relationship Type="http://schemas.openxmlformats.org/officeDocument/2006/relationships/hyperlink" Id="rId248" Target="https://docs.google.com/document/d/12pKSIwcVXisaf6dniyoG_AGdCQh1dG1dDwZ5s1cz92c/edit?usp=sharing" TargetMode="External" /><Relationship Type="http://schemas.openxmlformats.org/officeDocument/2006/relationships/hyperlink" Id="rId434" Target="https://docs.google.com/document/d/13eB1fwHEB1I00JHBUQLZIJsi-iQZYaWaXThPqCTU17g/edit?usp=sharing" TargetMode="External" /><Relationship Type="http://schemas.openxmlformats.org/officeDocument/2006/relationships/hyperlink" Id="rId38" Target="https://docs.google.com/document/d/1Aq4wVqO6S-PbKuV-rBiiRySVor_FLaRHp_CPuWBJPm4/edit?usp=sharing" TargetMode="External" /><Relationship Type="http://schemas.openxmlformats.org/officeDocument/2006/relationships/hyperlink" Id="rId197" Target="https://docs.google.com/document/d/1Mg9DGVk0EsSfYwl8VsRHb-_QdtZqiBmhWvbhUWkQERc/edit?usp=sharing" TargetMode="External" /><Relationship Type="http://schemas.openxmlformats.org/officeDocument/2006/relationships/hyperlink" Id="rId327" Target="https://docs.google.com/document/d/1OWgUwaT2MlSd-qq7wSlB3BnM-cq_GTxEyy38HV5ajoU/edit?usp=sharing" TargetMode="External" /><Relationship Type="http://schemas.openxmlformats.org/officeDocument/2006/relationships/hyperlink" Id="rId461" Target="https://docs.google.com/document/d/1OvMwNIsB019EVZukYG-8JXg7P4no4WmEc2w4ryvKz4k/edit?usp=sharing" TargetMode="External" /><Relationship Type="http://schemas.openxmlformats.org/officeDocument/2006/relationships/hyperlink" Id="rId176" Target="https://docs.google.com/document/d/1Uzw-dPwx4kxrcDKLTM7hjxN09oFkTQWg/edit?usp=sharing&amp;ouid=117014088395158370475&amp;rtpof=true&amp;sd=true" TargetMode="External" /><Relationship Type="http://schemas.openxmlformats.org/officeDocument/2006/relationships/hyperlink" Id="rId37" Target="https://docs.google.com/document/d/1WxlN2XG5_VEDN0u-JpAO7dJQrG8P0YG6Svm-eEvagxY/edit?usp=sharing" TargetMode="External" /><Relationship Type="http://schemas.openxmlformats.org/officeDocument/2006/relationships/hyperlink" Id="rId270" Target="https://docs.google.com/document/d/1d1co_BVzZ1P5RuUYnPWrkB-Lvo7f4lYvahXhoCOjvIg/edit?usp=sharing" TargetMode="External" /><Relationship Type="http://schemas.openxmlformats.org/officeDocument/2006/relationships/hyperlink" Id="rId271" Target="https://docs.google.com/document/d/1pYTq_U-e3Fath5yB6N9b5ic-cMynUtclkEgdojkAXwE/edit?usp=sharing" TargetMode="External" /><Relationship Type="http://schemas.openxmlformats.org/officeDocument/2006/relationships/hyperlink" Id="rId500" Target="https://docs.google.com/forms/d/1GJDpfG28k2utCVVcRXQraE-1coLS_GCX83irUyio9KE/edit" TargetMode="External" /><Relationship Type="http://schemas.openxmlformats.org/officeDocument/2006/relationships/hyperlink" Id="rId497" Target="https://docs.google.com/forms/d/1GJDpfG28k2utCVVcRXQraE-1coLS_GCX83irUyio9KE/viewform?edit_requested=true" TargetMode="External" /><Relationship Type="http://schemas.openxmlformats.org/officeDocument/2006/relationships/hyperlink" Id="rId229" Target="https://docs.google.com/presentation/d/14E26SbzaLEDJxAaZ1qjaZcJehAI8q2GHuTokNPKKDTc/edit?usp=sharing" TargetMode="External" /><Relationship Type="http://schemas.openxmlformats.org/officeDocument/2006/relationships/hyperlink" Id="rId258" Target="https://docs.google.com/presentation/d/15tv_IS177gF_px3JYKcQZmOsJg2d-GkjVXi7a-Skgs8/edit?usp=sharing" TargetMode="External" /><Relationship Type="http://schemas.openxmlformats.org/officeDocument/2006/relationships/hyperlink" Id="rId87" Target="https://docs.google.com/presentation/d/1Oaq8RzhaDANxkNh-tTKwme7e095pGgoiq5iZHbt7PLg" TargetMode="External" /><Relationship Type="http://schemas.openxmlformats.org/officeDocument/2006/relationships/hyperlink" Id="rId315" Target="https://docs.google.com/presentation/d/1QZbSBPOGkBeizh1L45C6EaktOxl6pqrTDGNIncHQ5lY/edit?usp=sharing" TargetMode="External" /><Relationship Type="http://schemas.openxmlformats.org/officeDocument/2006/relationships/hyperlink" Id="rId471" Target="https://docs.google.com/presentation/d/1cH7vm_lAxe_JUlr1H_M5Ujas-pTUY8qPBthTcSOiIXA/edit?usp=sharing" TargetMode="External" /><Relationship Type="http://schemas.openxmlformats.org/officeDocument/2006/relationships/hyperlink" Id="rId392" Target="https://docs.google.com/presentation/d/1chz02nzYklAEjOtHrPsJZccGy1sFUZvqdlfcUyfj3I4/edit?usp=sharing" TargetMode="External" /><Relationship Type="http://schemas.openxmlformats.org/officeDocument/2006/relationships/hyperlink" Id="rId443" Target="https://docs.google.com/presentation/d/1coAc4GY1CkpiBcamCYsEemjOsa6zTWiK6kd2C1iAaKA/edit?usp=sharing" TargetMode="External" /><Relationship Type="http://schemas.openxmlformats.org/officeDocument/2006/relationships/hyperlink" Id="rId77" Target="https://docs.google.com/presentation/d/1codot9UeUO7l0EDcEre7dJgyXurD_xyxpw6IJL_aEjM" TargetMode="External" /><Relationship Type="http://schemas.openxmlformats.org/officeDocument/2006/relationships/hyperlink" Id="rId36" Target="https://docs.google.com/presentation/d/1ic09dhbt6WLEAgBTOqfT_tveknFF936BPVC2JhjutmY/edit?usp=sharing" TargetMode="External" /><Relationship Type="http://schemas.openxmlformats.org/officeDocument/2006/relationships/hyperlink" Id="rId67" Target="https://docs.google.com/presentation/d/1kxbnBLoRsdPW4ZkjwNsAHS1XFPuJpQZ8I1aVqyZISW0" TargetMode="External" /><Relationship Type="http://schemas.openxmlformats.org/officeDocument/2006/relationships/hyperlink" Id="rId184" Target="https://docs.google.com/presentation/d/1mibD1XUpgRZcDPbYj5XOMUASuScuJoUBVV7RkT5nnSc/edit?usp=sharing" TargetMode="External" /><Relationship Type="http://schemas.openxmlformats.org/officeDocument/2006/relationships/hyperlink" Id="rId584" Target="https://docs.google.com/presentation/d/1uipJ2uS2g8svKtWX-mN3MGvWYLWL9C0Pmv2nK6FjbCo/edit?usp=sharing" TargetMode="External" /><Relationship Type="http://schemas.openxmlformats.org/officeDocument/2006/relationships/hyperlink" Id="rId114" Target="https://docs.google.com/presentation/d/1uwlG7uaTOnItdpd4Ll6nNQiBJKBivsvR-erupicAwJM/edit?usp=sharing" TargetMode="External" /><Relationship Type="http://schemas.openxmlformats.org/officeDocument/2006/relationships/hyperlink" Id="rId62" Target="https://docs.google.com/presentation/d/1zWWdJcJUgp1mXoTE7d0V-7T9ft_Y1EmV0P3VEzWsAXs" TargetMode="External" /><Relationship Type="http://schemas.openxmlformats.org/officeDocument/2006/relationships/hyperlink" Id="rId243" Target="https://docs.google.com/spreadsheets/d/1SXPLeaHAbxjOBkdVsyldp-bdGG7fQgReKlh4sjG5AKI/edit?usp=sharing" TargetMode="External" /><Relationship Type="http://schemas.openxmlformats.org/officeDocument/2006/relationships/hyperlink" Id="rId235" Target="https://docs.google.com/spreadsheets/d/1hpSyjO0H8sXq6C1xM_oGMyv9vCY2qTvfYHVdqO9ZVhk/edit?usp=sharing" TargetMode="External" /><Relationship Type="http://schemas.openxmlformats.org/officeDocument/2006/relationships/hyperlink" Id="rId238" Target="https://docs.google.com/spreadsheets/d/1vD0wbxgYuDlfKA0DF2Km-N4GHL2gRoUaEN_oCrSb2jU/edit?usp=sharing" TargetMode="External" /><Relationship Type="http://schemas.openxmlformats.org/officeDocument/2006/relationships/hyperlink" Id="rId27" Target="https://doi.org/10.1371/journal.pone.0196878" TargetMode="External" /><Relationship Type="http://schemas.openxmlformats.org/officeDocument/2006/relationships/hyperlink" Id="rId390" Target="https://drive.google.com/file/d/1kK6FBBLbHiAAsTUgxwzHRlK1qCo__eCy/view?usp=sharing" TargetMode="External" /><Relationship Type="http://schemas.openxmlformats.org/officeDocument/2006/relationships/hyperlink" Id="rId435" Target="https://fourwaves.com/blog/abstract-vs-introduction/" TargetMode="External" /><Relationship Type="http://schemas.openxmlformats.org/officeDocument/2006/relationships/hyperlink" Id="rId595" Target="https://github.com/jhudsl/ottrpal" TargetMode="External" /><Relationship Type="http://schemas.openxmlformats.org/officeDocument/2006/relationships/hyperlink" Id="rId54" Target="https://hbr.org/2012/10/data-scientist-the-sexiest-job-of-the-21st-century" TargetMode="External" /><Relationship Type="http://schemas.openxmlformats.org/officeDocument/2006/relationships/hyperlink" Id="rId520" Target="https://help.anvilproject.org" TargetMode="External" /><Relationship Type="http://schemas.openxmlformats.org/officeDocument/2006/relationships/hyperlink" Id="rId517" Target="https://help.c-moor.org" TargetMode="External" /><Relationship Type="http://schemas.openxmlformats.org/officeDocument/2006/relationships/hyperlink" Id="rId32" Target="https://help.c-moor.org/" TargetMode="External" /><Relationship Type="http://schemas.openxmlformats.org/officeDocument/2006/relationships/hyperlink" Id="rId94" Target="https://help.c-moor.org/c/help/" TargetMode="External" /><Relationship Type="http://schemas.openxmlformats.org/officeDocument/2006/relationships/hyperlink" Id="rId389" Target="https://help.c-moor.org/c/look-at-this/" TargetMode="External" /><Relationship Type="http://schemas.openxmlformats.org/officeDocument/2006/relationships/hyperlink" Id="rId52" Target="https://help.c-moor.org/c/look-at-this/8" TargetMode="External" /><Relationship Type="http://schemas.openxmlformats.org/officeDocument/2006/relationships/hyperlink" Id="rId518" Target="https://help.galaxyproject.org" TargetMode="External" /><Relationship Type="http://schemas.openxmlformats.org/officeDocument/2006/relationships/hyperlink" Id="rId596" Target="https://johnmuschelli.com/" TargetMode="External" /><Relationship Type="http://schemas.openxmlformats.org/officeDocument/2006/relationships/hyperlink" Id="rId379" Target="https://journals.sagepub.com/doi/abs/10.3233/JAD-180176" TargetMode="External" /><Relationship Type="http://schemas.openxmlformats.org/officeDocument/2006/relationships/hyperlink" Id="rId66" Target="https://link.c-moor.org/video-join-sciserver" TargetMode="External" /><Relationship Type="http://schemas.openxmlformats.org/officeDocument/2006/relationships/hyperlink" Id="rId76" Target="https://link.c-moor.org/video-join-sciserver-group" TargetMode="External" /><Relationship Type="http://schemas.openxmlformats.org/officeDocument/2006/relationships/hyperlink" Id="rId86" Target="https://link.c-moor.org/video-sciserver-create-learnr-container" TargetMode="External" /><Relationship Type="http://schemas.openxmlformats.org/officeDocument/2006/relationships/hyperlink" Id="rId436" Target="https://onlinelibrary.wiley.com/doi/10.1111/j.1475-6773.2006.00588.x" TargetMode="External" /><Relationship Type="http://schemas.openxmlformats.org/officeDocument/2006/relationships/hyperlink" Id="rId23" Target="https://openstax.org/books/biology-2e/pages/22-introduction" TargetMode="External" /><Relationship Type="http://schemas.openxmlformats.org/officeDocument/2006/relationships/hyperlink" Id="rId172" Target="https://pmc.ncbi.nlm.nih.gov/articles/PMC6790402/" TargetMode="External" /><Relationship Type="http://schemas.openxmlformats.org/officeDocument/2006/relationships/hyperlink" Id="rId516" Target="https://pubmed.gov/35858750" TargetMode="External" /><Relationship Type="http://schemas.openxmlformats.org/officeDocument/2006/relationships/hyperlink" Id="rId28" Target="https://qubeshub.org/community/groups/niblse" TargetMode="External" /><Relationship Type="http://schemas.openxmlformats.org/officeDocument/2006/relationships/hyperlink" Id="rId44" Target="https://science.c-moor.org/miniCURE-16S-Microbiome/analyzing-16s-rrna-data-with-phyloseq.html" TargetMode="External" /><Relationship Type="http://schemas.openxmlformats.org/officeDocument/2006/relationships/hyperlink" Id="rId43" Target="https://science.c-moor.org/miniCURE-16S-Microbiome/exploring-16s-rrna-data-with-phyloseq.html" TargetMode="External" /><Relationship Type="http://schemas.openxmlformats.org/officeDocument/2006/relationships/hyperlink" Id="rId40" Target="https://science.c-moor.org/miniCURE-16S-Microbiome/introduction.html" TargetMode="External" /><Relationship Type="http://schemas.openxmlformats.org/officeDocument/2006/relationships/hyperlink" Id="rId45" Target="https://science.c-moor.org/miniCURE-16S-Microbiome/kickstart-project-work.html" TargetMode="External" /><Relationship Type="http://schemas.openxmlformats.org/officeDocument/2006/relationships/hyperlink" Id="rId365" Target="https://science.c-moor.org/miniCURE-16S-Microbiome/s-minicure-guide.html" TargetMode="External" /><Relationship Type="http://schemas.openxmlformats.org/officeDocument/2006/relationships/hyperlink" Id="rId42" Target="https://science.c-moor.org/miniCURE-16S-Microbiome/s-rrna-data-in-spreadsheets.html" TargetMode="External" /><Relationship Type="http://schemas.openxmlformats.org/officeDocument/2006/relationships/hyperlink" Id="rId41" Target="https://science.c-moor.org/miniCURE-16S-Microbiome/scientific-literature.html" TargetMode="External" /><Relationship Type="http://schemas.openxmlformats.org/officeDocument/2006/relationships/hyperlink" Id="rId231" Target="https://science.c-moor.org/miniCURE-16S-Microbiome/spreadsheets-101.html" TargetMode="External" /><Relationship Type="http://schemas.openxmlformats.org/officeDocument/2006/relationships/hyperlink" Id="rId519" Target="https://support.bioconductor.org" TargetMode="External" /><Relationship Type="http://schemas.openxmlformats.org/officeDocument/2006/relationships/hyperlink" Id="rId121" Target="https://support.google.com/chrome/answer/188842" TargetMode="External" /><Relationship Type="http://schemas.openxmlformats.org/officeDocument/2006/relationships/hyperlink" Id="rId122" Target="https://support.terra.bio/hc/en-us" TargetMode="External" /><Relationship Type="http://schemas.openxmlformats.org/officeDocument/2006/relationships/hyperlink" Id="rId63" Target="https://undsci.berkeley.edu/understanding-science-101/how-science-works/exploration-and-discovery" TargetMode="External" /><Relationship Type="http://schemas.openxmlformats.org/officeDocument/2006/relationships/hyperlink" Id="rId446" Target="https://ur.umbc.edu/poster-presentation-examples" TargetMode="External" /><Relationship Type="http://schemas.openxmlformats.org/officeDocument/2006/relationships/hyperlink" Id="rId445" Target="https://ur.umbc.edu/urcad/resources/posters-guidelines" TargetMode="External" /><Relationship Type="http://schemas.openxmlformats.org/officeDocument/2006/relationships/hyperlink" Id="rId26" Target="https://visionandchange.org/" TargetMode="External" /><Relationship Type="http://schemas.openxmlformats.org/officeDocument/2006/relationships/hyperlink" Id="rId588" Target="https://www.aaas.org/resources/vision-change-undergraduate-biology-education-call-action" TargetMode="External" /><Relationship Type="http://schemas.openxmlformats.org/officeDocument/2006/relationships/hyperlink" Id="rId594" Target="https://www.avahoffman.com/" TargetMode="External" /><Relationship Type="http://schemas.openxmlformats.org/officeDocument/2006/relationships/hyperlink" Id="rId481" Target="https://www.biostars.org" TargetMode="External" /><Relationship Type="http://schemas.openxmlformats.org/officeDocument/2006/relationships/hyperlink" Id="rId592" Target="https://www.cansavvy.com/" TargetMode="External" /><Relationship Type="http://schemas.openxmlformats.org/officeDocument/2006/relationships/hyperlink" Id="rId370" Target="https://www.cell.com/cell/fulltext/S0092-8674(21)00754-6?ref=podcastdisclosed.com" TargetMode="External" /><Relationship Type="http://schemas.openxmlformats.org/officeDocument/2006/relationships/hyperlink" Id="rId498" Target="https://www.cloviscollege.edu/alumni-and-community/c-moor/c-moor-scholars.html" TargetMode="External" /><Relationship Type="http://schemas.openxmlformats.org/officeDocument/2006/relationships/hyperlink" Id="rId46" Target="https://www.cloviscollege.edu/landing/stem-research-symposium-2023.html" TargetMode="External" /><Relationship Type="http://schemas.openxmlformats.org/officeDocument/2006/relationships/hyperlink" Id="rId506" Target="https://www.nsf.gov/funding/initiatives/reu" TargetMode="External" /><Relationship Type="http://schemas.openxmlformats.org/officeDocument/2006/relationships/hyperlink" Id="rId477" Target="https://www.nsf.gov/funding/initiatives/reu/search" TargetMode="External" /><Relationship Type="http://schemas.openxmlformats.org/officeDocument/2006/relationships/hyperlink" Id="rId476" Target="https://www.nsf.gov/funding/initiatives/reu/students" TargetMode="External" /><Relationship Type="http://schemas.openxmlformats.org/officeDocument/2006/relationships/hyperlink" Id="rId590" Target="https://www.ottrproject.org/more_features.html#giving-credits-to-contributors" TargetMode="External" /><Relationship Type="http://schemas.openxmlformats.org/officeDocument/2006/relationships/hyperlink" Id="rId447" Target="https://www.pacb.com/wp-content/uploads/PAG-Portik.pdf" TargetMode="External" /><Relationship Type="http://schemas.openxmlformats.org/officeDocument/2006/relationships/hyperlink" Id="rId482" Target="https://www.reddit.com/r/metagenomics" TargetMode="External" /><Relationship Type="http://schemas.openxmlformats.org/officeDocument/2006/relationships/hyperlink" Id="rId34" Target="https://www.sciserver.org/" TargetMode="External" /><Relationship Type="http://schemas.openxmlformats.org/officeDocument/2006/relationships/hyperlink" Id="rId480" Target="https://www.seqanswers.com" TargetMode="External" /><Relationship Type="http://schemas.openxmlformats.org/officeDocument/2006/relationships/hyperlink" Id="rId61" Target="https://www.youtube.com/watch?v=5kcAc20Bus8" TargetMode="External" /><Relationship Type="http://schemas.openxmlformats.org/officeDocument/2006/relationships/hyperlink" Id="rId483" Target="https://x.com/search?q=%23metagenomics" TargetMode="External" /><Relationship Type="http://schemas.openxmlformats.org/officeDocument/2006/relationships/hyperlink" Id="rId591"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513" Target="biodigs.org" TargetMode="External" /><Relationship Type="http://schemas.openxmlformats.org/officeDocument/2006/relationships/hyperlink" Id="rId424" Target="doi:10.1261/rna.2000810" TargetMode="External" /><Relationship Type="http://schemas.openxmlformats.org/officeDocument/2006/relationships/hyperlink" Id="rId425" Target="doi:10.7554/eLife.00886" TargetMode="External" /><Relationship Type="http://schemas.openxmlformats.org/officeDocument/2006/relationships/hyperlink" Id="rId499" Target="help.c-moor.org" TargetMode="External" /><Relationship Type="http://schemas.openxmlformats.org/officeDocument/2006/relationships/hyperlink" Id="rId35" Target="https://anvil.terra.bio/" TargetMode="External" /><Relationship Type="http://schemas.openxmlformats.org/officeDocument/2006/relationships/hyperlink" Id="rId521" Target="https://biodigs.org/#home" TargetMode="External" /><Relationship Type="http://schemas.openxmlformats.org/officeDocument/2006/relationships/hyperlink" Id="rId484" Target="https://bsky.app/search?q=metagenomics" TargetMode="External" /><Relationship Type="http://schemas.openxmlformats.org/officeDocument/2006/relationships/hyperlink" Id="rId593" Target="https://carriewright11.github.io/" TargetMode="External" /><Relationship Type="http://schemas.openxmlformats.org/officeDocument/2006/relationships/hyperlink" Id="rId488" Target="https://docs.google.com/document/d/11gEndv8IaqVKuq53rMzltsUQSvyLNjczRTZAD_xt_do/edit?usp=sharing" TargetMode="External" /><Relationship Type="http://schemas.openxmlformats.org/officeDocument/2006/relationships/hyperlink" Id="rId248" Target="https://docs.google.com/document/d/12pKSIwcVXisaf6dniyoG_AGdCQh1dG1dDwZ5s1cz92c/edit?usp=sharing" TargetMode="External" /><Relationship Type="http://schemas.openxmlformats.org/officeDocument/2006/relationships/hyperlink" Id="rId434" Target="https://docs.google.com/document/d/13eB1fwHEB1I00JHBUQLZIJsi-iQZYaWaXThPqCTU17g/edit?usp=sharing" TargetMode="External" /><Relationship Type="http://schemas.openxmlformats.org/officeDocument/2006/relationships/hyperlink" Id="rId38" Target="https://docs.google.com/document/d/1Aq4wVqO6S-PbKuV-rBiiRySVor_FLaRHp_CPuWBJPm4/edit?usp=sharing" TargetMode="External" /><Relationship Type="http://schemas.openxmlformats.org/officeDocument/2006/relationships/hyperlink" Id="rId197" Target="https://docs.google.com/document/d/1Mg9DGVk0EsSfYwl8VsRHb-_QdtZqiBmhWvbhUWkQERc/edit?usp=sharing" TargetMode="External" /><Relationship Type="http://schemas.openxmlformats.org/officeDocument/2006/relationships/hyperlink" Id="rId327" Target="https://docs.google.com/document/d/1OWgUwaT2MlSd-qq7wSlB3BnM-cq_GTxEyy38HV5ajoU/edit?usp=sharing" TargetMode="External" /><Relationship Type="http://schemas.openxmlformats.org/officeDocument/2006/relationships/hyperlink" Id="rId461" Target="https://docs.google.com/document/d/1OvMwNIsB019EVZukYG-8JXg7P4no4WmEc2w4ryvKz4k/edit?usp=sharing" TargetMode="External" /><Relationship Type="http://schemas.openxmlformats.org/officeDocument/2006/relationships/hyperlink" Id="rId176" Target="https://docs.google.com/document/d/1Uzw-dPwx4kxrcDKLTM7hjxN09oFkTQWg/edit?usp=sharing&amp;ouid=117014088395158370475&amp;rtpof=true&amp;sd=true" TargetMode="External" /><Relationship Type="http://schemas.openxmlformats.org/officeDocument/2006/relationships/hyperlink" Id="rId37" Target="https://docs.google.com/document/d/1WxlN2XG5_VEDN0u-JpAO7dJQrG8P0YG6Svm-eEvagxY/edit?usp=sharing" TargetMode="External" /><Relationship Type="http://schemas.openxmlformats.org/officeDocument/2006/relationships/hyperlink" Id="rId270" Target="https://docs.google.com/document/d/1d1co_BVzZ1P5RuUYnPWrkB-Lvo7f4lYvahXhoCOjvIg/edit?usp=sharing" TargetMode="External" /><Relationship Type="http://schemas.openxmlformats.org/officeDocument/2006/relationships/hyperlink" Id="rId271" Target="https://docs.google.com/document/d/1pYTq_U-e3Fath5yB6N9b5ic-cMynUtclkEgdojkAXwE/edit?usp=sharing" TargetMode="External" /><Relationship Type="http://schemas.openxmlformats.org/officeDocument/2006/relationships/hyperlink" Id="rId500" Target="https://docs.google.com/forms/d/1GJDpfG28k2utCVVcRXQraE-1coLS_GCX83irUyio9KE/edit" TargetMode="External" /><Relationship Type="http://schemas.openxmlformats.org/officeDocument/2006/relationships/hyperlink" Id="rId497" Target="https://docs.google.com/forms/d/1GJDpfG28k2utCVVcRXQraE-1coLS_GCX83irUyio9KE/viewform?edit_requested=true" TargetMode="External" /><Relationship Type="http://schemas.openxmlformats.org/officeDocument/2006/relationships/hyperlink" Id="rId229" Target="https://docs.google.com/presentation/d/14E26SbzaLEDJxAaZ1qjaZcJehAI8q2GHuTokNPKKDTc/edit?usp=sharing" TargetMode="External" /><Relationship Type="http://schemas.openxmlformats.org/officeDocument/2006/relationships/hyperlink" Id="rId258" Target="https://docs.google.com/presentation/d/15tv_IS177gF_px3JYKcQZmOsJg2d-GkjVXi7a-Skgs8/edit?usp=sharing" TargetMode="External" /><Relationship Type="http://schemas.openxmlformats.org/officeDocument/2006/relationships/hyperlink" Id="rId87" Target="https://docs.google.com/presentation/d/1Oaq8RzhaDANxkNh-tTKwme7e095pGgoiq5iZHbt7PLg" TargetMode="External" /><Relationship Type="http://schemas.openxmlformats.org/officeDocument/2006/relationships/hyperlink" Id="rId315" Target="https://docs.google.com/presentation/d/1QZbSBPOGkBeizh1L45C6EaktOxl6pqrTDGNIncHQ5lY/edit?usp=sharing" TargetMode="External" /><Relationship Type="http://schemas.openxmlformats.org/officeDocument/2006/relationships/hyperlink" Id="rId471" Target="https://docs.google.com/presentation/d/1cH7vm_lAxe_JUlr1H_M5Ujas-pTUY8qPBthTcSOiIXA/edit?usp=sharing" TargetMode="External" /><Relationship Type="http://schemas.openxmlformats.org/officeDocument/2006/relationships/hyperlink" Id="rId392" Target="https://docs.google.com/presentation/d/1chz02nzYklAEjOtHrPsJZccGy1sFUZvqdlfcUyfj3I4/edit?usp=sharing" TargetMode="External" /><Relationship Type="http://schemas.openxmlformats.org/officeDocument/2006/relationships/hyperlink" Id="rId443" Target="https://docs.google.com/presentation/d/1coAc4GY1CkpiBcamCYsEemjOsa6zTWiK6kd2C1iAaKA/edit?usp=sharing" TargetMode="External" /><Relationship Type="http://schemas.openxmlformats.org/officeDocument/2006/relationships/hyperlink" Id="rId77" Target="https://docs.google.com/presentation/d/1codot9UeUO7l0EDcEre7dJgyXurD_xyxpw6IJL_aEjM" TargetMode="External" /><Relationship Type="http://schemas.openxmlformats.org/officeDocument/2006/relationships/hyperlink" Id="rId36" Target="https://docs.google.com/presentation/d/1ic09dhbt6WLEAgBTOqfT_tveknFF936BPVC2JhjutmY/edit?usp=sharing" TargetMode="External" /><Relationship Type="http://schemas.openxmlformats.org/officeDocument/2006/relationships/hyperlink" Id="rId67" Target="https://docs.google.com/presentation/d/1kxbnBLoRsdPW4ZkjwNsAHS1XFPuJpQZ8I1aVqyZISW0" TargetMode="External" /><Relationship Type="http://schemas.openxmlformats.org/officeDocument/2006/relationships/hyperlink" Id="rId184" Target="https://docs.google.com/presentation/d/1mibD1XUpgRZcDPbYj5XOMUASuScuJoUBVV7RkT5nnSc/edit?usp=sharing" TargetMode="External" /><Relationship Type="http://schemas.openxmlformats.org/officeDocument/2006/relationships/hyperlink" Id="rId584" Target="https://docs.google.com/presentation/d/1uipJ2uS2g8svKtWX-mN3MGvWYLWL9C0Pmv2nK6FjbCo/edit?usp=sharing" TargetMode="External" /><Relationship Type="http://schemas.openxmlformats.org/officeDocument/2006/relationships/hyperlink" Id="rId114" Target="https://docs.google.com/presentation/d/1uwlG7uaTOnItdpd4Ll6nNQiBJKBivsvR-erupicAwJM/edit?usp=sharing" TargetMode="External" /><Relationship Type="http://schemas.openxmlformats.org/officeDocument/2006/relationships/hyperlink" Id="rId62" Target="https://docs.google.com/presentation/d/1zWWdJcJUgp1mXoTE7d0V-7T9ft_Y1EmV0P3VEzWsAXs" TargetMode="External" /><Relationship Type="http://schemas.openxmlformats.org/officeDocument/2006/relationships/hyperlink" Id="rId243" Target="https://docs.google.com/spreadsheets/d/1SXPLeaHAbxjOBkdVsyldp-bdGG7fQgReKlh4sjG5AKI/edit?usp=sharing" TargetMode="External" /><Relationship Type="http://schemas.openxmlformats.org/officeDocument/2006/relationships/hyperlink" Id="rId235" Target="https://docs.google.com/spreadsheets/d/1hpSyjO0H8sXq6C1xM_oGMyv9vCY2qTvfYHVdqO9ZVhk/edit?usp=sharing" TargetMode="External" /><Relationship Type="http://schemas.openxmlformats.org/officeDocument/2006/relationships/hyperlink" Id="rId238" Target="https://docs.google.com/spreadsheets/d/1vD0wbxgYuDlfKA0DF2Km-N4GHL2gRoUaEN_oCrSb2jU/edit?usp=sharing" TargetMode="External" /><Relationship Type="http://schemas.openxmlformats.org/officeDocument/2006/relationships/hyperlink" Id="rId27" Target="https://doi.org/10.1371/journal.pone.0196878" TargetMode="External" /><Relationship Type="http://schemas.openxmlformats.org/officeDocument/2006/relationships/hyperlink" Id="rId390" Target="https://drive.google.com/file/d/1kK6FBBLbHiAAsTUgxwzHRlK1qCo__eCy/view?usp=sharing" TargetMode="External" /><Relationship Type="http://schemas.openxmlformats.org/officeDocument/2006/relationships/hyperlink" Id="rId435" Target="https://fourwaves.com/blog/abstract-vs-introduction/" TargetMode="External" /><Relationship Type="http://schemas.openxmlformats.org/officeDocument/2006/relationships/hyperlink" Id="rId595" Target="https://github.com/jhudsl/ottrpal" TargetMode="External" /><Relationship Type="http://schemas.openxmlformats.org/officeDocument/2006/relationships/hyperlink" Id="rId54" Target="https://hbr.org/2012/10/data-scientist-the-sexiest-job-of-the-21st-century" TargetMode="External" /><Relationship Type="http://schemas.openxmlformats.org/officeDocument/2006/relationships/hyperlink" Id="rId520" Target="https://help.anvilproject.org" TargetMode="External" /><Relationship Type="http://schemas.openxmlformats.org/officeDocument/2006/relationships/hyperlink" Id="rId517" Target="https://help.c-moor.org" TargetMode="External" /><Relationship Type="http://schemas.openxmlformats.org/officeDocument/2006/relationships/hyperlink" Id="rId32" Target="https://help.c-moor.org/" TargetMode="External" /><Relationship Type="http://schemas.openxmlformats.org/officeDocument/2006/relationships/hyperlink" Id="rId94" Target="https://help.c-moor.org/c/help/" TargetMode="External" /><Relationship Type="http://schemas.openxmlformats.org/officeDocument/2006/relationships/hyperlink" Id="rId389" Target="https://help.c-moor.org/c/look-at-this/" TargetMode="External" /><Relationship Type="http://schemas.openxmlformats.org/officeDocument/2006/relationships/hyperlink" Id="rId52" Target="https://help.c-moor.org/c/look-at-this/8" TargetMode="External" /><Relationship Type="http://schemas.openxmlformats.org/officeDocument/2006/relationships/hyperlink" Id="rId518" Target="https://help.galaxyproject.org" TargetMode="External" /><Relationship Type="http://schemas.openxmlformats.org/officeDocument/2006/relationships/hyperlink" Id="rId596" Target="https://johnmuschelli.com/" TargetMode="External" /><Relationship Type="http://schemas.openxmlformats.org/officeDocument/2006/relationships/hyperlink" Id="rId379" Target="https://journals.sagepub.com/doi/abs/10.3233/JAD-180176" TargetMode="External" /><Relationship Type="http://schemas.openxmlformats.org/officeDocument/2006/relationships/hyperlink" Id="rId66" Target="https://link.c-moor.org/video-join-sciserver" TargetMode="External" /><Relationship Type="http://schemas.openxmlformats.org/officeDocument/2006/relationships/hyperlink" Id="rId76" Target="https://link.c-moor.org/video-join-sciserver-group" TargetMode="External" /><Relationship Type="http://schemas.openxmlformats.org/officeDocument/2006/relationships/hyperlink" Id="rId86" Target="https://link.c-moor.org/video-sciserver-create-learnr-container" TargetMode="External" /><Relationship Type="http://schemas.openxmlformats.org/officeDocument/2006/relationships/hyperlink" Id="rId436" Target="https://onlinelibrary.wiley.com/doi/10.1111/j.1475-6773.2006.00588.x" TargetMode="External" /><Relationship Type="http://schemas.openxmlformats.org/officeDocument/2006/relationships/hyperlink" Id="rId23" Target="https://openstax.org/books/biology-2e/pages/22-introduction" TargetMode="External" /><Relationship Type="http://schemas.openxmlformats.org/officeDocument/2006/relationships/hyperlink" Id="rId172" Target="https://pmc.ncbi.nlm.nih.gov/articles/PMC6790402/" TargetMode="External" /><Relationship Type="http://schemas.openxmlformats.org/officeDocument/2006/relationships/hyperlink" Id="rId516" Target="https://pubmed.gov/35858750" TargetMode="External" /><Relationship Type="http://schemas.openxmlformats.org/officeDocument/2006/relationships/hyperlink" Id="rId28" Target="https://qubeshub.org/community/groups/niblse" TargetMode="External" /><Relationship Type="http://schemas.openxmlformats.org/officeDocument/2006/relationships/hyperlink" Id="rId44" Target="https://science.c-moor.org/miniCURE-16S-Microbiome/analyzing-16s-rrna-data-with-phyloseq.html" TargetMode="External" /><Relationship Type="http://schemas.openxmlformats.org/officeDocument/2006/relationships/hyperlink" Id="rId43" Target="https://science.c-moor.org/miniCURE-16S-Microbiome/exploring-16s-rrna-data-with-phyloseq.html" TargetMode="External" /><Relationship Type="http://schemas.openxmlformats.org/officeDocument/2006/relationships/hyperlink" Id="rId40" Target="https://science.c-moor.org/miniCURE-16S-Microbiome/introduction.html" TargetMode="External" /><Relationship Type="http://schemas.openxmlformats.org/officeDocument/2006/relationships/hyperlink" Id="rId45" Target="https://science.c-moor.org/miniCURE-16S-Microbiome/kickstart-project-work.html" TargetMode="External" /><Relationship Type="http://schemas.openxmlformats.org/officeDocument/2006/relationships/hyperlink" Id="rId365" Target="https://science.c-moor.org/miniCURE-16S-Microbiome/s-minicure-guide.html" TargetMode="External" /><Relationship Type="http://schemas.openxmlformats.org/officeDocument/2006/relationships/hyperlink" Id="rId42" Target="https://science.c-moor.org/miniCURE-16S-Microbiome/s-rrna-data-in-spreadsheets.html" TargetMode="External" /><Relationship Type="http://schemas.openxmlformats.org/officeDocument/2006/relationships/hyperlink" Id="rId41" Target="https://science.c-moor.org/miniCURE-16S-Microbiome/scientific-literature.html" TargetMode="External" /><Relationship Type="http://schemas.openxmlformats.org/officeDocument/2006/relationships/hyperlink" Id="rId231" Target="https://science.c-moor.org/miniCURE-16S-Microbiome/spreadsheets-101.html" TargetMode="External" /><Relationship Type="http://schemas.openxmlformats.org/officeDocument/2006/relationships/hyperlink" Id="rId519" Target="https://support.bioconductor.org" TargetMode="External" /><Relationship Type="http://schemas.openxmlformats.org/officeDocument/2006/relationships/hyperlink" Id="rId121" Target="https://support.google.com/chrome/answer/188842" TargetMode="External" /><Relationship Type="http://schemas.openxmlformats.org/officeDocument/2006/relationships/hyperlink" Id="rId122" Target="https://support.terra.bio/hc/en-us" TargetMode="External" /><Relationship Type="http://schemas.openxmlformats.org/officeDocument/2006/relationships/hyperlink" Id="rId63" Target="https://undsci.berkeley.edu/understanding-science-101/how-science-works/exploration-and-discovery" TargetMode="External" /><Relationship Type="http://schemas.openxmlformats.org/officeDocument/2006/relationships/hyperlink" Id="rId446" Target="https://ur.umbc.edu/poster-presentation-examples" TargetMode="External" /><Relationship Type="http://schemas.openxmlformats.org/officeDocument/2006/relationships/hyperlink" Id="rId445" Target="https://ur.umbc.edu/urcad/resources/posters-guidelines" TargetMode="External" /><Relationship Type="http://schemas.openxmlformats.org/officeDocument/2006/relationships/hyperlink" Id="rId26" Target="https://visionandchange.org/" TargetMode="External" /><Relationship Type="http://schemas.openxmlformats.org/officeDocument/2006/relationships/hyperlink" Id="rId588" Target="https://www.aaas.org/resources/vision-change-undergraduate-biology-education-call-action" TargetMode="External" /><Relationship Type="http://schemas.openxmlformats.org/officeDocument/2006/relationships/hyperlink" Id="rId594" Target="https://www.avahoffman.com/" TargetMode="External" /><Relationship Type="http://schemas.openxmlformats.org/officeDocument/2006/relationships/hyperlink" Id="rId481" Target="https://www.biostars.org" TargetMode="External" /><Relationship Type="http://schemas.openxmlformats.org/officeDocument/2006/relationships/hyperlink" Id="rId592" Target="https://www.cansavvy.com/" TargetMode="External" /><Relationship Type="http://schemas.openxmlformats.org/officeDocument/2006/relationships/hyperlink" Id="rId370" Target="https://www.cell.com/cell/fulltext/S0092-8674(21)00754-6?ref=podcastdisclosed.com" TargetMode="External" /><Relationship Type="http://schemas.openxmlformats.org/officeDocument/2006/relationships/hyperlink" Id="rId498" Target="https://www.cloviscollege.edu/alumni-and-community/c-moor/c-moor-scholars.html" TargetMode="External" /><Relationship Type="http://schemas.openxmlformats.org/officeDocument/2006/relationships/hyperlink" Id="rId46" Target="https://www.cloviscollege.edu/landing/stem-research-symposium-2023.html" TargetMode="External" /><Relationship Type="http://schemas.openxmlformats.org/officeDocument/2006/relationships/hyperlink" Id="rId506" Target="https://www.nsf.gov/funding/initiatives/reu" TargetMode="External" /><Relationship Type="http://schemas.openxmlformats.org/officeDocument/2006/relationships/hyperlink" Id="rId477" Target="https://www.nsf.gov/funding/initiatives/reu/search" TargetMode="External" /><Relationship Type="http://schemas.openxmlformats.org/officeDocument/2006/relationships/hyperlink" Id="rId476" Target="https://www.nsf.gov/funding/initiatives/reu/students" TargetMode="External" /><Relationship Type="http://schemas.openxmlformats.org/officeDocument/2006/relationships/hyperlink" Id="rId590" Target="https://www.ottrproject.org/more_features.html#giving-credits-to-contributors" TargetMode="External" /><Relationship Type="http://schemas.openxmlformats.org/officeDocument/2006/relationships/hyperlink" Id="rId447" Target="https://www.pacb.com/wp-content/uploads/PAG-Portik.pdf" TargetMode="External" /><Relationship Type="http://schemas.openxmlformats.org/officeDocument/2006/relationships/hyperlink" Id="rId482" Target="https://www.reddit.com/r/metagenomics" TargetMode="External" /><Relationship Type="http://schemas.openxmlformats.org/officeDocument/2006/relationships/hyperlink" Id="rId34" Target="https://www.sciserver.org/" TargetMode="External" /><Relationship Type="http://schemas.openxmlformats.org/officeDocument/2006/relationships/hyperlink" Id="rId480" Target="https://www.seqanswers.com" TargetMode="External" /><Relationship Type="http://schemas.openxmlformats.org/officeDocument/2006/relationships/hyperlink" Id="rId61" Target="https://www.youtube.com/watch?v=5kcAc20Bus8" TargetMode="External" /><Relationship Type="http://schemas.openxmlformats.org/officeDocument/2006/relationships/hyperlink" Id="rId483" Target="https://x.com/search?q=%23metagenomics" TargetMode="External" /><Relationship Type="http://schemas.openxmlformats.org/officeDocument/2006/relationships/hyperlink" Id="rId591"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miniCURE: Human Gut 16S rRNA</dc:title>
  <dc:creator/>
  <dc:description>Description about Course/Book.</dc:description>
  <cp:keywords/>
  <dcterms:created xsi:type="dcterms:W3CDTF">2026-07-02T22:47:21Z</dcterms:created>
  <dcterms:modified xsi:type="dcterms:W3CDTF">2026-07-02T22:47:21Z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02,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