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1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Procrastination as a Marker of Cognitive Decline: Evidence from Longitudinal Transitions in the Older Adult Population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Cormac Monaghan</w:t>
      </w:r>
      <w:r>
        <w:rPr>
          <w:vertAlign w:val="superscript"/>
        </w:rPr>
        <w:t xml:space="preserve">1,2</w:t>
      </w:r>
      <w:r>
        <w:t xml:space="preserve">, Rafael de Andrade Moral</w:t>
      </w:r>
      <w:r>
        <w:rPr>
          <w:vertAlign w:val="superscript"/>
        </w:rPr>
        <w:t xml:space="preserve">3</w:t>
      </w:r>
      <w:r>
        <w:t xml:space="preserve">, Michelle Kelly</w:t>
      </w:r>
      <w:r>
        <w:rPr>
          <w:vertAlign w:val="superscript"/>
        </w:rPr>
        <w:t xml:space="preserve">4</w:t>
      </w:r>
      <w:r>
        <w:t xml:space="preserve">, and Joanna McHugh Power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8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Cormac Monaghan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hyperlink r:id="rId25">
        <w:r>
          <w:rPr>
            <w:rStyle w:val="Hyperlink"/>
          </w:rPr>
          <w:t xml:space="preserve">https://orcid.org/https://orcid.org/0000-0001-9012-3060</w:t>
        </w:r>
      </w:hyperlink>
    </w:p>
    <w:p>
      <w:pPr>
        <w:pStyle w:val="BodyText"/>
      </w:pPr>
      <w:r>
        <w:t xml:space="preserve">Rafael de Andrade Moral</w:t>
      </w:r>
      <w:r>
        <w:t xml:space="preserve"> </w:t>
      </w:r>
      <w:bookmarkStart w:id="28" w:name="orchid"/>
      <w:r>
        <w:drawing>
          <wp:inline>
            <wp:extent cx="152279" cy="152279"/>
            <wp:effectExtent b="0" l="0" r="0" t="0"/>
            <wp:docPr descr="Orcid ID Logo: A green circle with white letters ID" title="" id="26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hyperlink r:id="rId29">
        <w:r>
          <w:rPr>
            <w:rStyle w:val="Hyperlink"/>
          </w:rPr>
          <w:t xml:space="preserve">https://orcid.org/https://orcid.org/0000-0002-0875-3563</w:t>
        </w:r>
      </w:hyperlink>
    </w:p>
    <w:p>
      <w:pPr>
        <w:pStyle w:val="BodyText"/>
      </w:pPr>
      <w:r>
        <w:t xml:space="preserve">Michelle Kelly</w:t>
      </w:r>
      <w:r>
        <w:t xml:space="preserve"> </w:t>
      </w:r>
      <w:bookmarkStart w:id="32" w:name="orchid"/>
      <w:r>
        <w:drawing>
          <wp:inline>
            <wp:extent cx="152279" cy="152279"/>
            <wp:effectExtent b="0" l="0" r="0" t="0"/>
            <wp:docPr descr="Orcid ID Logo: A green circle with white letters ID" title="" id="30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hyperlink r:id="rId33">
        <w:r>
          <w:rPr>
            <w:rStyle w:val="Hyperlink"/>
          </w:rPr>
          <w:t xml:space="preserve">https://orcid.org/https://orcid.org/0000-0001-6159-6707</w:t>
        </w:r>
      </w:hyperlink>
    </w:p>
    <w:p>
      <w:pPr>
        <w:pStyle w:val="BodyText"/>
      </w:pPr>
      <w:r>
        <w:t xml:space="preserve">Joanna McHugh Power</w:t>
      </w:r>
      <w:r>
        <w:t xml:space="preserve"> </w:t>
      </w:r>
      <w:bookmarkStart w:id="36" w:name="orchid"/>
      <w:r>
        <w:drawing>
          <wp:inline>
            <wp:extent cx="152279" cy="152279"/>
            <wp:effectExtent b="0" l="0" r="0" t="0"/>
            <wp:docPr descr="Orcid ID Logo: A green circle with white letters ID" title="" id="34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3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hyperlink r:id="rId37">
        <w:r>
          <w:rPr>
            <w:rStyle w:val="Hyperlink"/>
          </w:rPr>
          <w:t xml:space="preserve">https://orcid.org/https://orcid.org/0000-0002-7387-3107</w:t>
        </w:r>
      </w:hyperlink>
    </w:p>
    <w:p>
      <w:pPr>
        <w:pStyle w:val="BodyText"/>
      </w:pPr>
    </w:p>
    <w:p>
      <w:r>
        <w:br w:type="page"/>
      </w:r>
    </w:p>
    <w:bookmarkEnd w:id="38"/>
    <w:bookmarkStart w:id="39" w:name="firstheader"/>
    <w:p>
      <w:pPr>
        <w:pStyle w:val="Heading1"/>
      </w:pPr>
      <w:r>
        <w:t xml:space="preserve">Procrastination as a Marker of Cognitive Decline: Evidence from Longitudinal Transitions in the Older Adult Population</w:t>
      </w:r>
    </w:p>
    <w:p>
      <w:pPr>
        <w:pStyle w:val="FirstParagraph"/>
      </w:pPr>
      <w:r>
        <w:t xml:space="preserve">Dementia is characterized by progressive decline of cognitive function,</w:t>
      </w:r>
      <w:r>
        <w:t xml:space="preserve"> </w:t>
      </w:r>
      <w:r>
        <w:t xml:space="preserve">leading to memory loss and difficulties with daily living</w:t>
      </w:r>
      <w:r>
        <w:t xml:space="preserve"> </w:t>
      </w:r>
      <w:r>
        <w:t xml:space="preserve">(</w:t>
      </w:r>
      <w:hyperlink w:anchor="ref-prince2013">
        <w:r>
          <w:rPr>
            <w:rStyle w:val="Hyperlink"/>
          </w:rPr>
          <w:t xml:space="preserve">Prince et al., 2013</w:t>
        </w:r>
      </w:hyperlink>
      <w:r>
        <w:t xml:space="preserve">;</w:t>
      </w:r>
      <w:r>
        <w:t xml:space="preserve"> </w:t>
      </w:r>
      <w:hyperlink w:anchor="ref-sanz-blasco2022">
        <w:r>
          <w:rPr>
            <w:rStyle w:val="Hyperlink"/>
          </w:rPr>
          <w:t xml:space="preserve">Sanz-Blasco et al., 2022</w:t>
        </w:r>
      </w:hyperlink>
      <w:r>
        <w:t xml:space="preserve">)</w:t>
      </w:r>
      <w:r>
        <w:t xml:space="preserve">. The global burden of dementia is substantial, with</w:t>
      </w:r>
      <w:r>
        <w:t xml:space="preserve"> </w:t>
      </w:r>
      <w:r>
        <w:t xml:space="preserve">cases projected to rise to 152.8 million by 2050</w:t>
      </w:r>
      <w:r>
        <w:t xml:space="preserve"> </w:t>
      </w:r>
      <w:r>
        <w:t xml:space="preserve">(</w:t>
      </w:r>
      <w:hyperlink w:anchor="ref-nichols2022">
        <w:r>
          <w:rPr>
            <w:rStyle w:val="Hyperlink"/>
          </w:rPr>
          <w:t xml:space="preserve">Nichols et al., 2022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Identifying and addressing modifiable risk factors is crucial to</w:t>
      </w:r>
      <w:r>
        <w:t xml:space="preserve"> </w:t>
      </w:r>
      <w:r>
        <w:t xml:space="preserve">mitigate this projected rise in prevalence. Two particularly vulnerable</w:t>
      </w:r>
      <w:r>
        <w:t xml:space="preserve"> </w:t>
      </w:r>
      <w:r>
        <w:t xml:space="preserve">groups are older adults and those with mild cognitive impairment (MCI),</w:t>
      </w:r>
      <w:r>
        <w:t xml:space="preserve"> </w:t>
      </w:r>
      <w:r>
        <w:t xml:space="preserve">of whom up to 80% progress to dementia within six years [</w:t>
      </w:r>
      <w:r>
        <w:t xml:space="preserve">Cooper et al. (</w:t>
      </w:r>
      <w:hyperlink w:anchor="ref-cooper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;</w:t>
      </w:r>
      <w:r>
        <w:t xml:space="preserve"> </w:t>
      </w:r>
      <w:r>
        <w:t xml:space="preserve">Shigemizu et al. (</w:t>
      </w:r>
      <w:hyperlink w:anchor="ref-shigemizu2020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Tschanz et al. (</w:t>
      </w:r>
      <w:hyperlink w:anchor="ref-tschanz2006"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}.</w:t>
      </w:r>
    </w:p>
    <w:p>
      <w:pPr>
        <w:pStyle w:val="BodyText"/>
      </w:pPr>
      <w:r>
        <w:t xml:space="preserve">The Lancet Commission on Dementia identified fourteen causal risk</w:t>
      </w:r>
      <w:r>
        <w:t xml:space="preserve"> </w:t>
      </w:r>
      <w:r>
        <w:t xml:space="preserve">factors including smoking, hypertension, and diabetes, which account for</w:t>
      </w:r>
      <w:r>
        <w:t xml:space="preserve"> </w:t>
      </w:r>
      <w:r>
        <w:t xml:space="preserve">approximately 45% of dementia cases worldwide</w:t>
      </w:r>
      <w:r>
        <w:t xml:space="preserve"> </w:t>
      </w:r>
      <w:r>
        <w:t xml:space="preserve">(</w:t>
      </w:r>
      <w:hyperlink w:anchor="ref-livingston2024">
        <w:r>
          <w:rPr>
            <w:rStyle w:val="Hyperlink"/>
          </w:rPr>
          <w:t xml:space="preserve">Livingston et al., 2024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Prodromal markers, on the other hand, reflect early disease processes</w:t>
      </w:r>
      <w:r>
        <w:t xml:space="preserve"> </w:t>
      </w:r>
      <w:r>
        <w:t xml:space="preserve">and may signal limited opportunities for prevention</w:t>
      </w:r>
      <w:r>
        <w:t xml:space="preserve"> </w:t>
      </w:r>
      <w:r>
        <w:t xml:space="preserve">(</w:t>
      </w:r>
      <w:hyperlink w:anchor="ref-teipel2025">
        <w:r>
          <w:rPr>
            <w:rStyle w:val="Hyperlink"/>
          </w:rPr>
          <w:t xml:space="preserve">Teipel et al., 2025</w:t>
        </w:r>
      </w:hyperlink>
      <w:r>
        <w:t xml:space="preserve">)</w:t>
      </w:r>
      <w:r>
        <w:t xml:space="preserve">. One</w:t>
      </w:r>
      <w:r>
        <w:t xml:space="preserve"> </w:t>
      </w:r>
      <w:r>
        <w:t xml:space="preserve">such prodromal marker is apathy, or the significant loss of motivation,</w:t>
      </w:r>
      <w:r>
        <w:t xml:space="preserve"> </w:t>
      </w:r>
      <w:r>
        <w:t xml:space="preserve">as distinct from depression and cognitive impairment</w:t>
      </w:r>
      <w:r>
        <w:t xml:space="preserve"> </w:t>
      </w:r>
      <w:r>
        <w:t xml:space="preserve">(</w:t>
      </w:r>
      <w:hyperlink w:anchor="ref-fresnais2023">
        <w:r>
          <w:rPr>
            <w:rStyle w:val="Hyperlink"/>
          </w:rPr>
          <w:t xml:space="preserve">Fresnais et al., 2023</w:t>
        </w:r>
      </w:hyperlink>
      <w:r>
        <w:t xml:space="preserve">;</w:t>
      </w:r>
      <w:r>
        <w:t xml:space="preserve"> </w:t>
      </w:r>
      <w:hyperlink w:anchor="ref-richard2012">
        <w:r>
          <w:rPr>
            <w:rStyle w:val="Hyperlink"/>
          </w:rPr>
          <w:t xml:space="preserve">Richard et al., 2012</w:t>
        </w:r>
      </w:hyperlink>
      <w:r>
        <w:t xml:space="preserve">)</w:t>
      </w:r>
      <w:r>
        <w:t xml:space="preserve">. Apathy is prevalent in both MCI and dementia subgroups</w:t>
      </w:r>
      <w:r>
        <w:t xml:space="preserve"> </w:t>
      </w:r>
      <w:r>
        <w:t xml:space="preserve">Salem et al. (</w:t>
      </w:r>
      <w:hyperlink w:anchor="ref-salem2023">
        <w:r>
          <w:rPr>
            <w:rStyle w:val="Hyperlink"/>
          </w:rPr>
          <w:t xml:space="preserve">2023</w:t>
        </w:r>
      </w:hyperlink>
      <w:r>
        <w:t xml:space="preserve">)</w:t>
      </w:r>
      <w:r>
        <w:t xml:space="preserve">. Apathy is a</w:t>
      </w:r>
      <w:r>
        <w:t xml:space="preserve"> </w:t>
      </w:r>
      <w:r>
        <w:t xml:space="preserve">significant predictor of the transition from MCI to dementia</w:t>
      </w:r>
      <w:r>
        <w:t xml:space="preserve"> </w:t>
      </w:r>
      <w:r>
        <w:t xml:space="preserve">van Dalen et al. (</w:t>
      </w:r>
      <w:hyperlink w:anchor="ref-vandalen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 While apathy has been</w:t>
      </w:r>
      <w:r>
        <w:t xml:space="preserve"> </w:t>
      </w:r>
      <w:r>
        <w:t xml:space="preserve">well-established as a prodromal marker and risk factor for dementia</w:t>
      </w:r>
      <w:r>
        <w:t xml:space="preserve"> </w:t>
      </w:r>
      <w:r>
        <w:t xml:space="preserve">progression, emerging evidence suggests that procrastination may also</w:t>
      </w:r>
      <w:r>
        <w:t xml:space="preserve"> </w:t>
      </w:r>
      <w:r>
        <w:t xml:space="preserve">relate to early cognitive decline.</w:t>
      </w:r>
    </w:p>
    <w:p>
      <w:pPr>
        <w:pStyle w:val="BodyText"/>
      </w:pPr>
      <w:r>
        <w:t xml:space="preserve">Though superficially similar, apathy and procrastination are</w:t>
      </w:r>
      <w:r>
        <w:t xml:space="preserve"> </w:t>
      </w:r>
      <w:r>
        <w:t xml:space="preserve">behaviorally distinct. Apathy reflects reduced internal drive and</w:t>
      </w:r>
      <w:r>
        <w:t xml:space="preserve"> </w:t>
      </w:r>
      <w:r>
        <w:t xml:space="preserve">emotional engagement, impairing initiation of action</w:t>
      </w:r>
      <w:r>
        <w:t xml:space="preserve"> </w:t>
      </w:r>
      <w:r>
        <w:t xml:space="preserve">(</w:t>
      </w:r>
      <w:hyperlink w:anchor="ref-fresnais2023">
        <w:r>
          <w:rPr>
            <w:rStyle w:val="Hyperlink"/>
          </w:rPr>
          <w:t xml:space="preserve">Fresnais et al., 2023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whereas procrastination reflects intact intention but delayed execution</w:t>
      </w:r>
      <w:r>
        <w:t xml:space="preserve"> </w:t>
      </w:r>
      <w:r>
        <w:t xml:space="preserve">(</w:t>
      </w:r>
      <w:hyperlink w:anchor="ref-steel2007">
        <w:r>
          <w:rPr>
            <w:rStyle w:val="Hyperlink"/>
          </w:rPr>
          <w:t xml:space="preserve">Steel, 2007</w:t>
        </w:r>
      </w:hyperlink>
      <w:r>
        <w:t xml:space="preserve">)</w:t>
      </w:r>
      <w:r>
        <w:t xml:space="preserve">. While both reflect impairments in executive functioning,</w:t>
      </w:r>
      <w:r>
        <w:t xml:space="preserve"> </w:t>
      </w:r>
      <w:r>
        <w:t xml:space="preserve">procrastination may additionally capture unique aspects of emotional and</w:t>
      </w:r>
      <w:r>
        <w:t xml:space="preserve"> </w:t>
      </w:r>
      <w:r>
        <w:t xml:space="preserve">motivational dysregulation . For instance, person A may feel no</w:t>
      </w:r>
      <w:r>
        <w:t xml:space="preserve"> </w:t>
      </w:r>
      <w:r>
        <w:t xml:space="preserve">motivation to attend an exercise class and therefore never books it</w:t>
      </w:r>
      <w:r>
        <w:t xml:space="preserve"> </w:t>
      </w:r>
      <w:r>
        <w:t xml:space="preserve">(apathy). Person B, however, books the class and intends to go, but</w:t>
      </w:r>
      <w:r>
        <w:t xml:space="preserve"> </w:t>
      </w:r>
      <w:r>
        <w:t xml:space="preserve">postpones at the last minute (procrastination). Both apathy and</w:t>
      </w:r>
      <w:r>
        <w:t xml:space="preserve"> </w:t>
      </w:r>
      <w:r>
        <w:t xml:space="preserve">procrastination have been linked to dysfunction in prefrontal regions</w:t>
      </w:r>
      <w:r>
        <w:t xml:space="preserve"> </w:t>
      </w:r>
      <w:r>
        <w:t xml:space="preserve">implicated in dementia</w:t>
      </w:r>
      <w:r>
        <w:t xml:space="preserve"> </w:t>
      </w:r>
      <w:r>
        <w:t xml:space="preserve">(</w:t>
      </w:r>
      <w:hyperlink w:anchor="ref-fahed2021">
        <w:r>
          <w:rPr>
            <w:rStyle w:val="Hyperlink"/>
          </w:rPr>
          <w:t xml:space="preserve">Fahed &amp; Steffens, 2021</w:t>
        </w:r>
      </w:hyperlink>
      <w:r>
        <w:t xml:space="preserve">;</w:t>
      </w:r>
      <w:r>
        <w:t xml:space="preserve"> </w:t>
      </w:r>
      <w:hyperlink w:anchor="ref-friden2020">
        <w:r>
          <w:rPr>
            <w:rStyle w:val="Hyperlink"/>
          </w:rPr>
          <w:t xml:space="preserve">Fridén, 2020</w:t>
        </w:r>
      </w:hyperlink>
      <w:r>
        <w:t xml:space="preserve">;</w:t>
      </w:r>
      <w:r>
        <w:t xml:space="preserve"> </w:t>
      </w:r>
      <w:hyperlink w:anchor="ref-joseph2021">
        <w:r>
          <w:rPr>
            <w:rStyle w:val="Hyperlink"/>
          </w:rPr>
          <w:t xml:space="preserve">Joseph et al., 2021</w:t>
        </w:r>
      </w:hyperlink>
      <w:r>
        <w:t xml:space="preserve">;</w:t>
      </w:r>
      <w:r>
        <w:t xml:space="preserve"> </w:t>
      </w:r>
      <w:hyperlink w:anchor="ref-zhang2010">
        <w:r>
          <w:rPr>
            <w:rStyle w:val="Hyperlink"/>
          </w:rPr>
          <w:t xml:space="preserve">Zhang et al., 2010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These parallels raise the possibility that procrastination could serve</w:t>
      </w:r>
      <w:r>
        <w:t xml:space="preserve"> </w:t>
      </w:r>
      <w:r>
        <w:t xml:space="preserve">as an early marker of cognitive impairment or even a modifiable risk</w:t>
      </w:r>
      <w:r>
        <w:t xml:space="preserve"> </w:t>
      </w:r>
      <w:r>
        <w:t xml:space="preserve">factor. Chronic procrastination may exacerbate decline by limiting</w:t>
      </w:r>
      <w:r>
        <w:t xml:space="preserve"> </w:t>
      </w:r>
      <w:r>
        <w:t xml:space="preserve">engagement in cognitively stimulating activities such as physical</w:t>
      </w:r>
      <w:r>
        <w:t xml:space="preserve"> </w:t>
      </w:r>
      <w:r>
        <w:t xml:space="preserve">exercise, problem-solving, and goal-setting, which build cognitive</w:t>
      </w:r>
      <w:r>
        <w:t xml:space="preserve"> </w:t>
      </w:r>
      <w:r>
        <w:t xml:space="preserve">resilience and reduce dementia risk</w:t>
      </w:r>
      <w:r>
        <w:t xml:space="preserve"> </w:t>
      </w:r>
      <w:r>
        <w:t xml:space="preserve">(</w:t>
      </w:r>
      <w:hyperlink w:anchor="ref-chowdhary2022">
        <w:r>
          <w:rPr>
            <w:rStyle w:val="Hyperlink"/>
          </w:rPr>
          <w:t xml:space="preserve">Chowdhary et al., 2022</w:t>
        </w:r>
      </w:hyperlink>
      <w:r>
        <w:t xml:space="preserve">;</w:t>
      </w:r>
      <w:r>
        <w:t xml:space="preserve"> </w:t>
      </w:r>
      <w:hyperlink w:anchor="ref-kelly2021">
        <w:r>
          <w:rPr>
            <w:rStyle w:val="Hyperlink"/>
          </w:rPr>
          <w:t xml:space="preserve">Kelly &amp; Walton, 2021</w:t>
        </w:r>
      </w:hyperlink>
      <w:r>
        <w:t xml:space="preserve">;</w:t>
      </w:r>
      <w:r>
        <w:t xml:space="preserve"> </w:t>
      </w:r>
      <w:hyperlink w:anchor="ref-livingston2024">
        <w:r>
          <w:rPr>
            <w:rStyle w:val="Hyperlink"/>
          </w:rPr>
          <w:t xml:space="preserve">Livingston et al., 2024</w:t>
        </w:r>
      </w:hyperlink>
      <w:r>
        <w:t xml:space="preserve">;</w:t>
      </w:r>
      <w:r>
        <w:t xml:space="preserve"> </w:t>
      </w:r>
      <w:hyperlink w:anchor="ref-mohammadibytamar2020">
        <w:r>
          <w:rPr>
            <w:rStyle w:val="Hyperlink"/>
          </w:rPr>
          <w:t xml:space="preserve">Mohammadi Bytamar et al., 2020</w:t>
        </w:r>
      </w:hyperlink>
      <w:r>
        <w:t xml:space="preserve">)</w:t>
      </w:r>
      <w:r>
        <w:t xml:space="preserve">. Reduced engagement may contribute to a</w:t>
      </w:r>
      <w:r>
        <w:t xml:space="preserve"> </w:t>
      </w:r>
      <w:r>
        <w:t xml:space="preserve">cycle of cognitive disengagement, accelerating decline.</w:t>
      </w:r>
    </w:p>
    <w:p>
      <w:pPr>
        <w:pStyle w:val="BodyText"/>
      </w:pPr>
      <w:r>
        <w:t xml:space="preserve">Importantly, procrastination is responsive to intervention through</w:t>
      </w:r>
      <w:r>
        <w:t xml:space="preserve"> </w:t>
      </w:r>
      <w:r>
        <w:t xml:space="preserve">cognitive-behavioral strategies and self-regulation training</w:t>
      </w:r>
      <w:r>
        <w:t xml:space="preserve"> </w:t>
      </w:r>
      <w:r>
        <w:t xml:space="preserve">(</w:t>
      </w:r>
      <w:hyperlink w:anchor="ref-rozental2014">
        <w:r>
          <w:rPr>
            <w:rStyle w:val="Hyperlink"/>
          </w:rPr>
          <w:t xml:space="preserve">Rozental &amp; Carlbring, 2014</w:t>
        </w:r>
      </w:hyperlink>
      <w:r>
        <w:t xml:space="preserve">;</w:t>
      </w:r>
      <w:r>
        <w:t xml:space="preserve"> </w:t>
      </w:r>
      <w:hyperlink w:anchor="ref-vaneerde2018">
        <w:r>
          <w:rPr>
            <w:rStyle w:val="Hyperlink"/>
          </w:rPr>
          <w:t xml:space="preserve">van Eerde &amp; Klingsieck, 2018</w:t>
        </w:r>
      </w:hyperlink>
      <w:r>
        <w:t xml:space="preserve">)</w:t>
      </w:r>
      <w:r>
        <w:t xml:space="preserve">. Crucially, procrastination may identify</w:t>
      </w:r>
      <w:r>
        <w:t xml:space="preserve"> </w:t>
      </w:r>
      <w:r>
        <w:t xml:space="preserve">individuals with motivational or executive dysfunction who do not yet</w:t>
      </w:r>
      <w:r>
        <w:t xml:space="preserve"> </w:t>
      </w:r>
      <w:r>
        <w:t xml:space="preserve">meet the long-term symptom threshold for apathy, offering a potentially</w:t>
      </w:r>
      <w:r>
        <w:t xml:space="preserve"> </w:t>
      </w:r>
      <w:r>
        <w:t xml:space="preserve">valuable and earlier marker (and possible target) for neurodegenerative</w:t>
      </w:r>
      <w:r>
        <w:t xml:space="preserve"> </w:t>
      </w:r>
      <w:r>
        <w:t xml:space="preserve">risk.</w:t>
      </w:r>
    </w:p>
    <w:p>
      <w:pPr>
        <w:pStyle w:val="BodyText"/>
      </w:pPr>
      <w:r>
        <w:t xml:space="preserve">Since age remains the strongest predictor of MCI and dementia, it is</w:t>
      </w:r>
      <w:r>
        <w:t xml:space="preserve"> </w:t>
      </w:r>
      <w:r>
        <w:t xml:space="preserve">important to consider how procrastination operates across the lifespan</w:t>
      </w:r>
      <w:r>
        <w:t xml:space="preserve"> </w:t>
      </w:r>
      <w:r>
        <w:t xml:space="preserve">(i.e. interaction with age). Many established modifiable risk factors</w:t>
      </w:r>
      <w:r>
        <w:t xml:space="preserve"> </w:t>
      </w:r>
      <w:r>
        <w:t xml:space="preserve">such as hypertension, hearing loss, smoking, and social isolation, exert</w:t>
      </w:r>
      <w:r>
        <w:t xml:space="preserve"> </w:t>
      </w:r>
      <w:r>
        <w:t xml:space="preserve">age-dependent effects, with certain factors carrying more weight at</w:t>
      </w:r>
      <w:r>
        <w:t xml:space="preserve"> </w:t>
      </w:r>
      <w:r>
        <w:t xml:space="preserve">midlife than in late life</w:t>
      </w:r>
      <w:r>
        <w:t xml:space="preserve"> </w:t>
      </w:r>
      <w:r>
        <w:t xml:space="preserve">(</w:t>
      </w:r>
      <w:hyperlink w:anchor="ref-livingston2020">
        <w:r>
          <w:rPr>
            <w:rStyle w:val="Hyperlink"/>
          </w:rPr>
          <w:t xml:space="preserve">Livingston et al., 2020</w:t>
        </w:r>
      </w:hyperlink>
      <w:r>
        <w:t xml:space="preserve">,</w:t>
      </w:r>
      <w:r>
        <w:t xml:space="preserve"> </w:t>
      </w:r>
      <w:hyperlink w:anchor="ref-livingston2024">
        <w:r>
          <w:rPr>
            <w:rStyle w:val="Hyperlink"/>
          </w:rPr>
          <w:t xml:space="preserve">2024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Understanding how procrastination interacts with age may help clarify</w:t>
      </w:r>
      <w:r>
        <w:t xml:space="preserve"> </w:t>
      </w:r>
      <w:r>
        <w:t xml:space="preserve">its role in the aetiology of cognitive decline and identify windows of</w:t>
      </w:r>
      <w:r>
        <w:t xml:space="preserve"> </w:t>
      </w:r>
      <w:r>
        <w:t xml:space="preserve">opportunity for targeted intervention.</w:t>
      </w:r>
    </w:p>
    <w:p>
      <w:pPr>
        <w:pStyle w:val="BodyText"/>
      </w:pPr>
      <w:r>
        <w:t xml:space="preserve">To our knowledge, no studies have directly examined procrastination as a</w:t>
      </w:r>
      <w:r>
        <w:t xml:space="preserve"> </w:t>
      </w:r>
      <w:r>
        <w:t xml:space="preserve">predictor of cognitive decline or dementia progression. Accordingly, the</w:t>
      </w:r>
      <w:r>
        <w:t xml:space="preserve"> </w:t>
      </w:r>
      <w:r>
        <w:t xml:space="preserve">present study aimed to a) assess differences in procrastination levels</w:t>
      </w:r>
      <w:r>
        <w:t xml:space="preserve"> </w:t>
      </w:r>
      <w:r>
        <w:t xml:space="preserve">across three groups: individuals with dementia, individuals with MCI,</w:t>
      </w:r>
      <w:r>
        <w:t xml:space="preserve"> </w:t>
      </w:r>
      <w:r>
        <w:t xml:space="preserve">and individuals with neither dementia nor MCI, and b) test whether</w:t>
      </w:r>
      <w:r>
        <w:t xml:space="preserve"> </w:t>
      </w:r>
      <w:r>
        <w:t xml:space="preserve">higher procrastination scores predict transition from normative</w:t>
      </w:r>
      <w:r>
        <w:t xml:space="preserve"> </w:t>
      </w:r>
      <w:r>
        <w:t xml:space="preserve">cognition function to dementia or MCI to dementia.</w:t>
      </w:r>
    </w:p>
    <w:bookmarkEnd w:id="39"/>
    <w:bookmarkStart w:id="47" w:name="method"/>
    <w:p>
      <w:pPr>
        <w:pStyle w:val="Heading1"/>
      </w:pPr>
      <w:r>
        <w:t xml:space="preserve">Method</w:t>
      </w:r>
    </w:p>
    <w:bookmarkStart w:id="40" w:name="data-and-study-population"/>
    <w:p>
      <w:pPr>
        <w:pStyle w:val="Heading2"/>
      </w:pPr>
      <w:r>
        <w:t xml:space="preserve">Data and study population</w:t>
      </w:r>
    </w:p>
    <w:p>
      <w:pPr>
        <w:pStyle w:val="FirstParagraph"/>
      </w:pPr>
      <w:r>
        <w:t xml:space="preserve">Analyses were conducted using a secondary data source; a multi-wave</w:t>
      </w:r>
      <w:r>
        <w:t xml:space="preserve"> </w:t>
      </w:r>
      <w:r>
        <w:t xml:space="preserve">prospective cohort study called the Health and Retirement Study (HRS;</w:t>
      </w:r>
      <w:r>
        <w:t xml:space="preserve"> </w:t>
      </w:r>
      <w:r>
        <w:t xml:space="preserve">(</w:t>
      </w:r>
      <w:hyperlink w:anchor="ref-fisher2018">
        <w:r>
          <w:rPr>
            <w:rStyle w:val="Hyperlink"/>
          </w:rPr>
          <w:t xml:space="preserve">Fisher &amp; Ryan, 2018</w:t>
        </w:r>
      </w:hyperlink>
      <w:r>
        <w:t xml:space="preserve">)</w:t>
      </w:r>
      <w:r>
        <w:t xml:space="preserve">, which tracks the health, economic, and social well-being</w:t>
      </w:r>
      <w:r>
        <w:t xml:space="preserve"> </w:t>
      </w:r>
      <w:r>
        <w:t xml:space="preserve">of over</w:t>
      </w:r>
      <w:r>
        <w:t xml:space="preserve"> </w:t>
      </w:r>
      <m:oMath>
        <m:r>
          <m:t>18</m:t>
        </m:r>
        <m:r>
          <m:rPr>
            <m:sty m:val="p"/>
          </m:rPr>
          <m:t>,</m:t>
        </m:r>
        <m:r>
          <m:t>000</m:t>
        </m:r>
      </m:oMath>
      <w:r>
        <w:t xml:space="preserve"> </w:t>
      </w:r>
      <w:r>
        <w:t xml:space="preserve">American adults primarily aged</w:t>
      </w:r>
      <w:r>
        <w:t xml:space="preserve"> </w:t>
      </w:r>
      <m:oMath>
        <m:r>
          <m:t>50</m:t>
        </m:r>
        <m:r>
          <m:rPr>
            <m:sty m:val="p"/>
          </m:rPr>
          <m:t>+</m:t>
        </m:r>
      </m:oMath>
      <w:r>
        <w:t xml:space="preserve">. The HRS is</w:t>
      </w:r>
      <w:r>
        <w:t xml:space="preserve"> </w:t>
      </w:r>
      <w:r>
        <w:t xml:space="preserve">managed by the Institute for Social Research at the University of</w:t>
      </w:r>
      <w:r>
        <w:t xml:space="preserve"> </w:t>
      </w:r>
      <w:r>
        <w:t xml:space="preserve">Michigan, with data collected every two years. Initial data collection</w:t>
      </w:r>
      <w:r>
        <w:t xml:space="preserve"> </w:t>
      </w:r>
      <w:r>
        <w:t xml:space="preserve">of a participant is conducted through a face-to-face interview, with</w:t>
      </w:r>
      <w:r>
        <w:t xml:space="preserve"> </w:t>
      </w:r>
      <w:r>
        <w:t xml:space="preserve">follow-up biennial interviews conducted either by phone or face-to-face.</w:t>
      </w:r>
      <w:r>
        <w:t xml:space="preserve"> </w:t>
      </w:r>
      <w:r>
        <w:t xml:space="preserve">The average retention rate ranges from</w:t>
      </w:r>
      <w:r>
        <w:t xml:space="preserve"> </w:t>
      </w:r>
      <m:oMath>
        <m:r>
          <m:t>68.8</m:t>
        </m:r>
        <m:r>
          <m:rPr>
            <m:sty m:val="p"/>
          </m:rPr>
          <m:t>%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92.3</m:t>
        </m:r>
        <m:r>
          <m:rPr>
            <m:sty m:val="p"/>
          </m:rPr>
          <m:t>%</m:t>
        </m:r>
      </m:oMath>
      <w:r>
        <w:t xml:space="preserve"> </w:t>
      </w:r>
      <w:r>
        <w:t xml:space="preserve">(</w:t>
      </w:r>
      <w:hyperlink w:anchor="ref-HRS2017">
        <w:r>
          <w:rPr>
            <w:rStyle w:val="Hyperlink"/>
          </w:rPr>
          <w:t xml:space="preserve">Health and Retirement Study, 2017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At the time of writing, fifteen years of HRS data are currently</w:t>
      </w:r>
      <w:r>
        <w:t xml:space="preserve"> </w:t>
      </w:r>
      <w:r>
        <w:t xml:space="preserve">archived.</w:t>
      </w:r>
    </w:p>
    <w:p>
      <w:pPr>
        <w:pStyle w:val="BodyText"/>
      </w:pPr>
      <w:r>
        <w:t xml:space="preserve">We focused on four waves of HRS data from 2016 to 2022. Specifically,</w:t>
      </w:r>
      <w:r>
        <w:t xml:space="preserve"> </w:t>
      </w:r>
      <w:r>
        <w:t xml:space="preserve">our study sample consisted of respondents who participated in an</w:t>
      </w:r>
      <w:r>
        <w:t xml:space="preserve"> </w:t>
      </w:r>
      <w:r>
        <w:t xml:space="preserve">experimental module assessing procrastination during the 2020 wave.</w:t>
      </w:r>
      <w:r>
        <w:t xml:space="preserve"> </w:t>
      </w:r>
      <w:r>
        <w:t xml:space="preserve">These experimental modules, administered at the end of the core HRS</w:t>
      </w:r>
      <w:r>
        <w:t xml:space="preserve"> </w:t>
      </w:r>
      <w:r>
        <w:t xml:space="preserve">interview, consist of concise questionnaires designed to explore new</w:t>
      </w:r>
      <w:r>
        <w:t xml:space="preserve"> </w:t>
      </w:r>
      <w:r>
        <w:t xml:space="preserve">topics or supplement existing core survey data</w:t>
      </w:r>
      <w:r>
        <w:t xml:space="preserve"> </w:t>
      </w:r>
      <w:r>
        <w:t xml:space="preserve">(</w:t>
      </w:r>
      <w:hyperlink w:anchor="ref-juster1995">
        <w:r>
          <w:rPr>
            <w:rStyle w:val="Hyperlink"/>
          </w:rPr>
          <w:t xml:space="preserve">Juster &amp; Suzman, 1995</w:t>
        </w:r>
      </w:hyperlink>
      <w:r>
        <w:t xml:space="preserve">)</w:t>
      </w:r>
      <w:r>
        <w:t xml:space="preserve">. Each</w:t>
      </w:r>
      <w:r>
        <w:t xml:space="preserve"> </w:t>
      </w:r>
      <w:r>
        <w:t xml:space="preserve">respondent receives only one experimental module, with sample sizes for</w:t>
      </w:r>
      <w:r>
        <w:t xml:space="preserve"> </w:t>
      </w:r>
      <w:r>
        <w:t xml:space="preserve">each module constituting approximately 10% of the core sample. As a</w:t>
      </w:r>
      <w:r>
        <w:t xml:space="preserve"> </w:t>
      </w:r>
      <w:r>
        <w:t xml:space="preserve">result, while the core HRS sample includes approximately</w:t>
      </w:r>
      <w:r>
        <w:t xml:space="preserve"> </w:t>
      </w:r>
      <m:oMath>
        <m:r>
          <m:t>18</m:t>
        </m:r>
        <m:r>
          <m:rPr>
            <m:sty m:val="p"/>
          </m:rPr>
          <m:t>,</m:t>
        </m:r>
        <m:r>
          <m:t>000</m:t>
        </m:r>
      </m:oMath>
      <w:r>
        <w:t xml:space="preserve"> </w:t>
      </w:r>
      <w:r>
        <w:t xml:space="preserve">respondents, our initial sample of interest consisted of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368</m:t>
        </m:r>
      </m:oMath>
      <w:r>
        <w:t xml:space="preserve"> </w:t>
      </w:r>
      <w:r>
        <w:t xml:space="preserve">respondents. We excluded respondents with missing cognitive assessment</w:t>
      </w:r>
      <w:r>
        <w:t xml:space="preserve"> </w:t>
      </w:r>
      <w:r>
        <w:t xml:space="preserve">data for any wave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419</m:t>
            </m:r>
          </m:e>
        </m:d>
      </m:oMath>
      <w:r>
        <w:t xml:space="preserve">, those under 60 years of age, (as</w:t>
      </w:r>
      <w:r>
        <w:t xml:space="preserve"> </w:t>
      </w:r>
      <w:r>
        <w:t xml:space="preserve">cognitive symptoms typically occur around this age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398</m:t>
        </m:r>
      </m:oMath>
      <w:r>
        <w:t xml:space="preserve">), and those</w:t>
      </w:r>
      <w:r>
        <w:t xml:space="preserve"> </w:t>
      </w:r>
      <w:r>
        <w:t xml:space="preserve">with complete missing values across the procrastination measure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e>
        </m:d>
      </m:oMath>
      <w:r>
        <w:t xml:space="preserve">. This resulted in a final analytic sample of</w:t>
      </w:r>
      <w:r>
        <w:t xml:space="preserve"> </w:t>
      </w:r>
      <m:oMath>
        <m:r>
          <m:t>549</m:t>
        </m:r>
      </m:oMath>
      <w:r>
        <w:t xml:space="preserve"> </w:t>
      </w:r>
      <w:r>
        <w:t xml:space="preserve">respondents.</w:t>
      </w:r>
    </w:p>
    <w:bookmarkEnd w:id="40"/>
    <w:bookmarkStart w:id="45" w:name="measures"/>
    <w:p>
      <w:pPr>
        <w:pStyle w:val="Heading2"/>
      </w:pPr>
      <w:r>
        <w:t xml:space="preserve">Measures</w:t>
      </w:r>
    </w:p>
    <w:bookmarkStart w:id="41" w:name="X6ece146494caabc82941866093063fd55e7def7"/>
    <w:p>
      <w:pPr>
        <w:pStyle w:val="Heading3"/>
      </w:pPr>
      <w:r>
        <w:t xml:space="preserve">Outcome: Cognitive Function and Cognitive Category</w:t>
      </w:r>
    </w:p>
    <w:p>
      <w:pPr>
        <w:pStyle w:val="FirstParagraph"/>
      </w:pPr>
      <w:r>
        <w:t xml:space="preserve">Cognitive function in the HRS is assessed using a series of tests</w:t>
      </w:r>
      <w:r>
        <w:t xml:space="preserve"> </w:t>
      </w:r>
      <w:r>
        <w:t xml:space="preserve">adapted from the Telephone Interview for Cognitive Status (TICS;</w:t>
      </w:r>
      <w:r>
        <w:t xml:space="preserve"> </w:t>
      </w:r>
      <w:r>
        <w:t xml:space="preserve">(</w:t>
      </w:r>
      <w:hyperlink w:anchor="ref-brandt1988">
        <w:r>
          <w:rPr>
            <w:rStyle w:val="Hyperlink"/>
          </w:rPr>
          <w:t xml:space="preserve">Brandt et al., 1988</w:t>
        </w:r>
      </w:hyperlink>
      <w:r>
        <w:t xml:space="preserve">;</w:t>
      </w:r>
      <w:r>
        <w:t xml:space="preserve"> </w:t>
      </w:r>
      <w:hyperlink w:anchor="ref-fong2009">
        <w:r>
          <w:rPr>
            <w:rStyle w:val="Hyperlink"/>
          </w:rPr>
          <w:t xml:space="preserve">Fong et al., 2009</w:t>
        </w:r>
      </w:hyperlink>
      <w:r>
        <w:t xml:space="preserve">)</w:t>
      </w:r>
      <w:r>
        <w:t xml:space="preserve">. These tests include an immediate and delayed</w:t>
      </w:r>
      <w:r>
        <w:t xml:space="preserve"> </w:t>
      </w:r>
      <m:oMath>
        <m:r>
          <m:t>10</m:t>
        </m:r>
      </m:oMath>
      <w:r>
        <w:t xml:space="preserve">-noun free recall test (to assess episodic memory), a serial seven</w:t>
      </w:r>
      <w:r>
        <w:t xml:space="preserve"> </w:t>
      </w:r>
      <w:r>
        <w:t xml:space="preserve">subtraction test (to assess working memory), and a backward count from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test (to assess mental processing). Based on these assessments,</w:t>
      </w:r>
      <w:r>
        <w:t xml:space="preserve"> </w:t>
      </w:r>
      <w:r>
        <w:t xml:space="preserve">Crimmins et al. (</w:t>
      </w:r>
      <w:hyperlink w:anchor="ref-crimmins20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 </w:t>
      </w:r>
      <w:r>
        <w:t xml:space="preserve">developed both a</w:t>
      </w:r>
      <w:r>
        <w:t xml:space="preserve"> </w:t>
      </w:r>
      <m:oMath>
        <m:r>
          <m:t>27</m:t>
        </m:r>
      </m:oMath>
      <w:r>
        <w:t xml:space="preserve">-point cognitive scale and validated</w:t>
      </w:r>
      <w:r>
        <w:t xml:space="preserve"> </w:t>
      </w:r>
      <w:r>
        <w:t xml:space="preserve">cut-off points to assess and classify cognitive status. Using these</w:t>
      </w:r>
      <w:r>
        <w:t xml:space="preserve"> </w:t>
      </w:r>
      <w:r>
        <w:t xml:space="preserve">points, respondents who scored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r>
          <m:t>27</m:t>
        </m:r>
      </m:oMath>
      <w:r>
        <w:t xml:space="preserve"> </w:t>
      </w:r>
      <w:r>
        <w:t xml:space="preserve">were classified as having</w:t>
      </w:r>
      <w:r>
        <w:t xml:space="preserve"> </w:t>
      </w:r>
      <w:r>
        <w:t xml:space="preserve">normal cognition,</w:t>
      </w:r>
      <w:r>
        <w:t xml:space="preserve"> </w:t>
      </w:r>
      <m:oMath>
        <m:r>
          <m:t>7</m:t>
        </m:r>
        <m:r>
          <m:rPr>
            <m:sty m:val="p"/>
          </m:rPr>
          <m:t>−</m:t>
        </m:r>
        <m:r>
          <m:t>11</m:t>
        </m:r>
      </m:oMath>
      <w:r>
        <w:t xml:space="preserve"> </w:t>
      </w:r>
      <w:r>
        <w:t xml:space="preserve">as having MCI, and</w:t>
      </w:r>
      <w:r>
        <w:t xml:space="preserve"> </w:t>
      </w:r>
      <m:oMath>
        <m:r>
          <m:t>0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as having</w:t>
      </w:r>
      <w:r>
        <w:t xml:space="preserve"> </w:t>
      </w:r>
      <w:r>
        <w:t xml:space="preserve">dementia.</w:t>
      </w:r>
    </w:p>
    <w:bookmarkEnd w:id="41"/>
    <w:bookmarkStart w:id="42" w:name="predictor-procrastination"/>
    <w:p>
      <w:pPr>
        <w:pStyle w:val="Heading3"/>
      </w:pPr>
      <w:r>
        <w:t xml:space="preserve">Predictor: Procrastination</w:t>
      </w:r>
    </w:p>
    <w:p>
      <w:pPr>
        <w:pStyle w:val="FirstParagraph"/>
      </w:pPr>
      <w:r>
        <w:t xml:space="preserve">Procrastination was measured using the Pure Procrastination Scale</w:t>
      </w:r>
      <w:r>
        <w:t xml:space="preserve"> </w:t>
      </w:r>
      <w:r>
        <w:t xml:space="preserve">(</w:t>
      </w:r>
      <w:hyperlink w:anchor="ref-steel2010">
        <w:r>
          <w:rPr>
            <w:rStyle w:val="Hyperlink"/>
          </w:rPr>
          <w:t xml:space="preserve">Steel, 2010</w:t>
        </w:r>
      </w:hyperlink>
      <w:r>
        <w:t xml:space="preserve">)</w:t>
      </w:r>
      <w:r>
        <w:t xml:space="preserve">, a psychometrically validated scale for evaluating</w:t>
      </w:r>
      <w:r>
        <w:t xml:space="preserve"> </w:t>
      </w:r>
      <w:r>
        <w:t xml:space="preserve">procrastination when conceptualized as a dysfunctional delay. The PPS</w:t>
      </w:r>
      <w:r>
        <w:t xml:space="preserve"> </w:t>
      </w:r>
      <w:r>
        <w:t xml:space="preserve">consists of 12 items rated on a Likert scale ranging from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(strongly</w:t>
      </w:r>
      <w:r>
        <w:t xml:space="preserve"> </w:t>
      </w:r>
      <w:r>
        <w:t xml:space="preserve">disagree) to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(strongly agree). In responding to the scale items,</w:t>
      </w:r>
      <w:r>
        <w:t xml:space="preserve"> </w:t>
      </w:r>
      <w:r>
        <w:t xml:space="preserve">participants were asked to reflect on their general behavioural</w:t>
      </w:r>
      <w:r>
        <w:t xml:space="preserve"> </w:t>
      </w:r>
      <w:r>
        <w:t xml:space="preserve">tendencies, with no specific time-frame provided. Total procrastination</w:t>
      </w:r>
      <w:r>
        <w:t xml:space="preserve"> </w:t>
      </w:r>
      <w:r>
        <w:t xml:space="preserve">scores range from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60</m:t>
        </m:r>
      </m:oMath>
      <w:r>
        <w:t xml:space="preserve">, with higher scores indicating greater</w:t>
      </w:r>
      <w:r>
        <w:t xml:space="preserve"> </w:t>
      </w:r>
      <w:r>
        <w:t xml:space="preserve">tendency to procrastinate. In the HRS, the PPS was administered only in</w:t>
      </w:r>
      <w:r>
        <w:t xml:space="preserve"> </w:t>
      </w:r>
      <w:r>
        <w:t xml:space="preserve">wave 3 (2020) of the respective waves. As such, we use the wave 3</w:t>
      </w:r>
      <w:r>
        <w:t xml:space="preserve"> </w:t>
      </w:r>
      <w:r>
        <w:t xml:space="preserve">measure as both a retrospective and prospective proxy for</w:t>
      </w:r>
      <w:r>
        <w:t xml:space="preserve"> </w:t>
      </w:r>
      <w:r>
        <w:t xml:space="preserve">procrastination scores across all waves in the analysis. This approach</w:t>
      </w:r>
      <w:r>
        <w:t xml:space="preserve"> </w:t>
      </w:r>
      <w:r>
        <w:t xml:space="preserve">assumes relative temporal stability in procrastination over the study</w:t>
      </w:r>
      <w:r>
        <w:t xml:space="preserve"> </w:t>
      </w:r>
      <w:r>
        <w:t xml:space="preserve">period. In this sample, the PSS had a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score of 0.92,</w:t>
      </w:r>
      <w:r>
        <w:t xml:space="preserve"> </w:t>
      </w:r>
      <w:r>
        <w:t xml:space="preserve">indicating high internal consistency. In responding to the scale items,</w:t>
      </w:r>
      <w:r>
        <w:t xml:space="preserve"> </w:t>
      </w:r>
      <w:r>
        <w:t xml:space="preserve">participants were asked to reflect on their general behavioural</w:t>
      </w:r>
      <w:r>
        <w:t xml:space="preserve"> </w:t>
      </w:r>
      <w:r>
        <w:t xml:space="preserve">tendencies, with no specific time-frame provided. An example of a</w:t>
      </w:r>
      <w:r>
        <w:t xml:space="preserve"> </w:t>
      </w:r>
      <w:r>
        <w:t xml:space="preserve">question from the scale includes ``I delay making decisions until it’s</w:t>
      </w:r>
      <w:r>
        <w:t xml:space="preserve"> </w:t>
      </w:r>
      <w:r>
        <w:t xml:space="preserve">too late”.</w:t>
      </w:r>
    </w:p>
    <w:bookmarkEnd w:id="42"/>
    <w:bookmarkStart w:id="43" w:name="covariate-apathy"/>
    <w:p>
      <w:pPr>
        <w:pStyle w:val="Heading3"/>
      </w:pPr>
      <w:r>
        <w:t xml:space="preserve">Covariate: Apathy</w:t>
      </w:r>
    </w:p>
    <w:p>
      <w:pPr>
        <w:pStyle w:val="FirstParagraph"/>
      </w:pPr>
      <w:r>
        <w:t xml:space="preserve">While no direct measure of apathy exists within the HRS, we utilised two</w:t>
      </w:r>
      <w:r>
        <w:t xml:space="preserve"> </w:t>
      </w:r>
      <w:r>
        <w:t xml:space="preserve">questions from the eight-item version of the Center for Epidemiological</w:t>
      </w:r>
      <w:r>
        <w:t xml:space="preserve"> </w:t>
      </w:r>
      <w:r>
        <w:t xml:space="preserve">Studies Depression (CES-D8) scale</w:t>
      </w:r>
      <w:r>
        <w:t xml:space="preserve"> </w:t>
      </w:r>
      <w:r>
        <w:t xml:space="preserve">(</w:t>
      </w:r>
      <w:hyperlink w:anchor="ref-briggs2018">
        <w:r>
          <w:rPr>
            <w:rStyle w:val="Hyperlink"/>
          </w:rPr>
          <w:t xml:space="preserve">Briggs et al., 2018</w:t>
        </w:r>
      </w:hyperlink>
      <w:r>
        <w:t xml:space="preserve">)</w:t>
      </w:r>
      <w:r>
        <w:t xml:space="preserve"> </w:t>
      </w:r>
      <w:r>
        <w:t xml:space="preserve">as proxies for apathy:</w:t>
      </w:r>
      <w:r>
        <w:t xml:space="preserve"> </w:t>
      </w:r>
      <w:r>
        <w:t xml:space="preserve">“You felt that everything you did was an effort”</w:t>
      </w:r>
      <w:r>
        <w:t xml:space="preserve"> </w:t>
      </w:r>
      <w:r>
        <w:t xml:space="preserve">and</w:t>
      </w:r>
      <w:r>
        <w:t xml:space="preserve"> </w:t>
      </w:r>
      <w:r>
        <w:t xml:space="preserve">“You could not get</w:t>
      </w:r>
      <w:r>
        <w:t xml:space="preserve"> </w:t>
      </w:r>
      <w:r>
        <w:t xml:space="preserve">going”</w:t>
      </w:r>
      <w:r>
        <w:t xml:space="preserve">. Both items capture core features of apathy (behavioural and</w:t>
      </w:r>
      <w:r>
        <w:t xml:space="preserve"> </w:t>
      </w:r>
      <w:r>
        <w:t xml:space="preserve">motivational disengagement) and, while not a comprehensive measure of</w:t>
      </w:r>
      <w:r>
        <w:t xml:space="preserve"> </w:t>
      </w:r>
      <w:r>
        <w:t xml:space="preserve">apathy, provide a valid and pragmatic approximation for modelling</w:t>
      </w:r>
      <w:r>
        <w:t xml:space="preserve"> </w:t>
      </w:r>
      <w:r>
        <w:t xml:space="preserve">purposes. Each item was measured on a binary</w:t>
      </w:r>
      <w:r>
        <w:t xml:space="preserve"> </w:t>
      </w:r>
      <w:r>
        <w:t xml:space="preserve">“yes/no”</w:t>
      </w:r>
      <w:r>
        <w:t xml:space="preserve"> </w:t>
      </w:r>
      <w:r>
        <w:t xml:space="preserve">scale with total</w:t>
      </w:r>
      <w:r>
        <w:t xml:space="preserve"> </w:t>
      </w:r>
      <w:r>
        <w:t xml:space="preserve">scores ranging from $0$ to $2$.</w:t>
      </w:r>
    </w:p>
    <w:bookmarkEnd w:id="43"/>
    <w:bookmarkStart w:id="44" w:name="confounders"/>
    <w:p>
      <w:pPr>
        <w:pStyle w:val="Heading3"/>
      </w:pPr>
      <w:r>
        <w:t xml:space="preserve">Confounders</w:t>
      </w:r>
    </w:p>
    <w:p>
      <w:pPr>
        <w:pStyle w:val="FirstParagraph"/>
      </w:pPr>
      <w:r>
        <w:t xml:space="preserve">To account for potential confounding, we controlled for demographic</w:t>
      </w:r>
      <w:r>
        <w:t xml:space="preserve"> </w:t>
      </w:r>
      <w:r>
        <w:t xml:space="preserve">variables with established associations with both cognitive function and</w:t>
      </w:r>
      <w:r>
        <w:t xml:space="preserve"> </w:t>
      </w:r>
      <w:r>
        <w:t xml:space="preserve">procrastination</w:t>
      </w:r>
      <w:r>
        <w:t xml:space="preserve"> </w:t>
      </w:r>
      <w:r>
        <w:t xml:space="preserve">(</w:t>
      </w:r>
      <w:hyperlink w:anchor="ref-vanderweele2019">
        <w:r>
          <w:rPr>
            <w:rStyle w:val="Hyperlink"/>
          </w:rPr>
          <w:t xml:space="preserve">VanderWeele, 2019</w:t>
        </w:r>
      </w:hyperlink>
      <w:r>
        <w:t xml:space="preserve">)</w:t>
      </w:r>
      <w:r>
        <w:t xml:space="preserve">. These included measures of age, sex,</w:t>
      </w:r>
      <w:r>
        <w:t xml:space="preserve"> </w:t>
      </w:r>
      <w:r>
        <w:t xml:space="preserve">and educational attainment</w:t>
      </w:r>
      <w:r>
        <w:t xml:space="preserve"> </w:t>
      </w:r>
      <w:r>
        <w:t xml:space="preserve">(</w:t>
      </w:r>
      <w:hyperlink w:anchor="ref-abner2012">
        <w:r>
          <w:rPr>
            <w:rStyle w:val="Hyperlink"/>
          </w:rPr>
          <w:t xml:space="preserve">Abner et al., 2012</w:t>
        </w:r>
      </w:hyperlink>
      <w:r>
        <w:t xml:space="preserve">;</w:t>
      </w:r>
      <w:r>
        <w:t xml:space="preserve"> </w:t>
      </w:r>
      <w:hyperlink w:anchor="ref-freedman2024">
        <w:r>
          <w:rPr>
            <w:rStyle w:val="Hyperlink"/>
          </w:rPr>
          <w:t xml:space="preserve">Freedman &amp; Cornman, 2024</w:t>
        </w:r>
      </w:hyperlink>
      <w:r>
        <w:t xml:space="preserve">;</w:t>
      </w:r>
      <w:r>
        <w:t xml:space="preserve"> </w:t>
      </w:r>
      <w:hyperlink w:anchor="ref-yu2013">
        <w:r>
          <w:rPr>
            <w:rStyle w:val="Hyperlink"/>
          </w:rPr>
          <w:t xml:space="preserve">Yu et al., 2013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Educational attainment was classified into three categories: no formal</w:t>
      </w:r>
      <w:r>
        <w:t xml:space="preserve"> </w:t>
      </w:r>
      <w:r>
        <w:t xml:space="preserve">education, GED (General Educational Development)/high school diploma,</w:t>
      </w:r>
      <w:r>
        <w:t xml:space="preserve"> </w:t>
      </w:r>
      <w:r>
        <w:t xml:space="preserve">and college/further education.</w:t>
      </w:r>
    </w:p>
    <w:bookmarkEnd w:id="44"/>
    <w:bookmarkEnd w:id="45"/>
    <w:bookmarkStart w:id="46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All data analysis was carried out in R</w:t>
      </w:r>
      <w:r>
        <w:t xml:space="preserve"> </w:t>
      </w:r>
      <w:r>
        <w:t xml:space="preserve">(</w:t>
      </w:r>
      <w:hyperlink w:anchor="ref-rcoreteam2025">
        <w:r>
          <w:rPr>
            <w:rStyle w:val="Hyperlink"/>
          </w:rPr>
          <w:t xml:space="preserve">R Core Team, 2025</w:t>
        </w:r>
      </w:hyperlink>
      <w:r>
        <w:t xml:space="preserve">)</w:t>
      </w:r>
      <w:r>
        <w:t xml:space="preserve">. To model</w:t>
      </w:r>
      <w:r>
        <w:t xml:space="preserve"> </w:t>
      </w:r>
      <w:r>
        <w:t xml:space="preserve">transitions in cognitive states over time, we employed a first order</w:t>
      </w:r>
      <w:r>
        <w:t xml:space="preserve"> </w:t>
      </w:r>
      <w:r>
        <w:t xml:space="preserve">discrete-time Markov model, a class of stochastic processes that satisfy</w:t>
      </w:r>
      <w:r>
        <w:t xml:space="preserve"> </w:t>
      </w:r>
      <w:r>
        <w:t xml:space="preserve">the Markov property</w:t>
      </w:r>
      <w:r>
        <w:t xml:space="preserve"> </w:t>
      </w:r>
      <w:r>
        <w:t xml:space="preserve">(</w:t>
      </w:r>
      <w:hyperlink w:anchor="ref-zhang2010">
        <w:r>
          <w:rPr>
            <w:rStyle w:val="Hyperlink"/>
          </w:rPr>
          <w:t xml:space="preserve">Zhang et al., 2010</w:t>
        </w:r>
      </w:hyperlink>
      <w:r>
        <w:t xml:space="preserve">)</w:t>
      </w:r>
      <w:r>
        <w:t xml:space="preserve">, which can be formally expressed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j</m:t>
              </m:r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i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j</m:t>
              </m:r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This property asserts that the probability of transitioning from state</w:t>
      </w:r>
      <w:r>
        <w:t xml:space="preserve"> </w:t>
      </w:r>
      <w:r>
        <w:t xml:space="preserve">$X_t = i$ to a future state $X_{t+1} = j$ depends only on the</w:t>
      </w:r>
      <w:r>
        <w:t xml:space="preserve"> </w:t>
      </w:r>
      <w:r>
        <w:t xml:space="preserve">current state $X_t$, and not on the full history of preceding states.</w:t>
      </w:r>
      <w:r>
        <w:t xml:space="preserve"> </w:t>
      </w:r>
      <w:r>
        <w:t xml:space="preserve">Here, there are three potential states: normative cognitive function,</w:t>
      </w:r>
      <w:r>
        <w:t xml:space="preserve"> </w:t>
      </w:r>
      <w:r>
        <w:t xml:space="preserve">mild cognitive impairment, and dementia. We consider dementia to be an</w:t>
      </w:r>
      <w:r>
        <w:t xml:space="preserve"> </w:t>
      </w:r>
      <w:r>
        <w:t xml:space="preserve">absorbing state, i.e. once an individual reaches this state, they cannot</w:t>
      </w:r>
      <w:r>
        <w:t xml:space="preserve"> </w:t>
      </w:r>
      <w:r>
        <w:t xml:space="preserve">return to the other states in a future time point.</w:t>
      </w:r>
    </w:p>
    <w:p>
      <w:pPr>
        <w:pStyle w:val="BodyText"/>
      </w:pPr>
      <w:r>
        <w:t xml:space="preserve">Unlike continuous-time models, discrete-time Markov models are not</w:t>
      </w:r>
      <w:r>
        <w:t xml:space="preserve"> </w:t>
      </w:r>
      <w:r>
        <w:t xml:space="preserve">readily supported by a dedicated R package for deriving transition</w:t>
      </w:r>
      <w:r>
        <w:t xml:space="preserve"> </w:t>
      </w:r>
      <w:r>
        <w:t xml:space="preserve">probabilities. Therefore, we implemented the model manually using</w:t>
      </w:r>
      <w:r>
        <w:t xml:space="preserve"> </w:t>
      </w:r>
      <w:r>
        <w:t xml:space="preserve">multinomial logistic regression from the</w:t>
      </w:r>
      <w:r>
        <w:t xml:space="preserve"> </w:t>
      </w:r>
      <w:r>
        <w:rPr>
          <w:i/>
          <w:iCs/>
        </w:rPr>
        <w:t xml:space="preserve">nnet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venables2002">
        <w:r>
          <w:rPr>
            <w:rStyle w:val="Hyperlink"/>
          </w:rPr>
          <w:t xml:space="preserve">Venables &amp; Ripley, 2002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This approach estimates the log-odds of transitioning to each</w:t>
      </w:r>
      <w:r>
        <w:t xml:space="preserve"> </w:t>
      </w:r>
      <w:r>
        <w:t xml:space="preserve">non-reference state as a linear function of covariates, relative to a</w:t>
      </w:r>
      <w:r>
        <w:t xml:space="preserve"> </w:t>
      </w:r>
      <w:r>
        <w:t xml:space="preserve">chosen reference category. For a system with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cognitive states (with</w:t>
      </w:r>
      <w:r>
        <w:t xml:space="preserve"> </w:t>
      </w:r>
      <w:r>
        <w:t xml:space="preserve">state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as the reference), the model takes the form: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j</m:t>
                  </m:r>
                  <m:r>
                    <m:t> </m:t>
                  </m:r>
                  <m:r>
                    <m:rPr>
                      <m:sty m:val="p"/>
                    </m:rPr>
                    <m:t>|</m:t>
                  </m:r>
                  <m:r>
                    <m:t> </m:t>
                  </m:r>
                  <m:r>
                    <m:t>x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  <m:r>
                    <m:rPr>
                      <m:sty m:val="p"/>
                    </m:rPr>
                    <m:t>|</m:t>
                  </m:r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Sup>
            <m:e>
              <m:r>
                <m:t>β</m:t>
              </m:r>
            </m:e>
            <m:sub>
              <m:r>
                <m:t>j</m:t>
              </m:r>
            </m:sub>
            <m:sup>
              <m:r>
                <m:rPr>
                  <m:sty m:val="p"/>
                </m:rPr>
                <m:t>⊤</m:t>
              </m:r>
            </m:sup>
          </m:sSubSup>
          <m:r>
            <m:t>x</m:t>
          </m:r>
          <m:r>
            <m:t>  </m:t>
          </m:r>
          <m:r>
            <m:rPr>
              <m:nor/>
              <m:sty m:val="p"/>
            </m:rPr>
            <m:t>for 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t>K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From these equations, the predicted transition probabilities for the</w:t>
      </w:r>
      <w:r>
        <w:t xml:space="preserve"> </w:t>
      </w:r>
      <w:r>
        <w:t xml:space="preserve">non-reference states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derived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=</m:t>
              </m:r>
              <m:r>
                <m:t>j</m:t>
              </m:r>
              <m:r>
                <m:rPr>
                  <m:sty m:val="p"/>
                </m:rPr>
                <m:t>|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m:t>⊤</m:t>
                      </m:r>
                    </m:sup>
                  </m:sSubSup>
                  <m:r>
                    <m:t>x</m:t>
                  </m:r>
                </m:sup>
              </m:sSup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β</m:t>
                          </m:r>
                        </m:e>
                        <m:sub>
                          <m:r>
                            <m:t>k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⊤</m:t>
                          </m:r>
                        </m:sup>
                      </m:sSubSup>
                      <m:r>
                        <m:t>x</m:t>
                      </m:r>
                    </m:sup>
                  </m:sSup>
                </m:e>
              </m:nary>
            </m:den>
          </m:f>
        </m:oMath>
      </m:oMathPara>
    </w:p>
    <w:p>
      <w:pPr>
        <w:pStyle w:val="FirstParagraph"/>
      </w:pPr>
      <w:r>
        <w:t xml:space="preserve">and for the reference state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t> </m:t>
              </m:r>
              <m:r>
                <m:rPr>
                  <m:sty m:val="p"/>
                </m:rPr>
                <m:t>|</m:t>
              </m:r>
              <m:r>
                <m:t> 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⊤</m:t>
                          </m:r>
                        </m:sup>
                      </m:sSubSup>
                      <m:r>
                        <m:t>x</m:t>
                      </m:r>
                    </m:sup>
                  </m:sSup>
                </m:e>
              </m:nary>
            </m:den>
          </m:f>
        </m:oMath>
      </m:oMathPara>
    </w:p>
    <w:p>
      <w:pPr>
        <w:pStyle w:val="FirstParagraph"/>
      </w:pPr>
      <w:r>
        <w:t xml:space="preserve">To assess model fit and guide model selection for covariates in the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vectors, we conducted likelihood-ratio tests comparing full</w:t>
      </w:r>
      <w:r>
        <w:t xml:space="preserve"> </w:t>
      </w:r>
      <w:r>
        <w:t xml:space="preserve">and reduced models, whose test statistic is defined as: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p"/>
                    </m:rPr>
                    <m:t>ℓ</m:t>
                  </m:r>
                </m:e>
                <m:sub>
                  <m:r>
                    <m:rPr>
                      <m:nor/>
                      <m:sty m:val="p"/>
                    </m:rPr>
                    <m:t>reduced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ℓ</m:t>
                  </m:r>
                </m:e>
                <m:sub>
                  <m:r>
                    <m:rPr>
                      <m:nor/>
                      <m:sty m:val="p"/>
                    </m:rPr>
                    <m:t>full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rPr>
                <m:sty m:val="p"/>
              </m:rPr>
              <m:t>ℓ</m:t>
            </m:r>
          </m:e>
          <m:sub>
            <m:r>
              <m:rPr>
                <m:nor/>
                <m:sty m:val="p"/>
              </m:rPr>
              <m:t>full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ℓ</m:t>
            </m:r>
          </m:e>
          <m:sub>
            <m:r>
              <m:rPr>
                <m:nor/>
                <m:sty m:val="p"/>
              </m:rPr>
              <m:t>reduced</m:t>
            </m:r>
          </m:sub>
        </m:sSub>
      </m:oMath>
      <w:r>
        <w:t xml:space="preserve"> </w:t>
      </w:r>
      <w:r>
        <w:t xml:space="preserve">denote the</w:t>
      </w:r>
      <w:r>
        <w:t xml:space="preserve"> </w:t>
      </w:r>
      <w:r>
        <w:t xml:space="preserve">log-likelihoods of the respective models. Under the null hypothesis that</w:t>
      </w:r>
      <w:r>
        <w:t xml:space="preserve"> </w:t>
      </w:r>
      <w:r>
        <w:t xml:space="preserve">the full model does not represent an improved fit when compared to the</w:t>
      </w:r>
      <w:r>
        <w:t xml:space="preserve"> </w:t>
      </w:r>
      <w:r>
        <w:t xml:space="preserve">reduced model,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an asymptotic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 with degrees</w:t>
      </w:r>
      <w:r>
        <w:t xml:space="preserve"> </w:t>
      </w:r>
      <w:r>
        <w:t xml:space="preserve">of freedom corresponding to the difference between the numbers of</w:t>
      </w:r>
      <w:r>
        <w:t xml:space="preserve"> </w:t>
      </w:r>
      <w:r>
        <w:t xml:space="preserve">parameters estimated by the two models.</w:t>
      </w:r>
    </w:p>
    <w:bookmarkEnd w:id="46"/>
    <w:bookmarkEnd w:id="47"/>
    <w:bookmarkStart w:id="49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Our final analytic sample comprised</w:t>
      </w:r>
      <w:r>
        <w:t xml:space="preserve"> </w:t>
      </w:r>
      <m:oMath>
        <m:r>
          <m:t>549</m:t>
        </m:r>
      </m:oMath>
      <w:r>
        <w:t xml:space="preserve"> </w:t>
      </w:r>
      <w:r>
        <w:t xml:space="preserve">respondents with the</w:t>
      </w:r>
      <w:r>
        <w:t xml:space="preserve"> </w:t>
      </w:r>
      <w:r>
        <w:t xml:space="preserve">following age distribution: 60 - 70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186</m:t>
            </m:r>
          </m:e>
        </m:d>
      </m:oMath>
      <w:r>
        <w:t xml:space="preserve">, 71 - 80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203</m:t>
            </m:r>
          </m:e>
        </m:d>
      </m:oMath>
      <w:r>
        <w:t xml:space="preserve">,</w:t>
      </w:r>
      <w:r>
        <w:t xml:space="preserve"> </w:t>
      </w:r>
      <w:r>
        <w:t xml:space="preserve">81 - 90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142</m:t>
            </m:r>
          </m:e>
        </m:d>
      </m:oMath>
      <w:r>
        <w:t xml:space="preserve">, and 90+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18</m:t>
            </m:r>
          </m:e>
        </m:d>
      </m:oMath>
      <w:r>
        <w:t xml:space="preserve">. Descriptive statistics for the</w:t>
      </w:r>
      <w:r>
        <w:t xml:space="preserve"> </w:t>
      </w:r>
      <w:r>
        <w:t xml:space="preserve">full sample, as well as data stratified by cognitive status (normative</w:t>
      </w:r>
      <w:r>
        <w:t xml:space="preserve"> </w:t>
      </w:r>
      <w:r>
        <w:t xml:space="preserve">cognitive function, MCI, and dementia), are presented in Table</w:t>
      </w:r>
      <w:r>
        <w:t xml:space="preserve"> </w:t>
      </w:r>
      <w:hyperlink w:anchor="tbl-descriptives">
        <w:r>
          <w:rPr>
            <w:rStyle w:val="Hyperlink"/>
          </w:rPr>
          <w:t xml:space="preserve">Table 1</w:t>
        </w:r>
      </w:hyperlink>
      <w:r>
        <w:t xml:space="preserve">. Both Figure</w:t>
      </w:r>
      <w:r>
        <w:t xml:space="preserve"> </w:t>
      </w:r>
      <w:hyperlink w:anchor="fig-river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and supplementary figure S1 capture the</w:t>
      </w:r>
      <w:r>
        <w:t xml:space="preserve"> </w:t>
      </w:r>
      <w:r>
        <w:t xml:space="preserve">unconditional transitions and transition probabilities (respectively)</w:t>
      </w:r>
      <w:r>
        <w:t xml:space="preserve"> </w:t>
      </w:r>
      <w:r>
        <w:t xml:space="preserve">between wave one and two (first transition), wave two and three (second</w:t>
      </w:r>
      <w:r>
        <w:t xml:space="preserve"> </w:t>
      </w:r>
      <w:r>
        <w:t xml:space="preserve">transition), and wave three and four (third transition), yielding a</w:t>
      </w:r>
      <w:r>
        <w:t xml:space="preserve"> </w:t>
      </w:r>
      <w:r>
        <w:t xml:space="preserve">total of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647</m:t>
        </m:r>
      </m:oMath>
      <w:r>
        <w:t xml:space="preserve"> </w:t>
      </w:r>
      <w:r>
        <w:t xml:space="preserve">observed transitions over time.</w:t>
      </w:r>
    </w:p>
    <w:p>
      <w:pPr>
        <w:pStyle w:val="BodyText"/>
      </w:pPr>
      <w:r>
        <w:t xml:space="preserve">Initially, a Kruskal-Wallis test was conducted to examine differences in</w:t>
      </w:r>
      <w:r>
        <w:t xml:space="preserve"> </w:t>
      </w:r>
      <w:r>
        <w:t xml:space="preserve">procrastination scores (measured in 2020) across three cognitive status</w:t>
      </w:r>
      <w:r>
        <w:t xml:space="preserve"> </w:t>
      </w:r>
      <w:r>
        <w:t xml:space="preserve">groups after Levene’s test indicated violation of homogeneity of</w:t>
      </w:r>
      <w:r>
        <w:t xml:space="preserve"> </w:t>
      </w:r>
      <w:r>
        <w:t xml:space="preserve">variance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=</m:t>
            </m:r>
            <m:r>
              <m:t>0.039</m:t>
            </m:r>
          </m:e>
        </m:d>
      </m:oMath>
      <w:r>
        <w:t xml:space="preserve">. The analysis revealed a statistically</w:t>
      </w:r>
      <w:r>
        <w:t xml:space="preserve"> </w:t>
      </w:r>
      <w:r>
        <w:t xml:space="preserve">significant effect of cognitive status,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χ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  <m:r>
              <m:rPr>
                <m:sty m:val="p"/>
              </m:rPr>
              <m:t>=</m:t>
            </m:r>
            <m:r>
              <m:t>17.54</m:t>
            </m:r>
            <m:r>
              <m:rPr>
                <m:sty m:val="p"/>
              </m:rPr>
              <m:t>,</m:t>
            </m:r>
            <m:r>
              <m:t>p</m:t>
            </m:r>
            <m:r>
              <m:rPr>
                <m:sty m:val="p"/>
              </m:rPr>
              <m:t>&lt;</m:t>
            </m:r>
            <m:r>
              <m:t>.001</m:t>
            </m:r>
          </m:e>
        </m:d>
      </m:oMath>
      <w:r>
        <w:t xml:space="preserve">,</w:t>
      </w:r>
      <w:r>
        <w:t xml:space="preserve"> </w:t>
      </w:r>
      <w:r>
        <w:t xml:space="preserve">indicating that procrastination levels differed significantly between at</w:t>
      </w:r>
      <w:r>
        <w:t xml:space="preserve"> </w:t>
      </w:r>
      <w:r>
        <w:t xml:space="preserve">least two of the groups. Post-hoc analysis using a pairwise Wilcoxon</w:t>
      </w:r>
      <w:r>
        <w:t xml:space="preserve"> </w:t>
      </w:r>
      <w:r>
        <w:t xml:space="preserve">rank-sum test with a Benjamini-Hochberg correction showed that</w:t>
      </w:r>
      <w:r>
        <w:t xml:space="preserve"> </w:t>
      </w:r>
      <w:r>
        <w:t xml:space="preserve">participants with normal cognition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=</m:t>
            </m:r>
            <m:r>
              <m:t>27.7</m:t>
            </m:r>
            <m:r>
              <m:rPr>
                <m:sty m:val="p"/>
              </m:rPr>
              <m:t>,</m:t>
            </m:r>
            <m:r>
              <m:t>S</m:t>
            </m:r>
            <m:r>
              <m:t>D</m:t>
            </m:r>
            <m:r>
              <m:rPr>
                <m:sty m:val="p"/>
              </m:rPr>
              <m:t>=</m:t>
            </m:r>
            <m:r>
              <m:t>11.7</m:t>
            </m:r>
          </m:e>
        </m:d>
      </m:oMath>
      <w:r>
        <w:t xml:space="preserve"> </w:t>
      </w:r>
      <w:r>
        <w:t xml:space="preserve">reported</w:t>
      </w:r>
      <w:r>
        <w:t xml:space="preserve"> </w:t>
      </w:r>
      <w:r>
        <w:t xml:space="preserve">significantly lower levels of procrastination than those with both MCI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=</m:t>
            </m:r>
            <m:r>
              <m:t>32.1</m:t>
            </m:r>
            <m:r>
              <m:rPr>
                <m:sty m:val="p"/>
              </m:rPr>
              <m:t>;</m:t>
            </m:r>
            <m:r>
              <m:t>S</m:t>
            </m:r>
            <m:r>
              <m:t>D</m:t>
            </m:r>
            <m:r>
              <m:rPr>
                <m:sty m:val="p"/>
              </m:rPr>
              <m:t>=</m:t>
            </m:r>
            <m:r>
              <m:t>11.3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=</m:t>
            </m:r>
            <m:r>
              <m:t>0.004</m:t>
            </m:r>
          </m:e>
        </m:d>
      </m:oMath>
      <w:r>
        <w:t xml:space="preserve"> </w:t>
      </w:r>
      <w:r>
        <w:t xml:space="preserve">and dementia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=</m:t>
            </m:r>
            <m:r>
              <m:t>36.2</m:t>
            </m:r>
            <m:r>
              <m:rPr>
                <m:sty m:val="p"/>
              </m:rPr>
              <m:t>;</m:t>
            </m:r>
            <m:r>
              <m:t>S</m:t>
            </m:r>
            <m:r>
              <m:t>D</m:t>
            </m:r>
            <m:r>
              <m:rPr>
                <m:sty m:val="p"/>
              </m:rPr>
              <m:t>=</m:t>
            </m:r>
            <m:r>
              <m:t>14.8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=</m:t>
            </m:r>
            <m:r>
              <m:t>0.005</m:t>
            </m:r>
          </m:e>
        </m:d>
      </m:oMath>
      <w:r>
        <w:t xml:space="preserve">. No significance difference was found</w:t>
      </w:r>
      <w:r>
        <w:t xml:space="preserve"> </w:t>
      </w:r>
      <w:r>
        <w:t xml:space="preserve">between those with MCI and dementia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=</m:t>
            </m:r>
            <m:r>
              <m:t>0.334</m:t>
            </m:r>
          </m:e>
        </m:d>
      </m:oMath>
      <w:r>
        <w:t xml:space="preserve">. Figure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displays the</w:t>
      </w:r>
      <w:r>
        <w:t xml:space="preserve"> </w:t>
      </w:r>
      <w:r>
        <w:t xml:space="preserve">distribution of procrastination scores across groups, with both boxplots</w:t>
      </w:r>
      <w:r>
        <w:t xml:space="preserve"> </w:t>
      </w:r>
      <w:r>
        <w:t xml:space="preserve">and dotplots showing median values and individual data points.</w:t>
      </w:r>
      <w:r>
        <w:t xml:space="preserve"> </w:t>
      </w:r>
      <w:r>
        <w:t xml:space="preserve">Significance bars indicate the pairwise differences described above.</w:t>
      </w:r>
    </w:p>
    <w:bookmarkStart w:id="48" w:name="markov-analysis"/>
    <w:p>
      <w:pPr>
        <w:pStyle w:val="Heading2"/>
      </w:pPr>
      <w:r>
        <w:t xml:space="preserve">Markov analysis</w:t>
      </w:r>
    </w:p>
    <w:p>
      <w:pPr>
        <w:pStyle w:val="FirstParagraph"/>
      </w:pPr>
      <w:r>
        <w:t xml:space="preserve">Results from the discrete-time Markov analysis, showed that all</w:t>
      </w:r>
      <w:r>
        <w:t xml:space="preserve"> </w:t>
      </w:r>
      <w:r>
        <w:t xml:space="preserve">covariates significantly influenced the likelihood of transitioning</w:t>
      </w:r>
      <w:r>
        <w:t xml:space="preserve"> </w:t>
      </w:r>
      <w:r>
        <w:t xml:space="preserve">between cognitive states (see Figure \ref{fig:3}). Notably,</w:t>
      </w:r>
      <w:r>
        <w:t xml:space="preserve"> </w:t>
      </w:r>
      <w:r>
        <w:t xml:space="preserve">procrastination interacted significantly with</w:t>
      </w:r>
      <w:r>
        <w:t xml:space="preserve"> </w:t>
      </w:r>
      <w:r>
        <w:rPr>
          <w:i/>
          <w:iCs/>
        </w:rPr>
        <w:t xml:space="preserve">age</w:t>
      </w:r>
      <w:r>
        <w:t xml:space="preserve"> </w:t>
      </w:r>
      <w:r>
        <w:t xml:space="preserve">to affect two key</w:t>
      </w:r>
      <w:r>
        <w:t xml:space="preserve"> </w:t>
      </w:r>
      <w:r>
        <w:t xml:space="preserve">transitions: increasing the likelihood of transitioning from normative</w:t>
      </w:r>
      <w:r>
        <w:t xml:space="preserve"> </w:t>
      </w:r>
      <w:r>
        <w:t xml:space="preserve">cognitive function to MCI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1.001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&lt;</m:t>
            </m:r>
            <m:r>
              <m:t>0.001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w:r>
        <w:t xml:space="preserve">decreasing the likelihood of reverting from MCI to normative cognitive</w:t>
      </w:r>
      <w:r>
        <w:t xml:space="preserve"> </w:t>
      </w:r>
      <w:r>
        <w:t xml:space="preserve">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0.999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&lt;</m:t>
            </m:r>
            <m:r>
              <m:t>0.001</m:t>
            </m:r>
          </m:e>
        </m:d>
      </m:oMath>
      <w:r>
        <w:t xml:space="preserve">.</w:t>
      </w:r>
      <w:r>
        <w:t xml:space="preserve"> </w:t>
      </w:r>
      <w:r>
        <w:rPr>
          <w:i/>
          <w:iCs/>
        </w:rPr>
        <w:t xml:space="preserve">Women</w:t>
      </w:r>
      <w:r>
        <w:t xml:space="preserve"> </w:t>
      </w:r>
      <w:r>
        <w:t xml:space="preserve">were significantly</w:t>
      </w:r>
      <w:r>
        <w:t xml:space="preserve"> </w:t>
      </w:r>
      <w:r>
        <w:t xml:space="preserve">less likely than men to transition from both normative cognitive</w:t>
      </w:r>
      <w:r>
        <w:t xml:space="preserve"> </w:t>
      </w:r>
      <w:r>
        <w:t xml:space="preserve">function to dementia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0.068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&lt;</m:t>
            </m:r>
            <m:r>
              <m:t>0.001</m:t>
            </m:r>
          </m:e>
        </m:d>
      </m:oMath>
      <w:r>
        <w:t xml:space="preserve"> </w:t>
      </w:r>
      <w:r>
        <w:t xml:space="preserve">and from MCI to</w:t>
      </w:r>
      <w:r>
        <w:t xml:space="preserve"> </w:t>
      </w:r>
      <w:r>
        <w:t xml:space="preserve">dementia</w:t>
      </w:r>
      <w:r>
        <w:t xml:space="preserve"> </w:t>
      </w:r>
      <m:oMath>
        <m:r>
          <m:rPr>
            <m:sty m:val="p"/>
          </m:rPr>
          <m:t>(</m:t>
        </m:r>
        <m:r>
          <m:rPr>
            <m:nor/>
            <m:sty m:val="p"/>
          </m:rPr>
          <m:t>OR</m:t>
        </m:r>
        <m:r>
          <m:rPr>
            <m:sty m:val="p"/>
          </m:rPr>
          <m:t>=</m:t>
        </m:r>
        <m:r>
          <m:t>0.70</m:t>
        </m:r>
        <m:r>
          <m:rPr>
            <m:sty m:val="p"/>
          </m:rPr>
          <m:t>;</m:t>
        </m:r>
        <m:r>
          <m:t>p</m:t>
        </m:r>
        <m:r>
          <m:rPr>
            <m:sty m:val="p"/>
          </m:rPr>
          <m:t>&lt;</m:t>
        </m:r>
        <m:r>
          <m:t>0.001</m:t>
        </m:r>
      </m:oMath>
      <w:r>
        <w:t xml:space="preserve">).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  <w:iCs/>
        </w:rPr>
        <w:t xml:space="preserve">education attainment</w:t>
      </w:r>
      <w:r>
        <w:t xml:space="preserve">, individuals with a GED were less likely to</w:t>
      </w:r>
      <w:r>
        <w:t xml:space="preserve"> </w:t>
      </w:r>
      <w:r>
        <w:t xml:space="preserve">transition from normative cognitive function to either MCI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0.49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&lt;</m:t>
            </m:r>
            <m:r>
              <m:t>0.001</m:t>
            </m:r>
          </m:e>
        </m:d>
      </m:oMath>
      <w:r>
        <w:t xml:space="preserve"> </w:t>
      </w:r>
      <w:r>
        <w:t xml:space="preserve">or dementia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0.29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&lt;</m:t>
            </m:r>
            <m:r>
              <m:t>0.001</m:t>
            </m:r>
          </m:e>
        </m:d>
      </m:oMath>
      <w:r>
        <w:t xml:space="preserve"> </w:t>
      </w:r>
      <w:r>
        <w:t xml:space="preserve">and from MCI to dementia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0.64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&lt;</m:t>
            </m:r>
            <m:r>
              <m:t>0.001</m:t>
            </m:r>
          </m:e>
        </m:d>
      </m:oMath>
      <w:r>
        <w:t xml:space="preserve">. They were also more likely to back</w:t>
      </w:r>
      <w:r>
        <w:t xml:space="preserve"> </w:t>
      </w:r>
      <w:r>
        <w:t xml:space="preserve">transition from MCI to normative cognitive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2.18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&lt;</m:t>
            </m:r>
            <m:r>
              <m:t>0.001</m:t>
            </m:r>
          </m:e>
        </m:d>
      </m:oMath>
      <w:r>
        <w:t xml:space="preserve">. Those with a college level education or</w:t>
      </w:r>
      <w:r>
        <w:t xml:space="preserve"> </w:t>
      </w:r>
      <w:r>
        <w:t xml:space="preserve">higher demonstrated a significantly reduced likelihood of transitioning</w:t>
      </w:r>
      <w:r>
        <w:t xml:space="preserve"> </w:t>
      </w:r>
      <w:r>
        <w:t xml:space="preserve">from normative cognitive function to either MCI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0.32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&lt;</m:t>
            </m:r>
            <m:r>
              <m:t>0.001</m:t>
            </m:r>
          </m:e>
        </m:d>
      </m:oMath>
      <w:r>
        <w:t xml:space="preserve"> </w:t>
      </w:r>
      <w:r>
        <w:t xml:space="preserve">or dementia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0.07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&lt;</m:t>
            </m:r>
            <m:r>
              <m:t>0.001</m:t>
            </m:r>
          </m:e>
        </m:d>
      </m:oMath>
      <w:r>
        <w:t xml:space="preserve"> </w:t>
      </w:r>
      <w:r>
        <w:t xml:space="preserve">and from MCI to dementia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0.22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&lt;</m:t>
            </m:r>
            <m:r>
              <m:t>0.001</m:t>
            </m:r>
          </m:e>
        </m:d>
      </m:oMath>
      <w:r>
        <w:t xml:space="preserve">. They were also more likely to back</w:t>
      </w:r>
      <w:r>
        <w:t xml:space="preserve"> </w:t>
      </w:r>
      <w:r>
        <w:t xml:space="preserve">transition from MCI to normative cognitive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3.13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&lt;</m:t>
            </m:r>
            <m:r>
              <m:t>0.001</m:t>
            </m:r>
          </m:e>
        </m:d>
      </m:oMath>
      <w:r>
        <w:t xml:space="preserve">.</w:t>
      </w:r>
    </w:p>
    <w:p>
      <w:pPr>
        <w:pStyle w:val="BodyText"/>
      </w:pPr>
      <w:r>
        <w:t xml:space="preserve">Finally, higher levels of</w:t>
      </w:r>
      <w:r>
        <w:t xml:space="preserve"> </w:t>
      </w:r>
      <w:r>
        <w:rPr>
          <w:i/>
          <w:iCs/>
        </w:rPr>
        <w:t xml:space="preserve">apathy</w:t>
      </w:r>
      <w:r>
        <w:t xml:space="preserve"> </w:t>
      </w:r>
      <w:r>
        <w:t xml:space="preserve">were associated with an increased</w:t>
      </w:r>
      <w:r>
        <w:t xml:space="preserve"> </w:t>
      </w:r>
      <w:r>
        <w:t xml:space="preserve">likelihood of transitioning from normative cognitive function to both</w:t>
      </w:r>
      <w:r>
        <w:t xml:space="preserve"> </w:t>
      </w:r>
      <w:r>
        <w:t xml:space="preserve">MCI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1.35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=</m:t>
            </m:r>
            <m:r>
              <m:t>0.005</m:t>
            </m:r>
          </m:e>
        </m:d>
      </m:oMath>
      <w:r>
        <w:t xml:space="preserve"> </w:t>
      </w:r>
      <w:r>
        <w:t xml:space="preserve">and dementia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1.36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&lt;</m:t>
            </m:r>
            <m:r>
              <m:t>0.001</m:t>
            </m:r>
          </m:e>
        </m:d>
      </m:oMath>
      <w:r>
        <w:t xml:space="preserve"> </w:t>
      </w:r>
      <w:r>
        <w:t xml:space="preserve">and a decreased likelihood of</w:t>
      </w:r>
      <w:r>
        <w:t xml:space="preserve"> </w:t>
      </w:r>
      <w:r>
        <w:t xml:space="preserve">transitioning from MCI back to normative cognitive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OR</m:t>
            </m:r>
            <m:r>
              <m:rPr>
                <m:sty m:val="p"/>
              </m:rPr>
              <m:t>=</m:t>
            </m:r>
            <m:r>
              <m:t>0.74</m:t>
            </m:r>
            <m:r>
              <m:rPr>
                <m:sty m:val="p"/>
              </m:rPr>
              <m:t>;</m:t>
            </m:r>
            <m:r>
              <m:t>p</m:t>
            </m:r>
            <m:r>
              <m:rPr>
                <m:sty m:val="p"/>
              </m:rPr>
              <m:t>=</m:t>
            </m:r>
            <m:r>
              <m:t>0.003</m:t>
            </m:r>
          </m:e>
        </m:d>
      </m:oMath>
      <w:r>
        <w:t xml:space="preserve">.</w:t>
      </w:r>
    </w:p>
    <w:p>
      <w:pPr>
        <w:pStyle w:val="BodyText"/>
      </w:pPr>
      <w:r>
        <w:t xml:space="preserve">Figure 4 presents the predicted transition probabilities across varying</w:t>
      </w:r>
      <w:r>
        <w:t xml:space="preserve"> </w:t>
      </w:r>
      <w:r>
        <w:t xml:space="preserve">levels of age and procrastination. These estimates illustrate how the</w:t>
      </w:r>
      <w:r>
        <w:t xml:space="preserve"> </w:t>
      </w:r>
      <w:r>
        <w:t xml:space="preserve">interaction between age and procrastination influences the likelihood of</w:t>
      </w:r>
      <w:r>
        <w:t xml:space="preserve"> </w:t>
      </w:r>
      <w:r>
        <w:t xml:space="preserve">progressing between cognitive states over time. Notably, while</w:t>
      </w:r>
      <w:r>
        <w:t xml:space="preserve"> </w:t>
      </w:r>
      <w:r>
        <w:t xml:space="preserve">transition probabilities remain relatively stable at very low levels of</w:t>
      </w:r>
      <w:r>
        <w:t xml:space="preserve"> </w:t>
      </w:r>
      <w:r>
        <w:t xml:space="preserve">procrastination, substantial shifts emerge as both age and</w:t>
      </w:r>
      <w:r>
        <w:t xml:space="preserve"> </w:t>
      </w:r>
      <w:r>
        <w:t xml:space="preserve">procrastination increase. In particular, older individuals with higher</w:t>
      </w:r>
      <w:r>
        <w:t xml:space="preserve"> </w:t>
      </w:r>
      <w:r>
        <w:t xml:space="preserve">procrastination scores show an elevated probability of cognitive decline</w:t>
      </w:r>
      <w:r>
        <w:t xml:space="preserve"> </w:t>
      </w:r>
      <w:r>
        <w:t xml:space="preserve">transitioning from normative cognitive function to mild cognitive</w:t>
      </w:r>
      <w:r>
        <w:t xml:space="preserve"> </w:t>
      </w:r>
      <w:r>
        <w:t xml:space="preserve">impairment (MCI) and a reduced likelihood of transitioning back from MCI</w:t>
      </w:r>
      <w:r>
        <w:t xml:space="preserve"> </w:t>
      </w:r>
      <w:r>
        <w:t xml:space="preserve">to normative cognitive function, highlighting the compounded risk posed</w:t>
      </w:r>
      <w:r>
        <w:t xml:space="preserve"> </w:t>
      </w:r>
      <w:r>
        <w:t xml:space="preserve">by these two variables in later life.</w:t>
      </w:r>
    </w:p>
    <w:bookmarkEnd w:id="48"/>
    <w:bookmarkEnd w:id="49"/>
    <w:bookmarkStart w:id="128" w:name="references"/>
    <w:p>
      <w:pPr>
        <w:pStyle w:val="Heading1"/>
      </w:pPr>
      <w:r>
        <w:t xml:space="preserve">References</w:t>
      </w:r>
    </w:p>
    <w:bookmarkStart w:id="122" w:name="refs"/>
    <w:bookmarkStart w:id="51" w:name="ref-abner2012"/>
    <w:p>
      <w:pPr>
        <w:pStyle w:val="Bibliography"/>
      </w:pPr>
      <w:r>
        <w:t xml:space="preserve">Abner, E. L., Kryscio, R. J., Cooper, G. E., Fardo, D. W., Jicha, G. A., Mendiondo, M. S., Van Eldik, L. J., Wan, L., &amp; Schmitt, F. A. (2012). Mild cognitive impairment: Statistical models of transition using longitudinal clinical data.</w:t>
      </w:r>
      <w:r>
        <w:t xml:space="preserve"> </w:t>
      </w:r>
      <w:r>
        <w:rPr>
          <w:i/>
          <w:iCs/>
        </w:rPr>
        <w:t xml:space="preserve">International Journal of Alzheimer’s Disease</w:t>
      </w:r>
      <w:r>
        <w:t xml:space="preserve">,</w:t>
      </w:r>
      <w:r>
        <w:t xml:space="preserve"> </w:t>
      </w:r>
      <w:r>
        <w:rPr>
          <w:i/>
          <w:iCs/>
        </w:rPr>
        <w:t xml:space="preserve">2012</w:t>
      </w:r>
      <w:r>
        <w:t xml:space="preserve">(1), 291920.</w:t>
      </w:r>
      <w:r>
        <w:t xml:space="preserve"> </w:t>
      </w:r>
      <w:hyperlink r:id="rId50">
        <w:r>
          <w:rPr>
            <w:rStyle w:val="Hyperlink"/>
          </w:rPr>
          <w:t xml:space="preserve">https://doi.org/10.1155/2012/291920</w:t>
        </w:r>
      </w:hyperlink>
    </w:p>
    <w:bookmarkEnd w:id="51"/>
    <w:bookmarkStart w:id="52" w:name="ref-brandt1988"/>
    <w:p>
      <w:pPr>
        <w:pStyle w:val="Bibliography"/>
      </w:pPr>
      <w:r>
        <w:t xml:space="preserve">Brandt, J., Spencer, M., &amp; Folstein, Marshal. (1988). The telephone interview for cognitive status.</w:t>
      </w:r>
      <w:r>
        <w:t xml:space="preserve"> </w:t>
      </w:r>
      <w:r>
        <w:rPr>
          <w:i/>
          <w:iCs/>
        </w:rPr>
        <w:t xml:space="preserve">Neuropsychiatry, Neuropsychology, and Behavioral Neurology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(2), 111–117.</w:t>
      </w:r>
    </w:p>
    <w:bookmarkEnd w:id="52"/>
    <w:bookmarkStart w:id="54" w:name="ref-briggs2018"/>
    <w:p>
      <w:pPr>
        <w:pStyle w:val="Bibliography"/>
      </w:pPr>
      <w:r>
        <w:t xml:space="preserve">Briggs, R., Carey, D., O’Halloran, A. M., Kenny, R. A., &amp; Kennelly, S. P. (2018). Validation of the 8-item centre for epidemiological studies depression scale in a cohort of community-dwelling older people: Data from the irish longitudinal study on ageing (</w:t>
      </w:r>
      <w:r>
        <w:t xml:space="preserve">TILDA</w:t>
      </w:r>
      <w:r>
        <w:t xml:space="preserve">).</w:t>
      </w:r>
      <w:r>
        <w:t xml:space="preserve"> </w:t>
      </w:r>
      <w:r>
        <w:rPr>
          <w:i/>
          <w:iCs/>
        </w:rPr>
        <w:t xml:space="preserve">European Geriatric Medicine</w:t>
      </w:r>
      <w:r>
        <w:t xml:space="preserve">,</w:t>
      </w:r>
      <w:r>
        <w:t xml:space="preserve"> </w:t>
      </w:r>
      <w:r>
        <w:rPr>
          <w:i/>
          <w:iCs/>
        </w:rPr>
        <w:t xml:space="preserve">9</w:t>
      </w:r>
      <w:r>
        <w:t xml:space="preserve">, 121–126.</w:t>
      </w:r>
      <w:r>
        <w:t xml:space="preserve"> </w:t>
      </w:r>
      <w:hyperlink r:id="rId53">
        <w:r>
          <w:rPr>
            <w:rStyle w:val="Hyperlink"/>
          </w:rPr>
          <w:t xml:space="preserve">https://doi.org/10.1007/s41999-017-0016-0</w:t>
        </w:r>
      </w:hyperlink>
    </w:p>
    <w:bookmarkEnd w:id="54"/>
    <w:bookmarkStart w:id="56" w:name="ref-chowdhary2022"/>
    <w:p>
      <w:pPr>
        <w:pStyle w:val="Bibliography"/>
      </w:pPr>
      <w:r>
        <w:t xml:space="preserve">Chowdhary, N., Barbui, C., Anstey, K. J., Kivipelto, M., Barbera, M., Peters, R., Zheng, L., Kulmala, J., Stephen, R., Ferri, C. P., et al. (2022). Reducing the risk of cognitive decline and dementia:</w:t>
      </w:r>
      <w:r>
        <w:t xml:space="preserve"> </w:t>
      </w:r>
      <w:r>
        <w:t xml:space="preserve">WHO</w:t>
      </w:r>
      <w:r>
        <w:t xml:space="preserve"> </w:t>
      </w:r>
      <w:r>
        <w:t xml:space="preserve">recommendations.</w:t>
      </w:r>
      <w:r>
        <w:t xml:space="preserve"> </w:t>
      </w:r>
      <w:r>
        <w:rPr>
          <w:i/>
          <w:iCs/>
        </w:rPr>
        <w:t xml:space="preserve">Frontiers in Neurology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, 765584.</w:t>
      </w:r>
      <w:r>
        <w:t xml:space="preserve"> </w:t>
      </w:r>
      <w:hyperlink r:id="rId55">
        <w:r>
          <w:rPr>
            <w:rStyle w:val="Hyperlink"/>
          </w:rPr>
          <w:t xml:space="preserve">https://doi.org/10.3389/fneur.2021.765584</w:t>
        </w:r>
      </w:hyperlink>
    </w:p>
    <w:bookmarkEnd w:id="56"/>
    <w:bookmarkStart w:id="58" w:name="ref-cooper2015"/>
    <w:p>
      <w:pPr>
        <w:pStyle w:val="Bibliography"/>
      </w:pPr>
      <w:r>
        <w:t xml:space="preserve">Cooper, C., Sommerlad, A., Lyketsos, C. G., &amp; Livingston, G. (2015). Modifiable predictors of dementia in mild cognitive impairment: A systematic review and meta-analysis.</w:t>
      </w:r>
      <w:r>
        <w:t xml:space="preserve"> </w:t>
      </w:r>
      <w:r>
        <w:rPr>
          <w:i/>
          <w:iCs/>
        </w:rPr>
        <w:t xml:space="preserve">American Journal of Psychiatry</w:t>
      </w:r>
      <w:r>
        <w:t xml:space="preserve">,</w:t>
      </w:r>
      <w:r>
        <w:t xml:space="preserve"> </w:t>
      </w:r>
      <w:r>
        <w:rPr>
          <w:i/>
          <w:iCs/>
        </w:rPr>
        <w:t xml:space="preserve">172</w:t>
      </w:r>
      <w:r>
        <w:t xml:space="preserve">(4), 323–334.</w:t>
      </w:r>
      <w:r>
        <w:t xml:space="preserve"> </w:t>
      </w:r>
      <w:hyperlink r:id="rId57">
        <w:r>
          <w:rPr>
            <w:rStyle w:val="Hyperlink"/>
          </w:rPr>
          <w:t xml:space="preserve">https://doi.org/10.1176/appi.ajp.2014.14070878</w:t>
        </w:r>
      </w:hyperlink>
    </w:p>
    <w:bookmarkEnd w:id="58"/>
    <w:bookmarkStart w:id="60" w:name="ref-crimmins2011"/>
    <w:p>
      <w:pPr>
        <w:pStyle w:val="Bibliography"/>
      </w:pPr>
      <w:r>
        <w:t xml:space="preserve">Crimmins, E. M., Kim, J. K., Langa, K. M., &amp; Weir, D. R. (2011). Assessment of cognition using surveys and neuropsychological assessment: The health and retirement study and the aging, demographics, and memory study.</w:t>
      </w:r>
      <w:r>
        <w:t xml:space="preserve"> </w:t>
      </w:r>
      <w:r>
        <w:rPr>
          <w:i/>
          <w:iCs/>
        </w:rPr>
        <w:t xml:space="preserve">Journals of Gerontology Series B: Psychological Sciences and Social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66</w:t>
      </w:r>
      <w:r>
        <w:t xml:space="preserve">, i162–i171.</w:t>
      </w:r>
      <w:r>
        <w:t xml:space="preserve"> </w:t>
      </w:r>
      <w:hyperlink r:id="rId59">
        <w:r>
          <w:rPr>
            <w:rStyle w:val="Hyperlink"/>
          </w:rPr>
          <w:t xml:space="preserve">https://doi.org/10.1093/geronb/gbr048</w:t>
        </w:r>
      </w:hyperlink>
    </w:p>
    <w:bookmarkEnd w:id="60"/>
    <w:bookmarkStart w:id="62" w:name="ref-donovan2014"/>
    <w:p>
      <w:pPr>
        <w:pStyle w:val="Bibliography"/>
      </w:pPr>
      <w:r>
        <w:t xml:space="preserve">Donovan, N. J., Wadsworth, L. P., Lorius, N., Locascio, J. J., Rentz, D. M., Johnson, K. A., Sperling, R. A., Marshall, G. A., Initiative, A. D. N., et al. (2014). Regional cortical thinning predicts worsening apathy and hallucinations across the</w:t>
      </w:r>
      <w:r>
        <w:t xml:space="preserve"> </w:t>
      </w:r>
      <w:r>
        <w:t xml:space="preserve">Alzheimer</w:t>
      </w:r>
      <w:r>
        <w:t xml:space="preserve"> </w:t>
      </w:r>
      <w:r>
        <w:t xml:space="preserve">disease spectrum.</w:t>
      </w:r>
      <w:r>
        <w:t xml:space="preserve"> </w:t>
      </w:r>
      <w:r>
        <w:rPr>
          <w:i/>
          <w:iCs/>
        </w:rPr>
        <w:t xml:space="preserve">The American Journal of Geriatric Psychiatry</w:t>
      </w:r>
      <w:r>
        <w:t xml:space="preserve">,</w:t>
      </w:r>
      <w:r>
        <w:t xml:space="preserve"> </w:t>
      </w:r>
      <w:r>
        <w:rPr>
          <w:i/>
          <w:iCs/>
        </w:rPr>
        <w:t xml:space="preserve">22</w:t>
      </w:r>
      <w:r>
        <w:t xml:space="preserve">(11), 1168–1179.</w:t>
      </w:r>
      <w:r>
        <w:t xml:space="preserve"> </w:t>
      </w:r>
      <w:hyperlink r:id="rId61">
        <w:r>
          <w:rPr>
            <w:rStyle w:val="Hyperlink"/>
          </w:rPr>
          <w:t xml:space="preserve">https://doi.org/10.1016/j.jagp.2013.03.006</w:t>
        </w:r>
      </w:hyperlink>
    </w:p>
    <w:bookmarkEnd w:id="62"/>
    <w:bookmarkStart w:id="64" w:name="ref-fahed2021"/>
    <w:p>
      <w:pPr>
        <w:pStyle w:val="Bibliography"/>
      </w:pPr>
      <w:r>
        <w:t xml:space="preserve">Fahed, M., &amp; Steffens, D. C. (2021). Apathy: Neurobiology, assessment and treatment.</w:t>
      </w:r>
      <w:r>
        <w:t xml:space="preserve"> </w:t>
      </w:r>
      <w:r>
        <w:rPr>
          <w:i/>
          <w:iCs/>
        </w:rPr>
        <w:t xml:space="preserve">Clinical Psychopharmacology and Neuroscience</w:t>
      </w:r>
      <w:r>
        <w:t xml:space="preserve">,</w:t>
      </w:r>
      <w:r>
        <w:t xml:space="preserve"> </w:t>
      </w:r>
      <w:r>
        <w:rPr>
          <w:i/>
          <w:iCs/>
        </w:rPr>
        <w:t xml:space="preserve">19</w:t>
      </w:r>
      <w:r>
        <w:t xml:space="preserve">(2), 181.</w:t>
      </w:r>
      <w:r>
        <w:t xml:space="preserve"> </w:t>
      </w:r>
      <w:hyperlink r:id="rId63">
        <w:r>
          <w:rPr>
            <w:rStyle w:val="Hyperlink"/>
          </w:rPr>
          <w:t xml:space="preserve">https://doi.org/10.9758/cpn.2021.19.2.181</w:t>
        </w:r>
      </w:hyperlink>
    </w:p>
    <w:bookmarkEnd w:id="64"/>
    <w:bookmarkStart w:id="66" w:name="ref-fisher2018"/>
    <w:p>
      <w:pPr>
        <w:pStyle w:val="Bibliography"/>
      </w:pPr>
      <w:r>
        <w:t xml:space="preserve">Fisher, G. G., &amp; Ryan, L. H. (2018). Overview of the health and retirement study and introduction to the special issue.</w:t>
      </w:r>
      <w:r>
        <w:t xml:space="preserve"> </w:t>
      </w:r>
      <w:r>
        <w:rPr>
          <w:i/>
          <w:iCs/>
        </w:rPr>
        <w:t xml:space="preserve">Work, Aging and Retirement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(1), 1–9.</w:t>
      </w:r>
      <w:r>
        <w:t xml:space="preserve"> </w:t>
      </w:r>
      <w:hyperlink r:id="rId65">
        <w:r>
          <w:rPr>
            <w:rStyle w:val="Hyperlink"/>
          </w:rPr>
          <w:t xml:space="preserve">https://doi.org/10.1093/workar/wax032</w:t>
        </w:r>
      </w:hyperlink>
    </w:p>
    <w:bookmarkEnd w:id="66"/>
    <w:bookmarkStart w:id="68" w:name="ref-fong2009"/>
    <w:p>
      <w:pPr>
        <w:pStyle w:val="Bibliography"/>
      </w:pPr>
      <w:r>
        <w:t xml:space="preserve">Fong, T. G., Fearing, M. A., Jones, R. N., Shi, P., Marcantonio, E. R., Rudolph, J. L., Yang, F. M., Kiely, D. K., &amp; Inouye, S. K. (2009). Telephone interview for cognitive status:</w:t>
      </w:r>
      <w:r>
        <w:t xml:space="preserve"> </w:t>
      </w:r>
      <w:r>
        <w:t xml:space="preserve">Creating</w:t>
      </w:r>
      <w:r>
        <w:t xml:space="preserve"> </w:t>
      </w:r>
      <w:r>
        <w:t xml:space="preserve">a crosswalk with the mini-mental state examination.</w:t>
      </w:r>
      <w:r>
        <w:t xml:space="preserve"> </w:t>
      </w:r>
      <w:r>
        <w:rPr>
          <w:i/>
          <w:iCs/>
        </w:rPr>
        <w:t xml:space="preserve">Alzheimer’s &amp; Dementia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(6), 492–497.</w:t>
      </w:r>
      <w:r>
        <w:t xml:space="preserve"> </w:t>
      </w:r>
      <w:hyperlink r:id="rId67">
        <w:r>
          <w:rPr>
            <w:rStyle w:val="Hyperlink"/>
          </w:rPr>
          <w:t xml:space="preserve">https://doi.org/10.1016/j.jalz.2009.02.007</w:t>
        </w:r>
      </w:hyperlink>
    </w:p>
    <w:bookmarkEnd w:id="68"/>
    <w:bookmarkStart w:id="70" w:name="ref-freedman2024"/>
    <w:p>
      <w:pPr>
        <w:pStyle w:val="Bibliography"/>
      </w:pPr>
      <w:r>
        <w:t xml:space="preserve">Freedman, V. A., &amp; Cornman, J. C. (2024). Dementia prevalence, incidence, and mortality trends among</w:t>
      </w:r>
      <w:r>
        <w:t xml:space="preserve"> </w:t>
      </w:r>
      <w:r>
        <w:t xml:space="preserve">US</w:t>
      </w:r>
      <w:r>
        <w:t xml:space="preserve"> </w:t>
      </w:r>
      <w:r>
        <w:t xml:space="preserve">adults ages 72 and older, 2011–2021.</w:t>
      </w:r>
      <w:r>
        <w:t xml:space="preserve"> </w:t>
      </w:r>
      <w:r>
        <w:rPr>
          <w:i/>
          <w:iCs/>
        </w:rPr>
        <w:t xml:space="preserve">The Journals of Gerontology, Series A: Biological Sciences and Medical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79</w:t>
      </w:r>
      <w:r>
        <w:t xml:space="preserve">, S22–s31.</w:t>
      </w:r>
      <w:r>
        <w:t xml:space="preserve"> </w:t>
      </w:r>
      <w:hyperlink r:id="rId69">
        <w:r>
          <w:rPr>
            <w:rStyle w:val="Hyperlink"/>
          </w:rPr>
          <w:t xml:space="preserve">https://doi.org/10.1093/gerona/glae105</w:t>
        </w:r>
      </w:hyperlink>
    </w:p>
    <w:bookmarkEnd w:id="70"/>
    <w:bookmarkStart w:id="72" w:name="ref-fresnais2023"/>
    <w:p>
      <w:pPr>
        <w:pStyle w:val="Bibliography"/>
      </w:pPr>
      <w:r>
        <w:t xml:space="preserve">Fresnais, D., Humble, M. B., Bejerot, S., Meehan, A. D., &amp; Fure, B. (2023). Apathy as a predictor for conversion from mild cognitive impairment to dementia: A systematic review and meta-analysis of longitudinal studies.</w:t>
      </w:r>
      <w:r>
        <w:t xml:space="preserve"> </w:t>
      </w:r>
      <w:r>
        <w:rPr>
          <w:i/>
          <w:iCs/>
        </w:rPr>
        <w:t xml:space="preserve">Journal of Geriatric Psychiatry and Neurology</w:t>
      </w:r>
      <w:r>
        <w:t xml:space="preserve">,</w:t>
      </w:r>
      <w:r>
        <w:t xml:space="preserve"> </w:t>
      </w:r>
      <w:r>
        <w:rPr>
          <w:i/>
          <w:iCs/>
        </w:rPr>
        <w:t xml:space="preserve">36</w:t>
      </w:r>
      <w:r>
        <w:t xml:space="preserve">(1), 3–17.</w:t>
      </w:r>
      <w:r>
        <w:t xml:space="preserve"> </w:t>
      </w:r>
      <w:hyperlink r:id="rId71">
        <w:r>
          <w:rPr>
            <w:rStyle w:val="Hyperlink"/>
          </w:rPr>
          <w:t xml:space="preserve">https://doi.org/10.1177/08919887221093361</w:t>
        </w:r>
      </w:hyperlink>
    </w:p>
    <w:bookmarkEnd w:id="72"/>
    <w:bookmarkStart w:id="73" w:name="ref-friden2020"/>
    <w:p>
      <w:pPr>
        <w:pStyle w:val="Bibliography"/>
      </w:pPr>
      <w:r>
        <w:t xml:space="preserve">Fridén, I. (2020).</w:t>
      </w:r>
      <w:r>
        <w:t xml:space="preserve"> </w:t>
      </w:r>
      <w:r>
        <w:rPr>
          <w:i/>
          <w:iCs/>
        </w:rPr>
        <w:t xml:space="preserve">Procrastination as a form of</w:t>
      </w:r>
      <w:r>
        <w:rPr>
          <w:i/>
          <w:iCs/>
        </w:rPr>
        <w:t xml:space="preserve"> </w:t>
      </w:r>
      <w:r>
        <w:rPr>
          <w:i/>
          <w:iCs/>
        </w:rPr>
        <w:t xml:space="preserve">Self-regulation Failure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A</w:t>
      </w:r>
      <w:r>
        <w:rPr>
          <w:i/>
          <w:iCs/>
        </w:rPr>
        <w:t xml:space="preserve"> </w:t>
      </w:r>
      <w:r>
        <w:rPr>
          <w:i/>
          <w:iCs/>
        </w:rPr>
        <w:t xml:space="preserve">review of the cognitive and neural underpinnings</w:t>
      </w:r>
      <w:r>
        <w:t xml:space="preserve">.</w:t>
      </w:r>
    </w:p>
    <w:bookmarkEnd w:id="73"/>
    <w:bookmarkStart w:id="74" w:name="ref-HRS2017"/>
    <w:p>
      <w:pPr>
        <w:pStyle w:val="Bibliography"/>
      </w:pPr>
      <w:r>
        <w:t xml:space="preserve">Health and Retirement Study. (2017).</w:t>
      </w:r>
      <w:r>
        <w:t xml:space="preserve"> </w:t>
      </w:r>
      <w:r>
        <w:rPr>
          <w:i/>
          <w:iCs/>
        </w:rPr>
        <w:t xml:space="preserve">Sample sizes and response rates</w:t>
      </w:r>
      <w:r>
        <w:t xml:space="preserve">.</w:t>
      </w:r>
    </w:p>
    <w:bookmarkEnd w:id="74"/>
    <w:bookmarkStart w:id="76" w:name="ref-joseph2021"/>
    <w:p>
      <w:pPr>
        <w:pStyle w:val="Bibliography"/>
      </w:pPr>
      <w:r>
        <w:t xml:space="preserve">Joseph, S., Knezevic, D., Zomorrodi, R., Blumberger, D. M., Daskalakis, Z. J., Mulsant, B. H., Pollock, B. G., Voineskos, A., Wang, W., Rajji, T. K., et al. (2021). Dorsolateral prefrontal cortex excitability abnormalities in</w:t>
      </w:r>
      <w:r>
        <w:t xml:space="preserve"> </w:t>
      </w:r>
      <w:r>
        <w:t xml:space="preserve">Alzheimer</w:t>
      </w:r>
      <w:r>
        <w:t xml:space="preserve">’s</w:t>
      </w:r>
      <w:r>
        <w:t xml:space="preserve"> </w:t>
      </w:r>
      <w:r>
        <w:t xml:space="preserve">Dementia</w:t>
      </w:r>
      <w:r>
        <w:t xml:space="preserve">:</w:t>
      </w:r>
      <w:r>
        <w:t xml:space="preserve"> </w:t>
      </w:r>
      <w:r>
        <w:t xml:space="preserve">Findings</w:t>
      </w:r>
      <w:r>
        <w:t xml:space="preserve"> </w:t>
      </w:r>
      <w:r>
        <w:t xml:space="preserve">from transcranial magnetic stimulation and electroencephalography study.</w:t>
      </w:r>
      <w:r>
        <w:t xml:space="preserve"> </w:t>
      </w:r>
      <w:r>
        <w:rPr>
          <w:i/>
          <w:iCs/>
        </w:rPr>
        <w:t xml:space="preserve">International Journal of Psychophysiology</w:t>
      </w:r>
      <w:r>
        <w:t xml:space="preserve">,</w:t>
      </w:r>
      <w:r>
        <w:t xml:space="preserve"> </w:t>
      </w:r>
      <w:r>
        <w:rPr>
          <w:i/>
          <w:iCs/>
        </w:rPr>
        <w:t xml:space="preserve">169</w:t>
      </w:r>
      <w:r>
        <w:t xml:space="preserve">, 55–62.</w:t>
      </w:r>
      <w:r>
        <w:t xml:space="preserve"> </w:t>
      </w:r>
      <w:hyperlink r:id="rId75">
        <w:r>
          <w:rPr>
            <w:rStyle w:val="Hyperlink"/>
          </w:rPr>
          <w:t xml:space="preserve">https://doi.org/10.1016/j.ijpsycho.2021.08.008</w:t>
        </w:r>
      </w:hyperlink>
    </w:p>
    <w:bookmarkEnd w:id="76"/>
    <w:bookmarkStart w:id="78" w:name="ref-juster1995"/>
    <w:p>
      <w:pPr>
        <w:pStyle w:val="Bibliography"/>
      </w:pPr>
      <w:r>
        <w:t xml:space="preserve">Juster, F. T., &amp; Suzman, R. (1995). An overview of the health and retirement study.</w:t>
      </w:r>
      <w:r>
        <w:t xml:space="preserve"> </w:t>
      </w:r>
      <w:r>
        <w:rPr>
          <w:i/>
          <w:iCs/>
        </w:rPr>
        <w:t xml:space="preserve">Journal of Human Resources</w:t>
      </w:r>
      <w:r>
        <w:t xml:space="preserve">, S7–s56.</w:t>
      </w:r>
      <w:r>
        <w:t xml:space="preserve"> </w:t>
      </w:r>
      <w:hyperlink r:id="rId77">
        <w:r>
          <w:rPr>
            <w:rStyle w:val="Hyperlink"/>
          </w:rPr>
          <w:t xml:space="preserve">https://doi.org/10.2307/146277</w:t>
        </w:r>
      </w:hyperlink>
    </w:p>
    <w:bookmarkEnd w:id="78"/>
    <w:bookmarkStart w:id="80" w:name="ref-kelly2021"/>
    <w:p>
      <w:pPr>
        <w:pStyle w:val="Bibliography"/>
      </w:pPr>
      <w:r>
        <w:t xml:space="preserve">Kelly, S. M., &amp; Walton, H. R. (2021).</w:t>
      </w:r>
      <w:r>
        <w:t xml:space="preserve"> </w:t>
      </w:r>
      <w:r>
        <w:t xml:space="preserve">“</w:t>
      </w:r>
      <w:r>
        <w:t xml:space="preserve">I</w:t>
      </w:r>
      <w:r>
        <w:t xml:space="preserve">’ll work out tomorrow”</w:t>
      </w:r>
      <w:r>
        <w:t xml:space="preserve">: The procrastination in exercise scale.</w:t>
      </w:r>
      <w:r>
        <w:t xml:space="preserve"> </w:t>
      </w:r>
      <w:r>
        <w:rPr>
          <w:i/>
          <w:iCs/>
        </w:rPr>
        <w:t xml:space="preserve">Journal of Health Psychology</w:t>
      </w:r>
      <w:r>
        <w:t xml:space="preserve">,</w:t>
      </w:r>
      <w:r>
        <w:t xml:space="preserve"> </w:t>
      </w:r>
      <w:r>
        <w:rPr>
          <w:i/>
          <w:iCs/>
        </w:rPr>
        <w:t xml:space="preserve">26</w:t>
      </w:r>
      <w:r>
        <w:t xml:space="preserve">(13), 2613–2625.</w:t>
      </w:r>
      <w:r>
        <w:t xml:space="preserve"> </w:t>
      </w:r>
      <w:hyperlink r:id="rId79">
        <w:r>
          <w:rPr>
            <w:rStyle w:val="Hyperlink"/>
          </w:rPr>
          <w:t xml:space="preserve">https://doi.org/10.1177/1359105320916541</w:t>
        </w:r>
      </w:hyperlink>
    </w:p>
    <w:bookmarkEnd w:id="80"/>
    <w:bookmarkStart w:id="82" w:name="ref-livingston2024"/>
    <w:p>
      <w:pPr>
        <w:pStyle w:val="Bibliography"/>
      </w:pPr>
      <w:r>
        <w:t xml:space="preserve">Livingston, G., Huntley, J., Liu, K. Y., Costafreda, S. G., Selbæk, G., Alladi, S., Ames, D., Banerjee, S., Burns, A., Brayne, C., Fox, N. C., Ferri, C. P., Gitlin, L. N., Howard, R., Kales, H. C., Kivimäki, M., Larson, E. B., Nakasujja, N., Rockwood, K., … Mukadam, N. (2024). Dementia prevention, intervention, and care: 2024 report of the</w:t>
      </w:r>
      <w:r>
        <w:t xml:space="preserve"> </w:t>
      </w:r>
      <w:r>
        <w:t xml:space="preserve">Lancet</w:t>
      </w:r>
      <w:r>
        <w:t xml:space="preserve"> </w:t>
      </w:r>
      <w:r>
        <w:t xml:space="preserve">standing</w:t>
      </w:r>
      <w:r>
        <w:t xml:space="preserve"> </w:t>
      </w:r>
      <w:r>
        <w:t xml:space="preserve">Commission</w:t>
      </w:r>
      <w:r>
        <w:t xml:space="preserve">.</w:t>
      </w:r>
      <w:r>
        <w:t xml:space="preserve"> </w:t>
      </w:r>
      <w:r>
        <w:rPr>
          <w:i/>
          <w:iCs/>
        </w:rPr>
        <w:t xml:space="preserve">The Lancet</w:t>
      </w:r>
      <w:r>
        <w:t xml:space="preserve">,</w:t>
      </w:r>
      <w:r>
        <w:t xml:space="preserve"> </w:t>
      </w:r>
      <w:r>
        <w:rPr>
          <w:i/>
          <w:iCs/>
        </w:rPr>
        <w:t xml:space="preserve">404</w:t>
      </w:r>
      <w:r>
        <w:t xml:space="preserve">(10452), 572–628.</w:t>
      </w:r>
      <w:r>
        <w:t xml:space="preserve"> </w:t>
      </w:r>
      <w:hyperlink r:id="rId81">
        <w:r>
          <w:rPr>
            <w:rStyle w:val="Hyperlink"/>
          </w:rPr>
          <w:t xml:space="preserve">https://doi.org/10.1016/s0140-6736(24)01296-0</w:t>
        </w:r>
      </w:hyperlink>
    </w:p>
    <w:bookmarkEnd w:id="82"/>
    <w:bookmarkStart w:id="84" w:name="ref-livingston2020"/>
    <w:p>
      <w:pPr>
        <w:pStyle w:val="Bibliography"/>
      </w:pPr>
      <w:r>
        <w:t xml:space="preserve">Livingston, G., Huntley, J., Sommerlad, A., Ames, D., Ballard, C., Banerjee, S., Brayne, C., Burns, A., Cohen-Mansfield, J., Cooper, C., et al. (2020). Dementia prevention, intervention, and care: 2020 report of the</w:t>
      </w:r>
      <w:r>
        <w:t xml:space="preserve"> </w:t>
      </w:r>
      <w:r>
        <w:t xml:space="preserve">Lancet Commission</w:t>
      </w:r>
      <w:r>
        <w:t xml:space="preserve">.</w:t>
      </w:r>
      <w:r>
        <w:t xml:space="preserve"> </w:t>
      </w:r>
      <w:r>
        <w:rPr>
          <w:i/>
          <w:iCs/>
        </w:rPr>
        <w:t xml:space="preserve">The Lancet</w:t>
      </w:r>
      <w:r>
        <w:t xml:space="preserve">,</w:t>
      </w:r>
      <w:r>
        <w:t xml:space="preserve"> </w:t>
      </w:r>
      <w:r>
        <w:rPr>
          <w:i/>
          <w:iCs/>
        </w:rPr>
        <w:t xml:space="preserve">396</w:t>
      </w:r>
      <w:r>
        <w:t xml:space="preserve">(10248), 413–446.</w:t>
      </w:r>
      <w:r>
        <w:t xml:space="preserve"> </w:t>
      </w:r>
      <w:hyperlink r:id="rId83">
        <w:r>
          <w:rPr>
            <w:rStyle w:val="Hyperlink"/>
          </w:rPr>
          <w:t xml:space="preserve">https://doi.org/10.1016/s0140-6736(20)30367-6</w:t>
        </w:r>
      </w:hyperlink>
    </w:p>
    <w:bookmarkEnd w:id="84"/>
    <w:bookmarkStart w:id="86" w:name="ref-mohammadibytamar2020"/>
    <w:p>
      <w:pPr>
        <w:pStyle w:val="Bibliography"/>
      </w:pPr>
      <w:r>
        <w:t xml:space="preserve">Mohammadi Bytamar, J., Saed, O., &amp; Khakpoor, S. (2020). Emotion regulation difficulties and academic procrastination.</w:t>
      </w:r>
      <w:r>
        <w:t xml:space="preserve"> </w:t>
      </w:r>
      <w:r>
        <w:rPr>
          <w:i/>
          <w:iCs/>
        </w:rPr>
        <w:t xml:space="preserve">Frontiers in Psychology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, 524588.</w:t>
      </w:r>
      <w:r>
        <w:t xml:space="preserve"> </w:t>
      </w:r>
      <w:hyperlink r:id="rId85">
        <w:r>
          <w:rPr>
            <w:rStyle w:val="Hyperlink"/>
          </w:rPr>
          <w:t xml:space="preserve">https://doi.org/10.3389/fpsyg.2020.524588</w:t>
        </w:r>
      </w:hyperlink>
    </w:p>
    <w:bookmarkEnd w:id="86"/>
    <w:bookmarkStart w:id="88" w:name="ref-nichols2022"/>
    <w:p>
      <w:pPr>
        <w:pStyle w:val="Bibliography"/>
      </w:pPr>
      <w:r>
        <w:t xml:space="preserve">Nichols, E., Steinmetz, J. D., Vollset, S. E., Fukutaki, K., Chalek, J., Abd-Allah, F., Abdoli, A., Abualhasan, A., Abu-Gharbieh, E., Akram, T. T., et al. (2022). Estimation of the global prevalence of dementia in 2019 and forecasted prevalence in 2050: An analysis for the</w:t>
      </w:r>
      <w:r>
        <w:t xml:space="preserve"> </w:t>
      </w:r>
      <w:r>
        <w:t xml:space="preserve">Global Burden</w:t>
      </w:r>
      <w:r>
        <w:t xml:space="preserve"> </w:t>
      </w:r>
      <w:r>
        <w:t xml:space="preserve">of</w:t>
      </w:r>
      <w:r>
        <w:t xml:space="preserve"> </w:t>
      </w:r>
      <w:r>
        <w:t xml:space="preserve">Disease Study</w:t>
      </w:r>
      <w:r>
        <w:t xml:space="preserve"> </w:t>
      </w:r>
      <w:r>
        <w:t xml:space="preserve">2019.</w:t>
      </w:r>
      <w:r>
        <w:t xml:space="preserve"> </w:t>
      </w:r>
      <w:r>
        <w:rPr>
          <w:i/>
          <w:iCs/>
        </w:rPr>
        <w:t xml:space="preserve">The Lancet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7</w:t>
      </w:r>
      <w:r>
        <w:t xml:space="preserve">(2), e105–e125.</w:t>
      </w:r>
      <w:r>
        <w:t xml:space="preserve"> </w:t>
      </w:r>
      <w:hyperlink r:id="rId87">
        <w:r>
          <w:rPr>
            <w:rStyle w:val="Hyperlink"/>
          </w:rPr>
          <w:t xml:space="preserve">https://doi.org/10.1016/s2468-2667(21)00249-8</w:t>
        </w:r>
      </w:hyperlink>
    </w:p>
    <w:bookmarkEnd w:id="88"/>
    <w:bookmarkStart w:id="90" w:name="ref-prince2013"/>
    <w:p>
      <w:pPr>
        <w:pStyle w:val="Bibliography"/>
      </w:pPr>
      <w:r>
        <w:t xml:space="preserve">Prince, M., Bryce, R., Albanese, E., Wimo, A., Ribeiro, W., &amp; Ferri, C. P. (2013). The global prevalence of dementia: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 and meta analysis.</w:t>
      </w:r>
      <w:r>
        <w:t xml:space="preserve"> </w:t>
      </w:r>
      <w:r>
        <w:rPr>
          <w:i/>
          <w:iCs/>
        </w:rPr>
        <w:t xml:space="preserve">Alzheimer’s &amp; Dementia</w:t>
      </w:r>
      <w:r>
        <w:t xml:space="preserve">,</w:t>
      </w:r>
      <w:r>
        <w:t xml:space="preserve"> </w:t>
      </w:r>
      <w:r>
        <w:rPr>
          <w:i/>
          <w:iCs/>
        </w:rPr>
        <w:t xml:space="preserve">9</w:t>
      </w:r>
      <w:r>
        <w:t xml:space="preserve">(1), 63–75.</w:t>
      </w:r>
      <w:r>
        <w:t xml:space="preserve"> </w:t>
      </w:r>
      <w:hyperlink r:id="rId89">
        <w:r>
          <w:rPr>
            <w:rStyle w:val="Hyperlink"/>
          </w:rPr>
          <w:t xml:space="preserve">https://doi.org/10.1016/j.jalz.2012.11.007</w:t>
        </w:r>
      </w:hyperlink>
    </w:p>
    <w:bookmarkEnd w:id="90"/>
    <w:bookmarkStart w:id="91" w:name="ref-rcoreteam2025"/>
    <w:p>
      <w:pPr>
        <w:pStyle w:val="Bibliography"/>
      </w:pPr>
      <w:r>
        <w:t xml:space="preserve">R Core Team. (2025).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 </w:t>
      </w:r>
      <w:r>
        <w:t xml:space="preserve">[Manual]. R Foundation for Statistical Computing.</w:t>
      </w:r>
    </w:p>
    <w:bookmarkEnd w:id="91"/>
    <w:bookmarkStart w:id="93" w:name="ref-richard2012"/>
    <w:p>
      <w:pPr>
        <w:pStyle w:val="Bibliography"/>
      </w:pPr>
      <w:r>
        <w:t xml:space="preserve">Richard, E., Schmand, B., Eikelenboom, P., Yang, S., Ligthart, S., Moll van Charante, E., Van Gool, W., &amp; Initiative, A. D. N. (2012). Symptoms of apathy are associated with progression from mild cognitive impairment to</w:t>
      </w:r>
      <w:r>
        <w:t xml:space="preserve"> </w:t>
      </w:r>
      <w:r>
        <w:t xml:space="preserve">Alzheimer</w:t>
      </w:r>
      <w:r>
        <w:t xml:space="preserve">’s disease in non-depressed subjects.</w:t>
      </w:r>
      <w:r>
        <w:t xml:space="preserve"> </w:t>
      </w:r>
      <w:r>
        <w:rPr>
          <w:i/>
          <w:iCs/>
        </w:rPr>
        <w:t xml:space="preserve">Dementia and Geriatric Cognitive Disorders</w:t>
      </w:r>
      <w:r>
        <w:t xml:space="preserve">,</w:t>
      </w:r>
      <w:r>
        <w:t xml:space="preserve"> </w:t>
      </w:r>
      <w:r>
        <w:rPr>
          <w:i/>
          <w:iCs/>
        </w:rPr>
        <w:t xml:space="preserve">33</w:t>
      </w:r>
      <w:r>
        <w:t xml:space="preserve">(2–3), 204–209.</w:t>
      </w:r>
      <w:r>
        <w:t xml:space="preserve"> </w:t>
      </w:r>
      <w:hyperlink r:id="rId92">
        <w:r>
          <w:rPr>
            <w:rStyle w:val="Hyperlink"/>
          </w:rPr>
          <w:t xml:space="preserve">https://doi.org/10.1159/000338239</w:t>
        </w:r>
      </w:hyperlink>
    </w:p>
    <w:bookmarkEnd w:id="93"/>
    <w:bookmarkStart w:id="95" w:name="ref-rozental2014"/>
    <w:p>
      <w:pPr>
        <w:pStyle w:val="Bibliography"/>
      </w:pPr>
      <w:r>
        <w:t xml:space="preserve">Rozental, Alexander., &amp; Carlbring, Per. (2014). Understanding and treating procrastination:</w:t>
      </w:r>
      <w:r>
        <w:t xml:space="preserve"> </w:t>
      </w:r>
      <w:r>
        <w:t xml:space="preserve">A</w:t>
      </w:r>
      <w:r>
        <w:t xml:space="preserve"> </w:t>
      </w:r>
      <w:r>
        <w:t xml:space="preserve">review of a common self-regulatory failure.</w:t>
      </w:r>
      <w:r>
        <w:t xml:space="preserve"> </w:t>
      </w:r>
      <w:r>
        <w:rPr>
          <w:i/>
          <w:iCs/>
        </w:rPr>
        <w:t xml:space="preserve">Psychology (Savannah, Ga.)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(13), 1488.</w:t>
      </w:r>
      <w:r>
        <w:t xml:space="preserve"> </w:t>
      </w:r>
      <w:hyperlink r:id="rId94">
        <w:r>
          <w:rPr>
            <w:rStyle w:val="Hyperlink"/>
          </w:rPr>
          <w:t xml:space="preserve">https://doi.org/10.4236/psych.2014.513160</w:t>
        </w:r>
      </w:hyperlink>
    </w:p>
    <w:bookmarkEnd w:id="95"/>
    <w:bookmarkStart w:id="97" w:name="ref-ruthirakuhan2019"/>
    <w:p>
      <w:pPr>
        <w:pStyle w:val="Bibliography"/>
      </w:pPr>
      <w:r>
        <w:t xml:space="preserve">Ruthirakuhan, M., Herrmann, N., Vieira, D., Gallagher, D., &amp; Lanctôt, K. L. (2019). The roles of apathy and depression in predicting</w:t>
      </w:r>
      <w:r>
        <w:t xml:space="preserve"> </w:t>
      </w:r>
      <w:r>
        <w:t xml:space="preserve">Alzheimer</w:t>
      </w:r>
      <w:r>
        <w:t xml:space="preserve"> </w:t>
      </w:r>
      <w:r>
        <w:t xml:space="preserve">disease: A longitudinal analysis in older adults with mild cognitive impairment.</w:t>
      </w:r>
      <w:r>
        <w:t xml:space="preserve"> </w:t>
      </w:r>
      <w:r>
        <w:rPr>
          <w:i/>
          <w:iCs/>
        </w:rPr>
        <w:t xml:space="preserve">The American Journal of Geriatric Psychiatry</w:t>
      </w:r>
      <w:r>
        <w:t xml:space="preserve">,</w:t>
      </w:r>
      <w:r>
        <w:t xml:space="preserve"> </w:t>
      </w:r>
      <w:r>
        <w:rPr>
          <w:i/>
          <w:iCs/>
        </w:rPr>
        <w:t xml:space="preserve">27</w:t>
      </w:r>
      <w:r>
        <w:t xml:space="preserve">(8), 873–882.</w:t>
      </w:r>
      <w:r>
        <w:t xml:space="preserve"> </w:t>
      </w:r>
      <w:hyperlink r:id="rId96">
        <w:r>
          <w:rPr>
            <w:rStyle w:val="Hyperlink"/>
          </w:rPr>
          <w:t xml:space="preserve">https://doi.org/10.1016/j.jagp.2019.02.003</w:t>
        </w:r>
      </w:hyperlink>
    </w:p>
    <w:bookmarkEnd w:id="97"/>
    <w:bookmarkStart w:id="99" w:name="ref-salem2023"/>
    <w:p>
      <w:pPr>
        <w:pStyle w:val="Bibliography"/>
      </w:pPr>
      <w:r>
        <w:t xml:space="preserve">Salem, H., Suchting, R., Gonzales, M. M., Seshadri, S., &amp; Teixeira, A. L. (2023). Apathy as a predictor of conversion from mild cognitive impairment to</w:t>
      </w:r>
      <w:r>
        <w:t xml:space="preserve"> </w:t>
      </w:r>
      <w:r>
        <w:t xml:space="preserve">Alzheimer</w:t>
      </w:r>
      <w:r>
        <w:t xml:space="preserve">’s disease: A</w:t>
      </w:r>
      <w:r>
        <w:t xml:space="preserve"> </w:t>
      </w:r>
      <w:r>
        <w:t xml:space="preserve">Texas Alzheimer</w:t>
      </w:r>
      <w:r>
        <w:t xml:space="preserve">’s research and care consortium (</w:t>
      </w:r>
      <w:r>
        <w:t xml:space="preserve">TARCC</w:t>
      </w:r>
      <w:r>
        <w:t xml:space="preserve">) cohort-based analysis.</w:t>
      </w:r>
      <w:r>
        <w:t xml:space="preserve"> </w:t>
      </w:r>
      <w:r>
        <w:rPr>
          <w:i/>
          <w:iCs/>
        </w:rPr>
        <w:t xml:space="preserve">Journal of Alzheimer’s Disease</w:t>
      </w:r>
      <w:r>
        <w:t xml:space="preserve">,</w:t>
      </w:r>
      <w:r>
        <w:t xml:space="preserve"> </w:t>
      </w:r>
      <w:r>
        <w:rPr>
          <w:i/>
          <w:iCs/>
        </w:rPr>
        <w:t xml:space="preserve">92</w:t>
      </w:r>
      <w:r>
        <w:t xml:space="preserve">(1), 129–139.</w:t>
      </w:r>
      <w:r>
        <w:t xml:space="preserve"> </w:t>
      </w:r>
      <w:hyperlink r:id="rId98">
        <w:r>
          <w:rPr>
            <w:rStyle w:val="Hyperlink"/>
          </w:rPr>
          <w:t xml:space="preserve">https://doi.org/10.3233/jad-220826</w:t>
        </w:r>
      </w:hyperlink>
    </w:p>
    <w:bookmarkEnd w:id="99"/>
    <w:bookmarkStart w:id="101" w:name="ref-sanz-blasco2022"/>
    <w:p>
      <w:pPr>
        <w:pStyle w:val="Bibliography"/>
      </w:pPr>
      <w:r>
        <w:t xml:space="preserve">Sanz-Blasco, R., Ruiz-Sánchez de León, J. M., Ávila-Villanueva, M., Valentı́-Soler, M., Gómez-Ramı́rez, J., &amp; Fernández-Blázquez, M. A. (2022). Transition from mild cognitive impairment to normal cognition: Determining the predictors of reversion with multi-state</w:t>
      </w:r>
      <w:r>
        <w:t xml:space="preserve"> </w:t>
      </w:r>
      <w:r>
        <w:t xml:space="preserve">Markov</w:t>
      </w:r>
      <w:r>
        <w:t xml:space="preserve"> </w:t>
      </w:r>
      <w:r>
        <w:t xml:space="preserve">models.</w:t>
      </w:r>
      <w:r>
        <w:t xml:space="preserve"> </w:t>
      </w:r>
      <w:r>
        <w:rPr>
          <w:i/>
          <w:iCs/>
        </w:rPr>
        <w:t xml:space="preserve">Alzheimer’s &amp; Dementia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1177–1185.</w:t>
      </w:r>
      <w:r>
        <w:t xml:space="preserve"> </w:t>
      </w:r>
      <w:hyperlink r:id="rId100">
        <w:r>
          <w:rPr>
            <w:rStyle w:val="Hyperlink"/>
          </w:rPr>
          <w:t xml:space="preserve">https://doi.org/10.1002/alz.12448</w:t>
        </w:r>
      </w:hyperlink>
    </w:p>
    <w:bookmarkEnd w:id="101"/>
    <w:bookmarkStart w:id="103" w:name="ref-shigemizu2020"/>
    <w:p>
      <w:pPr>
        <w:pStyle w:val="Bibliography"/>
      </w:pPr>
      <w:r>
        <w:t xml:space="preserve">Shigemizu, D., Akiyama, S., Higaki, S., Sugimoto, T., Sakurai, T., Boroevich, K. A., Sharma, A., Tsunoda, T., Ochiya, T., Niida, S., et al. (2020). Prognosis prediction model for conversion from mild cognitive impairment to</w:t>
      </w:r>
      <w:r>
        <w:t xml:space="preserve"> </w:t>
      </w:r>
      <w:r>
        <w:t xml:space="preserve">Alzheimer</w:t>
      </w:r>
      <w:r>
        <w:t xml:space="preserve">’s disease created by integrative analysis of multi-omics data.</w:t>
      </w:r>
      <w:r>
        <w:t xml:space="preserve"> </w:t>
      </w:r>
      <w:r>
        <w:rPr>
          <w:i/>
          <w:iCs/>
        </w:rPr>
        <w:t xml:space="preserve">Alzheimer’s Research &amp; Therapy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, 1–12.</w:t>
      </w:r>
      <w:r>
        <w:t xml:space="preserve"> </w:t>
      </w:r>
      <w:hyperlink r:id="rId102">
        <w:r>
          <w:rPr>
            <w:rStyle w:val="Hyperlink"/>
          </w:rPr>
          <w:t xml:space="preserve">https://doi.org/10.1186/s13195-020-00716-0</w:t>
        </w:r>
      </w:hyperlink>
    </w:p>
    <w:bookmarkEnd w:id="103"/>
    <w:bookmarkStart w:id="105" w:name="ref-steel2007"/>
    <w:p>
      <w:pPr>
        <w:pStyle w:val="Bibliography"/>
      </w:pPr>
      <w:r>
        <w:t xml:space="preserve">Steel, P. (2007). The nature of procrastination: A meta-analytic and theoretical review of quintessential self-regulatory failure.</w:t>
      </w:r>
      <w:r>
        <w:t xml:space="preserve"> </w:t>
      </w:r>
      <w:r>
        <w:rPr>
          <w:i/>
          <w:iCs/>
        </w:rPr>
        <w:t xml:space="preserve">Psychological Bulletin</w:t>
      </w:r>
      <w:r>
        <w:t xml:space="preserve">,</w:t>
      </w:r>
      <w:r>
        <w:t xml:space="preserve"> </w:t>
      </w:r>
      <w:r>
        <w:rPr>
          <w:i/>
          <w:iCs/>
        </w:rPr>
        <w:t xml:space="preserve">3</w:t>
      </w:r>
      <w:r>
        <w:t xml:space="preserve">(1).</w:t>
      </w:r>
      <w:r>
        <w:t xml:space="preserve"> </w:t>
      </w:r>
      <w:hyperlink r:id="rId104">
        <w:r>
          <w:rPr>
            <w:rStyle w:val="Hyperlink"/>
          </w:rPr>
          <w:t xml:space="preserve">https://doi.org/10.1037/0033-2909.133.1.65</w:t>
        </w:r>
      </w:hyperlink>
    </w:p>
    <w:bookmarkEnd w:id="105"/>
    <w:bookmarkStart w:id="107" w:name="ref-steel2010"/>
    <w:p>
      <w:pPr>
        <w:pStyle w:val="Bibliography"/>
      </w:pPr>
      <w:r>
        <w:t xml:space="preserve">Steel, P. (2010). Arousal, avoidant and decisional procrastinators:</w:t>
      </w:r>
      <w:r>
        <w:t xml:space="preserve"> </w:t>
      </w:r>
      <w:r>
        <w:t xml:space="preserve">Do</w:t>
      </w:r>
      <w:r>
        <w:t xml:space="preserve"> </w:t>
      </w:r>
      <w:r>
        <w:t xml:space="preserve">they exist?</w:t>
      </w:r>
      <w:r>
        <w:t xml:space="preserve"> </w:t>
      </w:r>
      <w:r>
        <w:rPr>
          <w:i/>
          <w:iCs/>
        </w:rPr>
        <w:t xml:space="preserve">Personality and Individual Differences</w:t>
      </w:r>
      <w:r>
        <w:t xml:space="preserve">,</w:t>
      </w:r>
      <w:r>
        <w:t xml:space="preserve"> </w:t>
      </w:r>
      <w:r>
        <w:rPr>
          <w:i/>
          <w:iCs/>
        </w:rPr>
        <w:t xml:space="preserve">48</w:t>
      </w:r>
      <w:r>
        <w:t xml:space="preserve">(8), 926–934.</w:t>
      </w:r>
      <w:r>
        <w:t xml:space="preserve"> </w:t>
      </w:r>
      <w:hyperlink r:id="rId106">
        <w:r>
          <w:rPr>
            <w:rStyle w:val="Hyperlink"/>
          </w:rPr>
          <w:t xml:space="preserve">https://doi.org/10.1016/j.paid.2010.02.025</w:t>
        </w:r>
      </w:hyperlink>
    </w:p>
    <w:bookmarkEnd w:id="107"/>
    <w:bookmarkStart w:id="108" w:name="ref-teipel2025"/>
    <w:p>
      <w:pPr>
        <w:pStyle w:val="Bibliography"/>
      </w:pPr>
      <w:r>
        <w:t xml:space="preserve">Teipel, S., Akmatov, M., Michalowsky, B., Riedel-Heller, S., Bohlken, J., &amp; Holstiege, J. (2025). Timing of risk factors, prodromal features, and comorbidities of dementia from a large health claims case–control study.</w:t>
      </w:r>
      <w:r>
        <w:t xml:space="preserve"> </w:t>
      </w:r>
      <w:r>
        <w:rPr>
          <w:i/>
          <w:iCs/>
        </w:rPr>
        <w:t xml:space="preserve">Alzheimer’s Research &amp; Therapy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(1), 22.</w:t>
      </w:r>
    </w:p>
    <w:bookmarkEnd w:id="108"/>
    <w:bookmarkStart w:id="110" w:name="ref-tschanz2006"/>
    <w:p>
      <w:pPr>
        <w:pStyle w:val="Bibliography"/>
      </w:pPr>
      <w:r>
        <w:t xml:space="preserve">Tschanz, J., Welsh-Bohmer, K., Lyketsos, C., Corcoran, C., Green, R. C., Hayden, K., Norton, M. C., Zandi, P., Toone, L., West, N., et al. (2006). Conversion to dementia from mild cognitive disorder: The</w:t>
      </w:r>
      <w:r>
        <w:t xml:space="preserve"> </w:t>
      </w:r>
      <w:r>
        <w:t xml:space="preserve">Cache County Study</w:t>
      </w:r>
      <w:r>
        <w:t xml:space="preserve">.</w:t>
      </w:r>
      <w:r>
        <w:t xml:space="preserve"> </w:t>
      </w:r>
      <w:r>
        <w:rPr>
          <w:i/>
          <w:iCs/>
        </w:rPr>
        <w:t xml:space="preserve">Neurology</w:t>
      </w:r>
      <w:r>
        <w:t xml:space="preserve">,</w:t>
      </w:r>
      <w:r>
        <w:t xml:space="preserve"> </w:t>
      </w:r>
      <w:r>
        <w:rPr>
          <w:i/>
          <w:iCs/>
        </w:rPr>
        <w:t xml:space="preserve">67</w:t>
      </w:r>
      <w:r>
        <w:t xml:space="preserve">(2), 229–234.</w:t>
      </w:r>
      <w:r>
        <w:t xml:space="preserve"> </w:t>
      </w:r>
      <w:hyperlink r:id="rId109">
        <w:r>
          <w:rPr>
            <w:rStyle w:val="Hyperlink"/>
          </w:rPr>
          <w:t xml:space="preserve">https://doi.org/10.1212/01.wnl.0000224748.48011.84</w:t>
        </w:r>
      </w:hyperlink>
    </w:p>
    <w:bookmarkEnd w:id="110"/>
    <w:bookmarkStart w:id="112" w:name="ref-vandalen2018"/>
    <w:p>
      <w:pPr>
        <w:pStyle w:val="Bibliography"/>
      </w:pPr>
      <w:r>
        <w:t xml:space="preserve">van Dalen, J. W., van Wanrooij, L. L., van Charante, E. P. M., Brayne, C., van Gool, W. A., &amp; Richard, E. (2018). Association of apathy with risk of incident dementia: A systematic review and meta-analysis.</w:t>
      </w:r>
      <w:r>
        <w:t xml:space="preserve"> </w:t>
      </w:r>
      <w:r>
        <w:rPr>
          <w:i/>
          <w:iCs/>
        </w:rPr>
        <w:t xml:space="preserve">JAMA Psychiatry</w:t>
      </w:r>
      <w:r>
        <w:t xml:space="preserve">,</w:t>
      </w:r>
      <w:r>
        <w:t xml:space="preserve"> </w:t>
      </w:r>
      <w:r>
        <w:rPr>
          <w:i/>
          <w:iCs/>
        </w:rPr>
        <w:t xml:space="preserve">75</w:t>
      </w:r>
      <w:r>
        <w:t xml:space="preserve">(10), 1012–1021.</w:t>
      </w:r>
      <w:r>
        <w:t xml:space="preserve"> </w:t>
      </w:r>
      <w:hyperlink r:id="rId111">
        <w:r>
          <w:rPr>
            <w:rStyle w:val="Hyperlink"/>
          </w:rPr>
          <w:t xml:space="preserve">https://doi.org/10.1001/jamapsychiatry.2018.1877</w:t>
        </w:r>
      </w:hyperlink>
    </w:p>
    <w:bookmarkEnd w:id="112"/>
    <w:bookmarkStart w:id="114" w:name="ref-vaneerde2018"/>
    <w:p>
      <w:pPr>
        <w:pStyle w:val="Bibliography"/>
      </w:pPr>
      <w:r>
        <w:t xml:space="preserve">van Eerde, W., &amp; Klingsieck, K. B. (2018). Overcoming procrastination?</w:t>
      </w:r>
      <w:r>
        <w:t xml:space="preserve"> </w:t>
      </w:r>
      <w:r>
        <w:t xml:space="preserve">A</w:t>
      </w:r>
      <w:r>
        <w:t xml:space="preserve"> </w:t>
      </w:r>
      <w:r>
        <w:t xml:space="preserve">meta-analysis of intervention studies.</w:t>
      </w:r>
      <w:r>
        <w:t xml:space="preserve"> </w:t>
      </w:r>
      <w:r>
        <w:rPr>
          <w:i/>
          <w:iCs/>
        </w:rPr>
        <w:t xml:space="preserve">Educational Research Review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, 73–85.</w:t>
      </w:r>
      <w:r>
        <w:t xml:space="preserve"> </w:t>
      </w:r>
      <w:hyperlink r:id="rId113">
        <w:r>
          <w:rPr>
            <w:rStyle w:val="Hyperlink"/>
          </w:rPr>
          <w:t xml:space="preserve">https://doi.org/10.1016/j.edurev.2018.09.002</w:t>
        </w:r>
      </w:hyperlink>
    </w:p>
    <w:bookmarkEnd w:id="114"/>
    <w:bookmarkStart w:id="116" w:name="ref-vanderweele2019"/>
    <w:p>
      <w:pPr>
        <w:pStyle w:val="Bibliography"/>
      </w:pPr>
      <w:r>
        <w:t xml:space="preserve">VanderWeele, T. J. (2019). Principles of confounder selection.</w:t>
      </w:r>
      <w:r>
        <w:t xml:space="preserve"> </w:t>
      </w:r>
      <w:r>
        <w:rPr>
          <w:i/>
          <w:iCs/>
        </w:rPr>
        <w:t xml:space="preserve">European Journal of Epidemiology</w:t>
      </w:r>
      <w:r>
        <w:t xml:space="preserve">,</w:t>
      </w:r>
      <w:r>
        <w:t xml:space="preserve"> </w:t>
      </w:r>
      <w:r>
        <w:rPr>
          <w:i/>
          <w:iCs/>
        </w:rPr>
        <w:t xml:space="preserve">34</w:t>
      </w:r>
      <w:r>
        <w:t xml:space="preserve">(3), 211–219.</w:t>
      </w:r>
      <w:r>
        <w:t xml:space="preserve"> </w:t>
      </w:r>
      <w:hyperlink r:id="rId115">
        <w:r>
          <w:rPr>
            <w:rStyle w:val="Hyperlink"/>
          </w:rPr>
          <w:t xml:space="preserve">https://doi.org/10.1007/s10654-019-00494-6</w:t>
        </w:r>
      </w:hyperlink>
    </w:p>
    <w:bookmarkEnd w:id="116"/>
    <w:bookmarkStart w:id="117" w:name="ref-venables2002"/>
    <w:p>
      <w:pPr>
        <w:pStyle w:val="Bibliography"/>
      </w:pPr>
      <w:r>
        <w:t xml:space="preserve">Venables, W. N., &amp; Ripley, B. D. (2002).</w:t>
      </w:r>
      <w:r>
        <w:t xml:space="preserve"> </w:t>
      </w:r>
      <w:r>
        <w:rPr>
          <w:i/>
          <w:iCs/>
        </w:rPr>
        <w:t xml:space="preserve">Modern applied statistics with s-</w:t>
      </w:r>
      <w:r>
        <w:rPr>
          <w:i/>
          <w:iCs/>
        </w:rPr>
        <w:t xml:space="preserve">PLUS</w:t>
      </w:r>
      <w:r>
        <w:t xml:space="preserve"> </w:t>
      </w:r>
      <w:r>
        <w:t xml:space="preserve">(4th ed.). Springer.</w:t>
      </w:r>
    </w:p>
    <w:bookmarkEnd w:id="117"/>
    <w:bookmarkStart w:id="119" w:name="ref-yu2013"/>
    <w:p>
      <w:pPr>
        <w:pStyle w:val="Bibliography"/>
      </w:pPr>
      <w:r>
        <w:t xml:space="preserve">Yu, H., Yang, S., Gao, J., Zhou, L., Liang, R., &amp; Qu, C. (2013). Multi-state</w:t>
      </w:r>
      <w:r>
        <w:t xml:space="preserve"> </w:t>
      </w:r>
      <w:r>
        <w:t xml:space="preserve">Markov</w:t>
      </w:r>
      <w:r>
        <w:t xml:space="preserve"> </w:t>
      </w:r>
      <w:r>
        <w:t xml:space="preserve">model in outcome of mild cognitive impairments among community elderly residents in</w:t>
      </w:r>
      <w:r>
        <w:t xml:space="preserve"> </w:t>
      </w:r>
      <w:r>
        <w:t xml:space="preserve">Mainland China</w:t>
      </w:r>
      <w:r>
        <w:t xml:space="preserve">.</w:t>
      </w:r>
      <w:r>
        <w:t xml:space="preserve"> </w:t>
      </w:r>
      <w:r>
        <w:rPr>
          <w:i/>
          <w:iCs/>
        </w:rPr>
        <w:t xml:space="preserve">International Psychogeriatrics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(5), 797–804.</w:t>
      </w:r>
      <w:r>
        <w:t xml:space="preserve"> </w:t>
      </w:r>
      <w:hyperlink r:id="rId118">
        <w:r>
          <w:rPr>
            <w:rStyle w:val="Hyperlink"/>
          </w:rPr>
          <w:t xml:space="preserve">https://doi.org/10.1017/s1041610212002220</w:t>
        </w:r>
      </w:hyperlink>
    </w:p>
    <w:bookmarkEnd w:id="119"/>
    <w:bookmarkStart w:id="121" w:name="ref-zhang2010"/>
    <w:p>
      <w:pPr>
        <w:pStyle w:val="Bibliography"/>
      </w:pPr>
      <w:r>
        <w:t xml:space="preserve">Zhang, Y. F., Zhang, Q. F., &amp; Yu, R. H. (2010). Markov property of</w:t>
      </w:r>
      <w:r>
        <w:t xml:space="preserve"> </w:t>
      </w:r>
      <w:r>
        <w:t xml:space="preserve">Markov</w:t>
      </w:r>
      <w:r>
        <w:t xml:space="preserve"> </w:t>
      </w:r>
      <w:r>
        <w:t xml:space="preserve">chains and its test.</w:t>
      </w:r>
      <w:r>
        <w:t xml:space="preserve"> </w:t>
      </w:r>
      <w:r>
        <w:rPr>
          <w:i/>
          <w:iCs/>
        </w:rPr>
        <w:t xml:space="preserve">2010 International Conference on Machine Learning and Cybernetics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, 1864–1867.</w:t>
      </w:r>
      <w:r>
        <w:t xml:space="preserve"> </w:t>
      </w:r>
      <w:hyperlink r:id="rId120">
        <w:r>
          <w:rPr>
            <w:rStyle w:val="Hyperlink"/>
          </w:rPr>
          <w:t xml:space="preserve">https://doi.org/10.1109/icmlc.2010.5580952</w:t>
        </w:r>
      </w:hyperlink>
    </w:p>
    <w:bookmarkEnd w:id="121"/>
    <w:bookmarkEnd w:id="122"/>
    <w:bookmarkStart w:id="123" w:name="tbl-descriptives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Baseline descriptives for the study sample and stratified by cognitive status category.</w:t>
      </w:r>
    </w:p>
    <w:tbl>
      <w:tblPr>
        <w:tblStyle w:val="Table"/>
        <w:tblW w:type="pct" w:w="4879"/>
        <w:tblLayout w:type="fixed"/>
        <w:tblLook w:firstRow="1" w:lastRow="1" w:firstColumn="0" w:lastColumn="0" w:noHBand="0" w:noVBand="0" w:val="0020"/>
      </w:tblPr>
      <w:tblGrid>
        <w:gridCol w:w="1532"/>
        <w:gridCol w:w="1788"/>
        <w:gridCol w:w="1469"/>
        <w:gridCol w:w="1405"/>
        <w:gridCol w:w="153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Full sample (n = 549)</w:t>
            </w:r>
          </w:p>
        </w:tc>
        <w:tc>
          <w:tcPr/>
          <w:p>
            <w:pPr>
              <w:pStyle w:val="Compact"/>
            </w:pPr>
            <w:r>
              <w:t xml:space="preserve">NC (n = 452)</w:t>
            </w:r>
          </w:p>
        </w:tc>
        <w:tc>
          <w:tcPr/>
          <w:p>
            <w:pPr>
              <w:pStyle w:val="Compact"/>
            </w:pPr>
            <w:r>
              <w:t xml:space="preserve">MCI (n = 86)</w:t>
            </w:r>
          </w:p>
        </w:tc>
        <w:tc>
          <w:tcPr/>
          <w:p>
            <w:pPr>
              <w:pStyle w:val="Compact"/>
            </w:pPr>
            <w:r>
              <w:t xml:space="preserve">Dementia (n = 11)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 (years)</w:t>
            </w:r>
          </w:p>
        </w:tc>
        <w:tc>
          <w:tcPr/>
          <w:p>
            <w:pPr>
              <w:pStyle w:val="Compact"/>
            </w:pPr>
            <w:r>
              <w:t xml:space="preserve">69.70 ± 7.58</w:t>
            </w:r>
          </w:p>
        </w:tc>
        <w:tc>
          <w:tcPr/>
          <w:p>
            <w:pPr>
              <w:pStyle w:val="Compact"/>
            </w:pPr>
            <w:r>
              <w:t xml:space="preserve">69.70 ± 7.55</w:t>
            </w:r>
          </w:p>
        </w:tc>
        <w:tc>
          <w:tcPr/>
          <w:p>
            <w:pPr>
              <w:pStyle w:val="Compact"/>
            </w:pPr>
            <w:r>
              <w:t xml:space="preserve">69.60 ± 7.55</w:t>
            </w:r>
          </w:p>
        </w:tc>
        <w:tc>
          <w:tcPr/>
          <w:p>
            <w:pPr>
              <w:pStyle w:val="Compact"/>
            </w:pPr>
            <w:r>
              <w:t xml:space="preserve">70.00 ± 9.89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38.43% (n = 211)</w:t>
            </w:r>
          </w:p>
        </w:tc>
        <w:tc>
          <w:tcPr/>
          <w:p>
            <w:pPr>
              <w:pStyle w:val="Compact"/>
            </w:pPr>
            <w:r>
              <w:t xml:space="preserve">39.82% (n =180)</w:t>
            </w:r>
          </w:p>
        </w:tc>
        <w:tc>
          <w:tcPr/>
          <w:p>
            <w:pPr>
              <w:pStyle w:val="Compact"/>
            </w:pPr>
            <w:r>
              <w:t xml:space="preserve">32.56% (n = 28)</w:t>
            </w:r>
          </w:p>
        </w:tc>
        <w:tc>
          <w:tcPr/>
          <w:p>
            <w:pPr>
              <w:pStyle w:val="Compact"/>
            </w:pPr>
            <w:r>
              <w:t xml:space="preserve">27.27% (n = 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61.57% (n = 338)</w:t>
            </w:r>
          </w:p>
        </w:tc>
        <w:tc>
          <w:tcPr/>
          <w:p>
            <w:pPr>
              <w:pStyle w:val="Compact"/>
            </w:pPr>
            <w:r>
              <w:t xml:space="preserve">60.18%(n = 272)</w:t>
            </w:r>
          </w:p>
        </w:tc>
        <w:tc>
          <w:tcPr/>
          <w:p>
            <w:pPr>
              <w:pStyle w:val="Compact"/>
            </w:pPr>
            <w:r>
              <w:t xml:space="preserve">67.44% (n = 58)</w:t>
            </w:r>
          </w:p>
        </w:tc>
        <w:tc>
          <w:tcPr/>
          <w:p>
            <w:pPr>
              <w:pStyle w:val="Compact"/>
            </w:pPr>
            <w:r>
              <w:t xml:space="preserve">72.73 (n = 8)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Education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 degree</w:t>
            </w:r>
          </w:p>
        </w:tc>
        <w:tc>
          <w:tcPr/>
          <w:p>
            <w:pPr>
              <w:pStyle w:val="Compact"/>
            </w:pPr>
            <w:r>
              <w:t xml:space="preserve">16.24% (n = 98)</w:t>
            </w:r>
          </w:p>
        </w:tc>
        <w:tc>
          <w:tcPr/>
          <w:p>
            <w:pPr>
              <w:pStyle w:val="Compact"/>
            </w:pPr>
            <w:r>
              <w:t xml:space="preserve">10.56% (n = 47)</w:t>
            </w:r>
          </w:p>
        </w:tc>
        <w:tc>
          <w:tcPr/>
          <w:p>
            <w:pPr>
              <w:pStyle w:val="Compact"/>
            </w:pPr>
            <w:r>
              <w:t xml:space="preserve">39.53% (n = 34)</w:t>
            </w:r>
          </w:p>
        </w:tc>
        <w:tc>
          <w:tcPr/>
          <w:p>
            <w:pPr>
              <w:pStyle w:val="Compact"/>
            </w:pPr>
            <w:r>
              <w:t xml:space="preserve">63.54% (n = 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GED</w:t>
            </w:r>
          </w:p>
        </w:tc>
        <w:tc>
          <w:tcPr/>
          <w:p>
            <w:pPr>
              <w:pStyle w:val="Compact"/>
            </w:pPr>
            <w:r>
              <w:t xml:space="preserve">51.58% (n = 279)</w:t>
            </w:r>
          </w:p>
        </w:tc>
        <w:tc>
          <w:tcPr/>
          <w:p>
            <w:pPr>
              <w:pStyle w:val="Compact"/>
            </w:pPr>
            <w:r>
              <w:t xml:space="preserve">51.91% (n = 231)</w:t>
            </w:r>
          </w:p>
        </w:tc>
        <w:tc>
          <w:tcPr/>
          <w:p>
            <w:pPr>
              <w:pStyle w:val="Compact"/>
            </w:pPr>
            <w:r>
              <w:t xml:space="preserve">52.33% (n = 45)</w:t>
            </w:r>
          </w:p>
        </w:tc>
        <w:tc>
          <w:tcPr/>
          <w:p>
            <w:pPr>
              <w:pStyle w:val="Compact"/>
            </w:pPr>
            <w:r>
              <w:t xml:space="preserve">27.27 (n = 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Further education</w:t>
            </w:r>
          </w:p>
        </w:tc>
        <w:tc>
          <w:tcPr/>
          <w:p>
            <w:pPr>
              <w:pStyle w:val="Compact"/>
            </w:pPr>
            <w:r>
              <w:t xml:space="preserve">32.29% (n = 175)</w:t>
            </w:r>
          </w:p>
        </w:tc>
        <w:tc>
          <w:tcPr/>
          <w:p>
            <w:pPr>
              <w:pStyle w:val="Compact"/>
            </w:pPr>
            <w:r>
              <w:t xml:space="preserve">37.53% (n = 167)</w:t>
            </w:r>
          </w:p>
        </w:tc>
        <w:tc>
          <w:tcPr/>
          <w:p>
            <w:pPr>
              <w:pStyle w:val="Compact"/>
            </w:pPr>
            <w:r>
              <w:t xml:space="preserve">8.14% (n = 7)</w:t>
            </w:r>
          </w:p>
        </w:tc>
        <w:tc>
          <w:tcPr/>
          <w:p>
            <w:pPr>
              <w:pStyle w:val="Compact"/>
            </w:pPr>
            <w:r>
              <w:t xml:space="preserve">9.09% (n = 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Apathy</w:t>
            </w:r>
          </w:p>
        </w:tc>
        <w:tc>
          <w:tcPr/>
          <w:p>
            <w:pPr>
              <w:pStyle w:val="Compact"/>
            </w:pPr>
            <w:r>
              <w:t xml:space="preserve">0.37 ± 0.63</w:t>
            </w:r>
          </w:p>
        </w:tc>
        <w:tc>
          <w:tcPr/>
          <w:p>
            <w:pPr>
              <w:pStyle w:val="Compact"/>
            </w:pPr>
            <w:r>
              <w:t xml:space="preserve">0.31 ± 0.59</w:t>
            </w:r>
          </w:p>
        </w:tc>
        <w:tc>
          <w:tcPr/>
          <w:p>
            <w:pPr>
              <w:pStyle w:val="Compact"/>
            </w:pPr>
            <w:r>
              <w:t xml:space="preserve">0.65 ± 0.76</w:t>
            </w:r>
          </w:p>
        </w:tc>
        <w:tc>
          <w:tcPr/>
          <w:p>
            <w:pPr>
              <w:pStyle w:val="Compact"/>
            </w:pPr>
            <w:r>
              <w:t xml:space="preserve">0.36 ± 0.51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Procrastination</w:t>
            </w:r>
            <w:r>
              <w:rPr>
                <w:vertAlign w:val="superscript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28.60 ± 12.00</w:t>
            </w:r>
          </w:p>
        </w:tc>
        <w:tc>
          <w:tcPr/>
          <w:p>
            <w:pPr>
              <w:pStyle w:val="Compact"/>
            </w:pPr>
            <w:r>
              <w:t xml:space="preserve">27.70 ± 11.30</w:t>
            </w:r>
          </w:p>
        </w:tc>
        <w:tc>
          <w:tcPr/>
          <w:p>
            <w:pPr>
              <w:pStyle w:val="Compact"/>
            </w:pPr>
            <w:r>
              <w:t xml:space="preserve">32.10 ± 13.80</w:t>
            </w:r>
          </w:p>
        </w:tc>
        <w:tc>
          <w:tcPr/>
          <w:p>
            <w:pPr>
              <w:pStyle w:val="Compact"/>
            </w:pPr>
            <w:r>
              <w:t xml:space="preserve">39.00 ± 16.00</w:t>
            </w:r>
          </w:p>
        </w:tc>
      </w:tr>
      <w:tr>
        <w:tc>
          <w:tcPr>
            <w:gridSpan w:val="5"/>
          </w:tcPr>
          <w:p>
            <w:pPr>
              <w:pStyle w:val="Compact"/>
            </w:pPr>
            <w:r>
              <w:rPr>
                <w:i/>
                <w:iCs/>
              </w:rPr>
              <w:t xml:space="preserve">Note:</w:t>
            </w:r>
            <w:r>
              <w:t xml:space="preserve"> </w:t>
            </w:r>
            <w:r>
              <w:t xml:space="preserve">Descriptives for continuous and categorical variables are represented using means ± standard deviations and</w:t>
            </w:r>
            <w:r>
              <w:t xml:space="preserve"> </w:t>
            </w:r>
            <w:r>
              <w:t xml:space="preserve">percentages and frequencies respectively. NC = Normative cognitive function; MCI = Mild cognitive impairment; GED =</w:t>
            </w:r>
            <w:r>
              <w:t xml:space="preserve"> </w:t>
            </w:r>
            <w:r>
              <w:t xml:space="preserve">General Educational Development.</w:t>
            </w:r>
          </w:p>
        </w:tc>
      </w:tr>
      <w:tr>
        <w:tc>
          <w:tcPr>
            <w:gridSpan w:val="5"/>
          </w:tcPr>
          <w:p>
            <w:pPr>
              <w:pStyle w:val="Compact"/>
            </w:pPr>
            <w:r>
              <w:rPr>
                <w:vertAlign w:val="superscript"/>
              </w:rPr>
              <w:t xml:space="preserve">a</w:t>
            </w:r>
            <w:r>
              <w:t xml:space="preserve"> </w:t>
            </w:r>
            <w:r>
              <w:t xml:space="preserve">Procrastination scores were collected in 2020 (Wave 3) and are presented here for descriptive comparison,</w:t>
            </w:r>
            <w:r>
              <w:t xml:space="preserve"> </w:t>
            </w:r>
            <w:r>
              <w:t xml:space="preserve">although they were not measured at baseline.</w:t>
            </w:r>
          </w:p>
        </w:tc>
      </w:tr>
    </w:tbl>
    <w:bookmarkEnd w:id="123"/>
    <w:p>
      <w:r>
        <w:br w:type="page"/>
      </w:r>
    </w:p>
    <w:bookmarkStart w:id="127" w:name="fig-river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Frequency of cognitive status transitions between HRS waves.</w:t>
      </w:r>
    </w:p>
    <w:p>
      <w:pPr>
        <w:pStyle w:val="FigureWithoutNote"/>
      </w:pPr>
      <w:r>
        <w:drawing>
          <wp:inline>
            <wp:extent cx="5505516" cy="3399528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manuscript_files/figure-docx/fig-river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16" cy="339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p>
      <w:r>
        <w:br w:type="page"/>
      </w:r>
    </w:p>
    <w:bookmarkEnd w:id="12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124" Target="media/rId124.png" /><Relationship Type="http://schemas.openxmlformats.org/officeDocument/2006/relationships/hyperlink" Id="rId111" Target="https://doi.org/10.1001/jamapsychiatry.2018.1877" TargetMode="External" /><Relationship Type="http://schemas.openxmlformats.org/officeDocument/2006/relationships/hyperlink" Id="rId100" Target="https://doi.org/10.1002/alz.12448" TargetMode="External" /><Relationship Type="http://schemas.openxmlformats.org/officeDocument/2006/relationships/hyperlink" Id="rId115" Target="https://doi.org/10.1007/s10654-019-00494-6" TargetMode="External" /><Relationship Type="http://schemas.openxmlformats.org/officeDocument/2006/relationships/hyperlink" Id="rId53" Target="https://doi.org/10.1007/s41999-017-0016-0" TargetMode="External" /><Relationship Type="http://schemas.openxmlformats.org/officeDocument/2006/relationships/hyperlink" Id="rId113" Target="https://doi.org/10.1016/j.edurev.2018.09.002" TargetMode="External" /><Relationship Type="http://schemas.openxmlformats.org/officeDocument/2006/relationships/hyperlink" Id="rId75" Target="https://doi.org/10.1016/j.ijpsycho.2021.08.008" TargetMode="External" /><Relationship Type="http://schemas.openxmlformats.org/officeDocument/2006/relationships/hyperlink" Id="rId61" Target="https://doi.org/10.1016/j.jagp.2013.03.006" TargetMode="External" /><Relationship Type="http://schemas.openxmlformats.org/officeDocument/2006/relationships/hyperlink" Id="rId96" Target="https://doi.org/10.1016/j.jagp.2019.02.003" TargetMode="External" /><Relationship Type="http://schemas.openxmlformats.org/officeDocument/2006/relationships/hyperlink" Id="rId67" Target="https://doi.org/10.1016/j.jalz.2009.02.007" TargetMode="External" /><Relationship Type="http://schemas.openxmlformats.org/officeDocument/2006/relationships/hyperlink" Id="rId89" Target="https://doi.org/10.1016/j.jalz.2012.11.007" TargetMode="External" /><Relationship Type="http://schemas.openxmlformats.org/officeDocument/2006/relationships/hyperlink" Id="rId106" Target="https://doi.org/10.1016/j.paid.2010.02.025" TargetMode="External" /><Relationship Type="http://schemas.openxmlformats.org/officeDocument/2006/relationships/hyperlink" Id="rId83" Target="https://doi.org/10.1016/s0140-6736(20)30367-6" TargetMode="External" /><Relationship Type="http://schemas.openxmlformats.org/officeDocument/2006/relationships/hyperlink" Id="rId81" Target="https://doi.org/10.1016/s0140-6736(24)01296-0" TargetMode="External" /><Relationship Type="http://schemas.openxmlformats.org/officeDocument/2006/relationships/hyperlink" Id="rId87" Target="https://doi.org/10.1016/s2468-2667(21)00249-8" TargetMode="External" /><Relationship Type="http://schemas.openxmlformats.org/officeDocument/2006/relationships/hyperlink" Id="rId118" Target="https://doi.org/10.1017/s1041610212002220" TargetMode="External" /><Relationship Type="http://schemas.openxmlformats.org/officeDocument/2006/relationships/hyperlink" Id="rId104" Target="https://doi.org/10.1037/0033-2909.133.1.65" TargetMode="External" /><Relationship Type="http://schemas.openxmlformats.org/officeDocument/2006/relationships/hyperlink" Id="rId69" Target="https://doi.org/10.1093/gerona/glae105" TargetMode="External" /><Relationship Type="http://schemas.openxmlformats.org/officeDocument/2006/relationships/hyperlink" Id="rId59" Target="https://doi.org/10.1093/geronb/gbr048" TargetMode="External" /><Relationship Type="http://schemas.openxmlformats.org/officeDocument/2006/relationships/hyperlink" Id="rId65" Target="https://doi.org/10.1093/workar/wax032" TargetMode="External" /><Relationship Type="http://schemas.openxmlformats.org/officeDocument/2006/relationships/hyperlink" Id="rId120" Target="https://doi.org/10.1109/icmlc.2010.5580952" TargetMode="External" /><Relationship Type="http://schemas.openxmlformats.org/officeDocument/2006/relationships/hyperlink" Id="rId50" Target="https://doi.org/10.1155/2012/291920" TargetMode="External" /><Relationship Type="http://schemas.openxmlformats.org/officeDocument/2006/relationships/hyperlink" Id="rId92" Target="https://doi.org/10.1159/000338239" TargetMode="External" /><Relationship Type="http://schemas.openxmlformats.org/officeDocument/2006/relationships/hyperlink" Id="rId57" Target="https://doi.org/10.1176/appi.ajp.2014.14070878" TargetMode="External" /><Relationship Type="http://schemas.openxmlformats.org/officeDocument/2006/relationships/hyperlink" Id="rId71" Target="https://doi.org/10.1177/08919887221093361" TargetMode="External" /><Relationship Type="http://schemas.openxmlformats.org/officeDocument/2006/relationships/hyperlink" Id="rId79" Target="https://doi.org/10.1177/1359105320916541" TargetMode="External" /><Relationship Type="http://schemas.openxmlformats.org/officeDocument/2006/relationships/hyperlink" Id="rId102" Target="https://doi.org/10.1186/s13195-020-00716-0" TargetMode="External" /><Relationship Type="http://schemas.openxmlformats.org/officeDocument/2006/relationships/hyperlink" Id="rId109" Target="https://doi.org/10.1212/01.wnl.0000224748.48011.84" TargetMode="External" /><Relationship Type="http://schemas.openxmlformats.org/officeDocument/2006/relationships/hyperlink" Id="rId77" Target="https://doi.org/10.2307/146277" TargetMode="External" /><Relationship Type="http://schemas.openxmlformats.org/officeDocument/2006/relationships/hyperlink" Id="rId98" Target="https://doi.org/10.3233/jad-220826" TargetMode="External" /><Relationship Type="http://schemas.openxmlformats.org/officeDocument/2006/relationships/hyperlink" Id="rId55" Target="https://doi.org/10.3389/fneur.2021.765584" TargetMode="External" /><Relationship Type="http://schemas.openxmlformats.org/officeDocument/2006/relationships/hyperlink" Id="rId85" Target="https://doi.org/10.3389/fpsyg.2020.524588" TargetMode="External" /><Relationship Type="http://schemas.openxmlformats.org/officeDocument/2006/relationships/hyperlink" Id="rId94" Target="https://doi.org/10.4236/psych.2014.513160" TargetMode="External" /><Relationship Type="http://schemas.openxmlformats.org/officeDocument/2006/relationships/hyperlink" Id="rId63" Target="https://doi.org/10.9758/cpn.2021.19.2.181" TargetMode="External" /><Relationship Type="http://schemas.openxmlformats.org/officeDocument/2006/relationships/hyperlink" Id="rId129" Target="https://github.com/C-Monaghan/crisp-clam" TargetMode="External" /><Relationship Type="http://schemas.openxmlformats.org/officeDocument/2006/relationships/hyperlink" Id="rId33" Target="https://orcid.org/https://orcid.org/0000-0001-6159-6707" TargetMode="External" /><Relationship Type="http://schemas.openxmlformats.org/officeDocument/2006/relationships/hyperlink" Id="rId25" Target="https://orcid.org/https://orcid.org/0000-0001-9012-3060" TargetMode="External" /><Relationship Type="http://schemas.openxmlformats.org/officeDocument/2006/relationships/hyperlink" Id="rId29" Target="https://orcid.org/https://orcid.org/0000-0002-0875-3563" TargetMode="External" /><Relationship Type="http://schemas.openxmlformats.org/officeDocument/2006/relationships/hyperlink" Id="rId37" Target="https://orcid.org/https://orcid.org/0000-0002-7387-31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s://doi.org/10.1001/jamapsychiatry.2018.1877" TargetMode="External" /><Relationship Type="http://schemas.openxmlformats.org/officeDocument/2006/relationships/hyperlink" Id="rId100" Target="https://doi.org/10.1002/alz.12448" TargetMode="External" /><Relationship Type="http://schemas.openxmlformats.org/officeDocument/2006/relationships/hyperlink" Id="rId115" Target="https://doi.org/10.1007/s10654-019-00494-6" TargetMode="External" /><Relationship Type="http://schemas.openxmlformats.org/officeDocument/2006/relationships/hyperlink" Id="rId53" Target="https://doi.org/10.1007/s41999-017-0016-0" TargetMode="External" /><Relationship Type="http://schemas.openxmlformats.org/officeDocument/2006/relationships/hyperlink" Id="rId113" Target="https://doi.org/10.1016/j.edurev.2018.09.002" TargetMode="External" /><Relationship Type="http://schemas.openxmlformats.org/officeDocument/2006/relationships/hyperlink" Id="rId75" Target="https://doi.org/10.1016/j.ijpsycho.2021.08.008" TargetMode="External" /><Relationship Type="http://schemas.openxmlformats.org/officeDocument/2006/relationships/hyperlink" Id="rId61" Target="https://doi.org/10.1016/j.jagp.2013.03.006" TargetMode="External" /><Relationship Type="http://schemas.openxmlformats.org/officeDocument/2006/relationships/hyperlink" Id="rId96" Target="https://doi.org/10.1016/j.jagp.2019.02.003" TargetMode="External" /><Relationship Type="http://schemas.openxmlformats.org/officeDocument/2006/relationships/hyperlink" Id="rId67" Target="https://doi.org/10.1016/j.jalz.2009.02.007" TargetMode="External" /><Relationship Type="http://schemas.openxmlformats.org/officeDocument/2006/relationships/hyperlink" Id="rId89" Target="https://doi.org/10.1016/j.jalz.2012.11.007" TargetMode="External" /><Relationship Type="http://schemas.openxmlformats.org/officeDocument/2006/relationships/hyperlink" Id="rId106" Target="https://doi.org/10.1016/j.paid.2010.02.025" TargetMode="External" /><Relationship Type="http://schemas.openxmlformats.org/officeDocument/2006/relationships/hyperlink" Id="rId83" Target="https://doi.org/10.1016/s0140-6736(20)30367-6" TargetMode="External" /><Relationship Type="http://schemas.openxmlformats.org/officeDocument/2006/relationships/hyperlink" Id="rId81" Target="https://doi.org/10.1016/s0140-6736(24)01296-0" TargetMode="External" /><Relationship Type="http://schemas.openxmlformats.org/officeDocument/2006/relationships/hyperlink" Id="rId87" Target="https://doi.org/10.1016/s2468-2667(21)00249-8" TargetMode="External" /><Relationship Type="http://schemas.openxmlformats.org/officeDocument/2006/relationships/hyperlink" Id="rId118" Target="https://doi.org/10.1017/s1041610212002220" TargetMode="External" /><Relationship Type="http://schemas.openxmlformats.org/officeDocument/2006/relationships/hyperlink" Id="rId104" Target="https://doi.org/10.1037/0033-2909.133.1.65" TargetMode="External" /><Relationship Type="http://schemas.openxmlformats.org/officeDocument/2006/relationships/hyperlink" Id="rId69" Target="https://doi.org/10.1093/gerona/glae105" TargetMode="External" /><Relationship Type="http://schemas.openxmlformats.org/officeDocument/2006/relationships/hyperlink" Id="rId59" Target="https://doi.org/10.1093/geronb/gbr048" TargetMode="External" /><Relationship Type="http://schemas.openxmlformats.org/officeDocument/2006/relationships/hyperlink" Id="rId65" Target="https://doi.org/10.1093/workar/wax032" TargetMode="External" /><Relationship Type="http://schemas.openxmlformats.org/officeDocument/2006/relationships/hyperlink" Id="rId120" Target="https://doi.org/10.1109/icmlc.2010.5580952" TargetMode="External" /><Relationship Type="http://schemas.openxmlformats.org/officeDocument/2006/relationships/hyperlink" Id="rId50" Target="https://doi.org/10.1155/2012/291920" TargetMode="External" /><Relationship Type="http://schemas.openxmlformats.org/officeDocument/2006/relationships/hyperlink" Id="rId92" Target="https://doi.org/10.1159/000338239" TargetMode="External" /><Relationship Type="http://schemas.openxmlformats.org/officeDocument/2006/relationships/hyperlink" Id="rId57" Target="https://doi.org/10.1176/appi.ajp.2014.14070878" TargetMode="External" /><Relationship Type="http://schemas.openxmlformats.org/officeDocument/2006/relationships/hyperlink" Id="rId71" Target="https://doi.org/10.1177/08919887221093361" TargetMode="External" /><Relationship Type="http://schemas.openxmlformats.org/officeDocument/2006/relationships/hyperlink" Id="rId79" Target="https://doi.org/10.1177/1359105320916541" TargetMode="External" /><Relationship Type="http://schemas.openxmlformats.org/officeDocument/2006/relationships/hyperlink" Id="rId102" Target="https://doi.org/10.1186/s13195-020-00716-0" TargetMode="External" /><Relationship Type="http://schemas.openxmlformats.org/officeDocument/2006/relationships/hyperlink" Id="rId109" Target="https://doi.org/10.1212/01.wnl.0000224748.48011.84" TargetMode="External" /><Relationship Type="http://schemas.openxmlformats.org/officeDocument/2006/relationships/hyperlink" Id="rId77" Target="https://doi.org/10.2307/146277" TargetMode="External" /><Relationship Type="http://schemas.openxmlformats.org/officeDocument/2006/relationships/hyperlink" Id="rId98" Target="https://doi.org/10.3233/jad-220826" TargetMode="External" /><Relationship Type="http://schemas.openxmlformats.org/officeDocument/2006/relationships/hyperlink" Id="rId55" Target="https://doi.org/10.3389/fneur.2021.765584" TargetMode="External" /><Relationship Type="http://schemas.openxmlformats.org/officeDocument/2006/relationships/hyperlink" Id="rId85" Target="https://doi.org/10.3389/fpsyg.2020.524588" TargetMode="External" /><Relationship Type="http://schemas.openxmlformats.org/officeDocument/2006/relationships/hyperlink" Id="rId94" Target="https://doi.org/10.4236/psych.2014.513160" TargetMode="External" /><Relationship Type="http://schemas.openxmlformats.org/officeDocument/2006/relationships/hyperlink" Id="rId63" Target="https://doi.org/10.9758/cpn.2021.19.2.181" TargetMode="External" /><Relationship Type="http://schemas.openxmlformats.org/officeDocument/2006/relationships/hyperlink" Id="rId129" Target="https://github.com/C-Monaghan/crisp-clam" TargetMode="External" /><Relationship Type="http://schemas.openxmlformats.org/officeDocument/2006/relationships/hyperlink" Id="rId33" Target="https://orcid.org/https://orcid.org/0000-0001-6159-6707" TargetMode="External" /><Relationship Type="http://schemas.openxmlformats.org/officeDocument/2006/relationships/hyperlink" Id="rId25" Target="https://orcid.org/https://orcid.org/0000-0001-9012-3060" TargetMode="External" /><Relationship Type="http://schemas.openxmlformats.org/officeDocument/2006/relationships/hyperlink" Id="rId29" Target="https://orcid.org/https://orcid.org/0000-0002-0875-3563" TargetMode="External" /><Relationship Type="http://schemas.openxmlformats.org/officeDocument/2006/relationships/hyperlink" Id="rId37" Target="https://orcid.org/https://orcid.org/0000-0002-7387-31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PROCRASTINATION AS A MARKER OF COGNITIVE DECLINE: EVIDENCE FROM LONGITUDINAL TRANSITIONS IN THE OLDER ADULT POPULATION</dc:description>
  <cp:keywords/>
  <dcterms:created xsi:type="dcterms:W3CDTF">2025-09-29T21:43:56Z</dcterms:created>
  <dcterms:modified xsi:type="dcterms:W3CDTF">2025-09-29T21:43:56Z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True</vt:lpwstr>
  </property>
  <property fmtid="{D5CDD505-2E9C-101B-9397-08002B2CF9AE}" pid="4" name="apaauthor">
    <vt:lpwstr/>
  </property>
  <property fmtid="{D5CDD505-2E9C-101B-9397-08002B2CF9AE}" pid="5" name="apatitle">
    <vt:lpwstr>PROCRASTINATION AS A MARKER OF COGNITIVE DECLINE: EVIDENCE FROM LONGITUDINAL TRANSITIONS IN THE OLDER ADULT POPULATION</vt:lpwstr>
  </property>
  <property fmtid="{D5CDD505-2E9C-101B-9397-08002B2CF9AE}" pid="6" name="apatitledisplay">
    <vt:lpwstr>Procrastination as a Marker of Cognitive Decline: Evidence from Longitudinal Transitions in the Older Adult Population</vt:lpwstr>
  </property>
  <property fmtid="{D5CDD505-2E9C-101B-9397-08002B2CF9AE}" pid="7" name="authors">
    <vt:lpwstr/>
  </property>
  <property fmtid="{D5CDD505-2E9C-101B-9397-08002B2CF9AE}" pid="8" name="biblio-config">
    <vt:lpwstr>True</vt:lpwstr>
  </property>
  <property fmtid="{D5CDD505-2E9C-101B-9397-08002B2CF9AE}" pid="9" name="by-affiliation">
    <vt:lpwstr/>
  </property>
  <property fmtid="{D5CDD505-2E9C-101B-9397-08002B2CF9AE}" pid="10" name="by-author">
    <vt:lpwstr/>
  </property>
  <property fmtid="{D5CDD505-2E9C-101B-9397-08002B2CF9AE}" pid="11" name="cap-location">
    <vt:lpwstr>top</vt:lpwstr>
  </property>
  <property fmtid="{D5CDD505-2E9C-101B-9397-08002B2CF9AE}" pid="12" name="code-repo">
    <vt:lpwstr>Access the code, data, and analysis at https://github.com/C-Monaghan/crisp-clam</vt:lpwstr>
  </property>
  <property fmtid="{D5CDD505-2E9C-101B-9397-08002B2CF9AE}" pid="13" name="correspondence-prefix">
    <vt:lpwstr>Correspondence concerning this article should be addressed to</vt:lpwstr>
  </property>
  <property fmtid="{D5CDD505-2E9C-101B-9397-08002B2CF9AE}" pid="14" name="csl">
    <vt:lpwstr>csl/apa.csl</vt:lpwstr>
  </property>
  <property fmtid="{D5CDD505-2E9C-101B-9397-08002B2CF9AE}" pid="15" name="documentmode">
    <vt:lpwstr>man</vt:lpwstr>
  </property>
  <property fmtid="{D5CDD505-2E9C-101B-9397-08002B2CF9AE}" pid="16" name="editor">
    <vt:lpwstr/>
  </property>
  <property fmtid="{D5CDD505-2E9C-101B-9397-08002B2CF9AE}" pid="17" name="fig-cap-location">
    <vt:lpwstr>top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oneaffiliation">
    <vt:lpwstr>False</vt:lpwstr>
  </property>
  <property fmtid="{D5CDD505-2E9C-101B-9397-08002B2CF9AE}" pid="27" name="oneauthor">
    <vt:lpwstr>False</vt:lpwstr>
  </property>
  <property fmtid="{D5CDD505-2E9C-101B-9397-08002B2CF9AE}" pid="28" name="references">
    <vt:lpwstr/>
  </property>
  <property fmtid="{D5CDD505-2E9C-101B-9397-08002B2CF9AE}" pid="29" name="revealjs-plugins">
    <vt:lpwstr/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impact-statement">
    <vt:lpwstr>False</vt:lpwstr>
  </property>
  <property fmtid="{D5CDD505-2E9C-101B-9397-08002B2CF9AE}" pid="46" name="suppress-keywords">
    <vt:lpwstr>False</vt:lpwstr>
  </property>
  <property fmtid="{D5CDD505-2E9C-101B-9397-08002B2CF9AE}" pid="47" name="suppress-orcid">
    <vt:lpwstr>False</vt:lpwstr>
  </property>
  <property fmtid="{D5CDD505-2E9C-101B-9397-08002B2CF9AE}" pid="48" name="suppress-short-title">
    <vt:lpwstr>False</vt:lpwstr>
  </property>
  <property fmtid="{D5CDD505-2E9C-101B-9397-08002B2CF9AE}" pid="49" name="suppress-status-change-paragraph">
    <vt:lpwstr>False</vt:lpwstr>
  </property>
  <property fmtid="{D5CDD505-2E9C-101B-9397-08002B2CF9AE}" pid="50" name="suppress-title">
    <vt:lpwstr>False</vt:lpwstr>
  </property>
  <property fmtid="{D5CDD505-2E9C-101B-9397-08002B2CF9AE}" pid="51" name="suppress-title-introduction">
    <vt:lpwstr>False</vt:lpwstr>
  </property>
  <property fmtid="{D5CDD505-2E9C-101B-9397-08002B2CF9AE}" pid="52" name="suppress-title-page">
    <vt:lpwstr>False</vt:lpwstr>
  </property>
  <property fmtid="{D5CDD505-2E9C-101B-9397-08002B2CF9AE}" pid="53" name="suppress-title-page-number">
    <vt:lpwstr>False</vt:lpwstr>
  </property>
  <property fmtid="{D5CDD505-2E9C-101B-9397-08002B2CF9AE}" pid="54" name="tbl-cap-location">
    <vt:lpwstr>top</vt:lpwstr>
  </property>
  <property fmtid="{D5CDD505-2E9C-101B-9397-08002B2CF9AE}" pid="55" name="toc-title">
    <vt:lpwstr>Table of contents</vt:lpwstr>
  </property>
  <property fmtid="{D5CDD505-2E9C-101B-9397-08002B2CF9AE}" pid="56" name="zerocitations">
    <vt:lpwstr>False</vt:lpwstr>
  </property>
</Properties>
</file>