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End w:id="36"/>
    <w:bookmarkStart w:id="45"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biennial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missing procrastination data</w:t>
      </w:r>
      <w:r>
        <w:t xml:space="preserve"> </w:t>
      </w:r>
      <m:oMath>
        <m:d>
          <m:dPr>
            <m:begChr m:val="("/>
            <m:endChr m:val=")"/>
            <m:sepChr m:val=""/>
            <m:grow/>
          </m:dPr>
          <m:e>
            <m:r>
              <m:t>n</m:t>
            </m:r>
            <m:r>
              <m:rPr>
                <m:sty m:val="p"/>
              </m:rPr>
              <m:t>=</m:t>
            </m:r>
            <m:r>
              <m:t>4</m:t>
            </m:r>
          </m:e>
        </m:d>
      </m:oMath>
      <w:r>
        <w:t xml:space="preserve">, and those under 50 years of age</w:t>
      </w:r>
      <w:r>
        <w:t xml:space="preserve"> </w:t>
      </w:r>
      <m:oMath>
        <m:d>
          <m:dPr>
            <m:begChr m:val="("/>
            <m:endChr m:val=")"/>
            <m:sepChr m:val=""/>
            <m:grow/>
          </m:dPr>
          <m:e>
            <m:r>
              <m:t>n</m:t>
            </m:r>
            <m:r>
              <m:rPr>
                <m:sty m:val="p"/>
              </m:rPr>
              <m:t>=</m:t>
            </m:r>
            <m:r>
              <m:t>16</m:t>
            </m:r>
          </m:e>
        </m:d>
      </m:oMath>
      <w:r>
        <w:t xml:space="preserve">. This resulted in a final analytic sample of</w:t>
      </w:r>
      <w:r>
        <w:t xml:space="preserve"> </w:t>
      </w:r>
      <m:oMath>
        <m:r>
          <m:t>903</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Start w:id="44" w:name="data-analysis"/>
    <w:p>
      <w:pPr>
        <w:pStyle w:val="Heading2"/>
      </w:pPr>
      <w:r>
        <w:t xml:space="preserve">Data analysis</w:t>
      </w:r>
    </w:p>
    <w:p>
      <w:pPr>
        <w:pStyle w:val="FirstParagraph"/>
      </w:pPr>
      <w:r>
        <w:t xml:space="preserve">All data analysis was carried out in R</w:t>
      </w:r>
      <w:r>
        <w:t xml:space="preserve"> </w:t>
      </w:r>
      <w:r>
        <w:t xml:space="preserve">(</w:t>
      </w:r>
      <w:hyperlink w:anchor="ref-R2024">
        <w:r>
          <w:rPr>
            <w:rStyle w:val="Hyperlink"/>
          </w:rPr>
          <w:t xml:space="preserve">R Core Team, 2024</w:t>
        </w:r>
      </w:hyperlink>
      <w:r>
        <w:t xml:space="preserve">)</w:t>
      </w:r>
      <w:r>
        <w:t xml:space="preserve">. Within the final dataset,</w:t>
      </w:r>
      <w:r>
        <w:t xml:space="preserve"> </w:t>
      </w:r>
      <m:oMath>
        <m:r>
          <m:t>0.69</m:t>
        </m:r>
        <m:r>
          <m:rPr>
            <m:sty m:val="p"/>
          </m:rPr>
          <m:t>%</m:t>
        </m:r>
      </m:oMath>
      <w:r>
        <w:t xml:space="preserve"> </w:t>
      </w:r>
      <w:r>
        <w:t xml:space="preserve">of the data was missing, with all all missing values occurring within the educational attainment variable. To examine longitudinal patterns of cognitive transitions, we implemented a discrete time, first-order Markov model</w:t>
      </w:r>
      <w:r>
        <w:t xml:space="preserve"> </w:t>
      </w:r>
      <w:r>
        <w:t xml:space="preserve">(</w:t>
      </w:r>
      <w:hyperlink w:anchor="ref-braun2020">
        <w:r>
          <w:rPr>
            <w:rStyle w:val="Hyperlink"/>
          </w:rPr>
          <w:t xml:space="preserve">Braun et al., 2020</w:t>
        </w:r>
      </w:hyperlink>
      <w:r>
        <w:t xml:space="preserve">)</w:t>
      </w:r>
      <w:r>
        <w:t xml:space="preserve">. This framework estimates probabilities of transitioning between three discrete states: normal cognition (State 1), mild cognitive impairment (MCI; State 2), and dementia (State 3). The model relies on the Markov property, which assumes that the probability of transitioning to a future state depends only on the current state, not the full history of prior states.</w:t>
      </w:r>
    </w:p>
    <w:bookmarkStart w:id="42" w:name="model-specification"/>
    <w:p>
      <w:pPr>
        <w:pStyle w:val="Heading3"/>
      </w:pPr>
      <w:r>
        <w:t xml:space="preserve">Model specification</w:t>
      </w:r>
    </w:p>
    <w:p>
      <w:pPr>
        <w:pStyle w:val="FirstParagraph"/>
      </w:pPr>
      <w:r>
        <w:t xml:space="preserve">Formally, let</w:t>
      </w:r>
      <w:r>
        <w:t xml:space="preserve"> </w:t>
      </w:r>
      <m:oMath>
        <m:sSub>
          <m:e>
            <m:r>
              <m:t>X</m:t>
            </m:r>
          </m:e>
          <m:sub>
            <m:r>
              <m:t>t</m:t>
            </m:r>
          </m:sub>
        </m:sSub>
      </m:oMath>
      <w:r>
        <w:t xml:space="preserve"> </w:t>
      </w:r>
      <w:r>
        <w:t xml:space="preserve">denote an individual’s cognitive state at time</w:t>
      </w:r>
      <w:r>
        <w:t xml:space="preserve"> </w:t>
      </w:r>
      <m:oMath>
        <m:r>
          <m:t>t</m:t>
        </m:r>
      </m:oMath>
      <w:r>
        <w:t xml:space="preserve">, where</w:t>
      </w:r>
      <w:r>
        <w:t xml:space="preserve"> </w:t>
      </w:r>
      <m:oMath>
        <m:sSub>
          <m:e>
            <m:r>
              <m:t>X</m:t>
            </m:r>
          </m:e>
          <m:sub>
            <m:r>
              <m:t>t</m:t>
            </m:r>
          </m:sub>
        </m:sSub>
        <m:r>
          <m:rPr>
            <m:sty m:val="p"/>
          </m:rPr>
          <m:t>∈</m:t>
        </m:r>
        <m:r>
          <m:t>S</m:t>
        </m:r>
        <m:r>
          <m:rPr>
            <m:sty m:val="p"/>
          </m:rPr>
          <m:t>=</m:t>
        </m:r>
        <m:r>
          <m:rPr>
            <m:sty m:val="p"/>
          </m:rPr>
          <m:t>{</m:t>
        </m:r>
        <m:r>
          <m:t>1</m:t>
        </m:r>
        <m:r>
          <m:rPr>
            <m:sty m:val="p"/>
          </m:rPr>
          <m:t>,</m:t>
        </m:r>
        <m:r>
          <m:t>2</m:t>
        </m:r>
        <m:r>
          <m:rPr>
            <m:sty m:val="p"/>
          </m:rPr>
          <m:t>,</m:t>
        </m:r>
        <m:r>
          <m:t>3</m:t>
        </m:r>
        <m:r>
          <m:rPr>
            <m:sty m:val="p"/>
          </m:rPr>
          <m:t>}</m:t>
        </m:r>
      </m:oMath>
      <w:r>
        <w:t xml:space="preserve">. Under the Markov property, the probability of transitioning to state</w:t>
      </w:r>
      <w:r>
        <w:t xml:space="preserve"> </w:t>
      </w:r>
      <m:oMath>
        <m:r>
          <m:t>j</m:t>
        </m:r>
      </m:oMath>
      <w:r>
        <w:t xml:space="preserve"> </w:t>
      </w:r>
      <w:r>
        <w:t xml:space="preserve">at time</w:t>
      </w:r>
      <w:r>
        <w:t xml:space="preserve"> </w:t>
      </w:r>
      <m:oMath>
        <m:r>
          <m:t>t</m:t>
        </m:r>
        <m:r>
          <m:rPr>
            <m:sty m:val="p"/>
          </m:rPr>
          <m:t>+</m:t>
        </m:r>
        <m:r>
          <m:t>1</m:t>
        </m:r>
      </m:oMath>
      <w:r>
        <w:t xml:space="preserve"> </w:t>
      </w:r>
      <w:r>
        <w:t xml:space="preserve">depends only on state</w:t>
      </w:r>
      <w:r>
        <w:t xml:space="preserve"> </w:t>
      </w:r>
      <m:oMath>
        <m:r>
          <m:t>i</m:t>
        </m:r>
      </m:oMath>
      <w:r>
        <w:t xml:space="preserve"> </w:t>
      </w:r>
      <w:r>
        <w:t xml:space="preserve">at time</w:t>
      </w:r>
      <w:r>
        <w:t xml:space="preserve"> </w:t>
      </w:r>
      <m:oMath>
        <m:r>
          <m:t>t</m:t>
        </m:r>
      </m:oMath>
      <w:r>
        <w:t xml:space="preserve">, independent of all earlier states. We can write this conditional probability as:</w:t>
      </w:r>
    </w:p>
    <w:p>
      <w:pPr>
        <w:pStyle w:val="BodyText"/>
      </w:pPr>
      <m:oMathPara>
        <m:oMathParaPr>
          <m:jc m:val="center"/>
        </m:oMathParaPr>
        <m:oMath>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b>
                <m:e>
                  <m:r>
                    <m:t>X</m:t>
                  </m:r>
                </m:e>
                <m:sub>
                  <m:r>
                    <m:t>t</m:t>
                  </m:r>
                  <m:r>
                    <m:rPr>
                      <m:sty m:val="p"/>
                    </m:rPr>
                    <m:t>−</m:t>
                  </m:r>
                  <m:r>
                    <m:t>1</m:t>
                  </m:r>
                </m:sub>
              </m:sSub>
              <m:r>
                <m:rPr>
                  <m:sty m:val="p"/>
                </m:rPr>
                <m:t>=</m:t>
              </m:r>
              <m:sSub>
                <m:e>
                  <m:r>
                    <m:t>i</m:t>
                  </m:r>
                </m:e>
                <m:sub>
                  <m:r>
                    <m:t>t</m:t>
                  </m:r>
                  <m:r>
                    <m:rPr>
                      <m:sty m:val="p"/>
                    </m:rPr>
                    <m:t>−</m:t>
                  </m:r>
                  <m:r>
                    <m:t>1</m:t>
                  </m:r>
                </m:sub>
              </m:sSub>
              <m:r>
                <m:rPr>
                  <m:sty m:val="p"/>
                </m:rPr>
                <m:t>,</m:t>
              </m:r>
              <m:r>
                <m:rPr>
                  <m:sty m:val="p"/>
                </m:rPr>
                <m:t>…</m:t>
              </m:r>
              <m:sSub>
                <m:e>
                  <m:r>
                    <m:t>X</m:t>
                  </m:r>
                </m:e>
                <m:sub>
                  <m:r>
                    <m:t>0</m:t>
                  </m:r>
                </m:sub>
              </m:sSub>
              <m:r>
                <m:rPr>
                  <m:sty m:val="p"/>
                </m:rPr>
                <m:t>=</m:t>
              </m:r>
              <m:sSub>
                <m:e>
                  <m:r>
                    <m:t>i</m:t>
                  </m:r>
                </m:e>
                <m:sub>
                  <m:r>
                    <m:t>0</m:t>
                  </m:r>
                </m:sub>
              </m:sSub>
            </m:e>
          </m:d>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e>
          </m:d>
        </m:oMath>
      </m:oMathPara>
    </w:p>
    <w:p>
      <w:pPr>
        <w:pStyle w:val="FirstParagraph"/>
      </w:pPr>
      <w:r>
        <w:t xml:space="preserve">These conditional probabilities, denoted</w:t>
      </w:r>
      <w:r>
        <w:t xml:space="preserve"> </w:t>
      </w:r>
      <m:oMath>
        <m:sSub>
          <m:e>
            <m:r>
              <m:t>p</m:t>
            </m:r>
          </m:e>
          <m:sub>
            <m:r>
              <m:t>i</m:t>
            </m:r>
            <m:r>
              <m:t>j</m:t>
            </m:r>
          </m:sub>
        </m:sSub>
        <m:r>
          <m:rPr>
            <m:sty m:val="p"/>
          </m:rPr>
          <m:t>=</m:t>
        </m:r>
        <m:r>
          <m:t>P</m:t>
        </m:r>
        <m:r>
          <m:rPr>
            <m:sty m:val="p"/>
          </m:rPr>
          <m:t>(</m:t>
        </m:r>
        <m:sSub>
          <m:e>
            <m:r>
              <m:t>X</m:t>
            </m:r>
          </m:e>
          <m:sub>
            <m:r>
              <m:t>t</m:t>
            </m:r>
            <m:r>
              <m:rPr>
                <m:sty m:val="p"/>
              </m:rPr>
              <m:t>+</m:t>
            </m:r>
            <m:r>
              <m:t>1</m:t>
            </m:r>
          </m:sub>
        </m:sSub>
        <m:r>
          <m:rPr>
            <m:sty m:val="p"/>
          </m:rPr>
          <m:t>=</m:t>
        </m:r>
        <m:r>
          <m:t>j</m:t>
        </m:r>
        <m:r>
          <m:rPr>
            <m:sty m:val="p"/>
          </m:rPr>
          <m:t>|</m:t>
        </m:r>
        <m:sSub>
          <m:e>
            <m:r>
              <m:t>X</m:t>
            </m:r>
          </m:e>
          <m:sub>
            <m:r>
              <m:t>t</m:t>
            </m:r>
          </m:sub>
        </m:sSub>
        <m:r>
          <m:rPr>
            <m:sty m:val="p"/>
          </m:rPr>
          <m:t>=</m:t>
        </m:r>
        <m:r>
          <m:t>i</m:t>
        </m:r>
      </m:oMath>
      <w:r>
        <w:t xml:space="preserve"> </w:t>
      </w:r>
      <w:r>
        <w:t xml:space="preserve">are called transition probabilities and can be organised into a</w:t>
      </w:r>
      <w:r>
        <w:t xml:space="preserve"> </w:t>
      </w:r>
      <m:oMath>
        <m:r>
          <m:t>3</m:t>
        </m:r>
        <m:r>
          <m:rPr>
            <m:sty m:val="p"/>
          </m:rPr>
          <m:t>×</m:t>
        </m:r>
        <m:r>
          <m:t>3</m:t>
        </m:r>
      </m:oMath>
      <w:r>
        <w:t xml:space="preserve"> </w:t>
      </w:r>
      <w:r>
        <w:t xml:space="preserve">transition matrix</w:t>
      </w:r>
      <w:r>
        <w:t xml:space="preserve"> </w:t>
      </w:r>
      <m:oMath>
        <m:r>
          <m:t>P</m:t>
        </m:r>
      </m:oMath>
      <w:r>
        <w:t xml:space="preserve">:</w:t>
      </w:r>
    </w:p>
    <w:p>
      <w:pPr>
        <w:pStyle w:val="BodyText"/>
      </w:pPr>
      <m:oMathPara>
        <m:oMathParaPr>
          <m:jc m:val="center"/>
        </m:oMathParaPr>
        <m:oMath>
          <m:r>
            <m:t>P</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p</m:t>
                        </m:r>
                      </m:e>
                      <m:sub>
                        <m:r>
                          <m:t>11</m:t>
                        </m:r>
                      </m:sub>
                    </m:sSub>
                  </m:e>
                  <m:e>
                    <m:sSub>
                      <m:e>
                        <m:r>
                          <m:t>p</m:t>
                        </m:r>
                      </m:e>
                      <m:sub>
                        <m:r>
                          <m:t>12</m:t>
                        </m:r>
                      </m:sub>
                    </m:sSub>
                  </m:e>
                  <m:e>
                    <m:sSub>
                      <m:e>
                        <m:r>
                          <m:t>p</m:t>
                        </m:r>
                      </m:e>
                      <m:sub>
                        <m:r>
                          <m:t>13</m:t>
                        </m:r>
                      </m:sub>
                    </m:sSub>
                  </m:e>
                </m:mr>
                <m:mr>
                  <m:e>
                    <m:sSub>
                      <m:e>
                        <m:r>
                          <m:t>p</m:t>
                        </m:r>
                      </m:e>
                      <m:sub>
                        <m:r>
                          <m:t>21</m:t>
                        </m:r>
                      </m:sub>
                    </m:sSub>
                  </m:e>
                  <m:e>
                    <m:sSub>
                      <m:e>
                        <m:r>
                          <m:t>p</m:t>
                        </m:r>
                      </m:e>
                      <m:sub>
                        <m:r>
                          <m:t>22</m:t>
                        </m:r>
                      </m:sub>
                    </m:sSub>
                  </m:e>
                  <m:e>
                    <m:sSub>
                      <m:e>
                        <m:r>
                          <m:t>p</m:t>
                        </m:r>
                      </m:e>
                      <m:sub>
                        <m:r>
                          <m:t>23</m:t>
                        </m:r>
                      </m:sub>
                    </m:sSub>
                  </m:e>
                </m:mr>
                <m:mr>
                  <m:e>
                    <m:sSub>
                      <m:e>
                        <m:r>
                          <m:t>p</m:t>
                        </m:r>
                      </m:e>
                      <m:sub>
                        <m:r>
                          <m:t>31</m:t>
                        </m:r>
                      </m:sub>
                    </m:sSub>
                  </m:e>
                  <m:e>
                    <m:sSub>
                      <m:e>
                        <m:r>
                          <m:t>p</m:t>
                        </m:r>
                      </m:e>
                      <m:sub>
                        <m:r>
                          <m:t>32</m:t>
                        </m:r>
                      </m:sub>
                    </m:sSub>
                  </m:e>
                  <m:e>
                    <m:sSub>
                      <m:e>
                        <m:r>
                          <m:t>p</m:t>
                        </m:r>
                      </m:e>
                      <m:sub>
                        <m:r>
                          <m:t>33</m:t>
                        </m:r>
                      </m:sub>
                    </m:sSub>
                  </m:e>
                </m:mr>
                <m:mr>
                  <m:e/>
                </m:mr>
              </m:m>
            </m:e>
          </m:d>
        </m:oMath>
      </m:oMathPara>
    </w:p>
    <w:p>
      <w:pPr>
        <w:pStyle w:val="FirstParagraph"/>
      </w:pPr>
      <w:r>
        <w:t xml:space="preserve">wherein, each row represents the cognitive state at time</w:t>
      </w:r>
      <w:r>
        <w:t xml:space="preserve"> </w:t>
      </w:r>
      <m:oMath>
        <m:r>
          <m:t>t</m:t>
        </m:r>
      </m:oMath>
      <w:r>
        <w:t xml:space="preserve">, each column represents the cognitive state at time</w:t>
      </w:r>
      <w:r>
        <w:t xml:space="preserve"> </w:t>
      </w:r>
      <m:oMath>
        <m:r>
          <m:t>t</m:t>
        </m:r>
        <m:r>
          <m:rPr>
            <m:sty m:val="p"/>
          </m:rPr>
          <m:t>+</m:t>
        </m:r>
        <m:r>
          <m:t>1</m:t>
        </m:r>
      </m:oMath>
      <w:r>
        <w:t xml:space="preserve">, and each entry</w:t>
      </w:r>
      <w:r>
        <w:t xml:space="preserve"> </w:t>
      </w:r>
      <m:oMath>
        <m:sSub>
          <m:e>
            <m:r>
              <m:t>p</m:t>
            </m:r>
          </m:e>
          <m:sub>
            <m:r>
              <m:t>i</m:t>
            </m:r>
            <m:r>
              <m:t>j</m:t>
            </m:r>
          </m:sub>
        </m:sSub>
      </m:oMath>
      <w:r>
        <w:t xml:space="preserve"> </w:t>
      </w:r>
      <w:r>
        <w:t xml:space="preserve">represents the probability of transitioning from state</w:t>
      </w:r>
      <w:r>
        <w:t xml:space="preserve"> </w:t>
      </w:r>
      <m:oMath>
        <m:r>
          <m:t>i</m:t>
        </m:r>
      </m:oMath>
      <w:r>
        <w:t xml:space="preserve"> </w:t>
      </w:r>
      <w:r>
        <w:t xml:space="preserve">to state</w:t>
      </w:r>
      <w:r>
        <w:t xml:space="preserve"> </w:t>
      </w:r>
      <m:oMath>
        <m:r>
          <m:t>j</m:t>
        </m:r>
      </m:oMath>
      <w:r>
        <w:t xml:space="preserve">.</w:t>
      </w:r>
    </w:p>
    <w:bookmarkEnd w:id="42"/>
    <w:bookmarkStart w:id="43" w:name="non-stationary-transition-probabilities"/>
    <w:p>
      <w:pPr>
        <w:pStyle w:val="Heading3"/>
      </w:pPr>
      <w:r>
        <w:t xml:space="preserve">Non-stationary transition probabilities</w:t>
      </w:r>
    </w:p>
    <w:p>
      <w:pPr>
        <w:pStyle w:val="FirstParagraph"/>
      </w:pPr>
      <w:r>
        <w:t xml:space="preserve">In a stationary Markov model, transition probabilities</w:t>
      </w:r>
      <w:r>
        <w:t xml:space="preserve"> </w:t>
      </w:r>
      <m:oMath>
        <m:sSub>
          <m:e>
            <m:r>
              <m:t>p</m:t>
            </m:r>
          </m:e>
          <m:sub>
            <m:r>
              <m:t>i</m:t>
            </m:r>
            <m:r>
              <m:t>j</m:t>
            </m:r>
          </m:sub>
        </m:sSub>
      </m:oMath>
      <w:r>
        <w:t xml:space="preserve"> </w:t>
      </w:r>
      <w:r>
        <w:t xml:space="preserve">are assumed constant over time. However, cognitive transitions may vary with age, time since diagnosis, or other covariates. To account for this, we generalize to a non-stationary Markov model, where</w:t>
      </w:r>
      <w:r>
        <w:t xml:space="preserve"> </w:t>
      </w:r>
      <m:oMath>
        <m:sSubSup>
          <m:e>
            <m:r>
              <m:t>p</m:t>
            </m:r>
          </m:e>
          <m:sub>
            <m:r>
              <m:t>i</m:t>
            </m:r>
            <m:r>
              <m:t>j</m:t>
            </m:r>
          </m:sub>
          <m:sup>
            <m:d>
              <m:dPr>
                <m:begChr m:val="("/>
                <m:endChr m:val=")"/>
                <m:sepChr m:val=""/>
                <m:grow/>
              </m:dPr>
              <m:e>
                <m:r>
                  <m:t>t</m:t>
                </m:r>
              </m:e>
            </m:d>
          </m:sup>
        </m:sSubSup>
      </m:oMath>
      <w:r>
        <w:t xml:space="preserve"> </w:t>
      </w:r>
      <w:r>
        <w:t xml:space="preserve">depends on covariates</w:t>
      </w:r>
      <w:r>
        <w:t xml:space="preserve"> </w:t>
      </w:r>
      <m:oMath>
        <m:sSup>
          <m:e>
            <m:r>
              <m:rPr>
                <m:sty m:val="b"/>
              </m:rPr>
              <m:t>x</m:t>
            </m:r>
          </m:e>
          <m:sup>
            <m:d>
              <m:dPr>
                <m:begChr m:val="("/>
                <m:endChr m:val=")"/>
                <m:sepChr m:val=""/>
                <m:grow/>
              </m:dPr>
              <m:e>
                <m:r>
                  <m:t>t</m:t>
                </m:r>
              </m:e>
            </m:d>
          </m:sup>
        </m:sSup>
      </m:oMath>
    </w:p>
    <w:p>
      <w:pPr>
        <w:pStyle w:val="BodyText"/>
      </w:pPr>
      <m:oMathPara>
        <m:oMathParaPr>
          <m:jc m:val="center"/>
        </m:oMathParaPr>
        <m:oMath>
          <m:sSubSup>
            <m:e>
              <m:r>
                <m:t>p</m:t>
              </m:r>
            </m:e>
            <m:sub>
              <m:r>
                <m:t>i</m:t>
              </m:r>
              <m:r>
                <m:t>j</m:t>
              </m:r>
            </m:sub>
            <m:sup>
              <m:d>
                <m:dPr>
                  <m:begChr m:val="("/>
                  <m:endChr m:val=")"/>
                  <m:sepChr m:val=""/>
                  <m:grow/>
                </m:dPr>
                <m:e>
                  <m:r>
                    <m:t>t</m:t>
                  </m:r>
                </m:e>
              </m:d>
            </m:sup>
          </m:sSubSup>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p>
                <m:e>
                  <m:r>
                    <m:rPr>
                      <m:sty m:val="b"/>
                    </m:rPr>
                    <m:t>x</m:t>
                  </m:r>
                </m:e>
                <m:sup>
                  <m:d>
                    <m:dPr>
                      <m:begChr m:val="("/>
                      <m:endChr m:val=")"/>
                      <m:sepChr m:val=""/>
                      <m:grow/>
                    </m:dPr>
                    <m:e>
                      <m:r>
                        <m:t>t</m:t>
                      </m:r>
                    </m:e>
                  </m:d>
                </m:sup>
              </m:sSup>
            </m:e>
          </m:d>
        </m:oMath>
      </m:oMathPara>
    </w:p>
    <w:p>
      <w:pPr>
        <w:pStyle w:val="Heading4"/>
        <w:rPr>
          <w:vanish/>
          <w:specVanish/>
        </w:rPr>
      </w:pPr>
      <w:r>
        <w:t>Multinomial Logistic Regression.</w:t>
      </w:r>
      <w:r>
        <w:t xml:space="preserve"> </w:t>
      </w:r>
    </w:p>
    <w:p>
      <w:pPr>
        <w:pStyle w:val="FirstParagraph"/>
      </w:pPr>
      <w:r>
        <w:t xml:space="preserve">We model these time-varying transition probabilities using multinomial logistic regression. For a system with</w:t>
      </w:r>
      <w:r>
        <w:t xml:space="preserve"> </w:t>
      </w:r>
      <m:oMath>
        <m:r>
          <m:t>K</m:t>
        </m:r>
        <m:r>
          <m:rPr>
            <m:sty m:val="p"/>
          </m:rPr>
          <m:t>=</m:t>
        </m:r>
        <m:r>
          <m:t>3</m:t>
        </m:r>
      </m:oMath>
      <w:r>
        <w:t xml:space="preserve"> </w:t>
      </w:r>
      <w:r>
        <w:t xml:space="preserve">states (using state</w:t>
      </w:r>
      <w:r>
        <w:t xml:space="preserve"> </w:t>
      </w:r>
      <m:oMath>
        <m:r>
          <m:t>K</m:t>
        </m:r>
      </m:oMath>
      <w:r>
        <w:t xml:space="preserve"> </w:t>
      </w:r>
      <w:r>
        <w:t xml:space="preserve">as reference), the log-odds of transitioning to state</w:t>
      </w:r>
      <w:r>
        <w:t xml:space="preserve"> </w:t>
      </w:r>
      <m:oMath>
        <m:r>
          <m:t>j</m:t>
        </m:r>
      </m:oMath>
      <w:r>
        <w:t xml:space="preserve"> </w:t>
      </w:r>
      <w:r>
        <w:t xml:space="preserve">relative to state</w:t>
      </w:r>
      <w:r>
        <w:t xml:space="preserve"> </w:t>
      </w:r>
      <m:oMath>
        <m:r>
          <m:t>K</m:t>
        </m:r>
      </m:oMath>
      <w:r>
        <w:t xml:space="preserve"> </w:t>
      </w:r>
      <w:r>
        <w:t xml:space="preserve">are linear functions of covariates</w:t>
      </w:r>
      <w:r>
        <w:t xml:space="preserve"> </w:t>
      </w:r>
      <m:oMath>
        <m:r>
          <m:rPr>
            <m:sty m:val="b"/>
          </m:rPr>
          <m:t>x</m:t>
        </m:r>
        <m:d>
          <m:dPr>
            <m:begChr m:val="("/>
            <m:endChr m:val=")"/>
            <m:sepChr m:val=""/>
            <m:grow/>
          </m:dPr>
          <m:e>
            <m:r>
              <m:t>t</m:t>
            </m:r>
          </m:e>
        </m:d>
      </m:oMath>
      <w:r>
        <w:t xml:space="preserve">:</w:t>
      </w:r>
    </w:p>
    <w:p>
      <w:pPr>
        <w:pStyle w:val="BodyText"/>
      </w:pPr>
      <m:oMathPara>
        <m:oMathParaPr>
          <m:jc m:val="center"/>
        </m:oMathParaPr>
        <m:oMath>
          <m:r>
            <m:t>l</m:t>
          </m:r>
          <m:r>
            <m:t>o</m:t>
          </m:r>
          <m:r>
            <m:t>g</m:t>
          </m:r>
          <m:d>
            <m:dPr>
              <m:begChr m:val="("/>
              <m:endChr m:val=")"/>
              <m:sepChr m:val=""/>
              <m:grow/>
            </m:dPr>
            <m:e>
              <m:f>
                <m:fPr>
                  <m:type m:val="bar"/>
                </m:fPr>
                <m:num>
                  <m:sSubSup>
                    <m:e>
                      <m:r>
                        <m:t>p</m:t>
                      </m:r>
                    </m:e>
                    <m:sub>
                      <m:r>
                        <m:t>i</m:t>
                      </m:r>
                      <m:r>
                        <m:t>j</m:t>
                      </m:r>
                    </m:sub>
                    <m:sup>
                      <m:d>
                        <m:dPr>
                          <m:begChr m:val="("/>
                          <m:endChr m:val=")"/>
                          <m:sepChr m:val=""/>
                          <m:grow/>
                        </m:dPr>
                        <m:e>
                          <m:r>
                            <m:t>t</m:t>
                          </m:r>
                        </m:e>
                      </m:d>
                    </m:sup>
                  </m:sSubSup>
                </m:num>
                <m:den>
                  <m:sSubSup>
                    <m:e>
                      <m:r>
                        <m:t>p</m:t>
                      </m:r>
                    </m:e>
                    <m:sub>
                      <m:r>
                        <m:t>i</m:t>
                      </m:r>
                      <m:r>
                        <m:t>k</m:t>
                      </m:r>
                    </m:sub>
                    <m:sup>
                      <m:d>
                        <m:dPr>
                          <m:begChr m:val="("/>
                          <m:endChr m:val=")"/>
                          <m:sepChr m:val=""/>
                          <m:grow/>
                        </m:dPr>
                        <m:e>
                          <m:r>
                            <m:t>t</m:t>
                          </m:r>
                        </m:e>
                      </m:d>
                    </m:sup>
                  </m:sSubSup>
                </m:den>
              </m:f>
            </m:e>
          </m:d>
          <m:r>
            <m:rPr>
              <m:sty m:val="p"/>
            </m:rPr>
            <m:t>=</m:t>
          </m:r>
          <m:sSubSup>
            <m:e>
              <m:r>
                <m:t>α</m:t>
              </m:r>
            </m:e>
            <m:sub>
              <m:r>
                <m:t>j</m:t>
              </m:r>
            </m:sub>
            <m:sup>
              <m:d>
                <m:dPr>
                  <m:begChr m:val="("/>
                  <m:endChr m:val=")"/>
                  <m:sepChr m:val=""/>
                  <m:grow/>
                </m:dPr>
                <m:e>
                  <m:r>
                    <m:t>t</m:t>
                  </m:r>
                </m:e>
              </m:d>
            </m:sup>
          </m:sSubSup>
          <m:r>
            <m:rPr>
              <m:sty m:val="p"/>
            </m:rPr>
            <m:t>+</m:t>
          </m:r>
          <m:sSubSup>
            <m:e>
              <m:r>
                <m:t>β</m:t>
              </m:r>
            </m:e>
            <m:sub>
              <m:r>
                <m:t>j</m:t>
              </m:r>
            </m:sub>
            <m:sup>
              <m:r>
                <m:t>T</m:t>
              </m:r>
              <m:r>
                <m:t> </m:t>
              </m:r>
              <m:d>
                <m:dPr>
                  <m:begChr m:val="("/>
                  <m:endChr m:val=")"/>
                  <m:sepChr m:val=""/>
                  <m:grow/>
                </m:dPr>
                <m:e>
                  <m:r>
                    <m:t>t</m:t>
                  </m:r>
                </m:e>
              </m:d>
            </m:sup>
          </m:sSubSup>
          <m:sSup>
            <m:e>
              <m:r>
                <m:rPr>
                  <m:sty m:val="b"/>
                </m:rPr>
                <m:t>x</m:t>
              </m:r>
            </m:e>
            <m:sup>
              <m:d>
                <m:dPr>
                  <m:begChr m:val="("/>
                  <m:endChr m:val=")"/>
                  <m:sepChr m:val=""/>
                  <m:grow/>
                </m:dPr>
                <m:e>
                  <m:r>
                    <m:t>t</m:t>
                  </m:r>
                </m:e>
              </m:d>
            </m:sup>
          </m:sSup>
          <m:r>
            <m:t>  </m:t>
          </m:r>
          <m:r>
            <m:rPr>
              <m:nor/>
              <m:sty m:val="p"/>
            </m:rPr>
            <m:t>for </m:t>
          </m:r>
          <m:r>
            <m:t>j</m:t>
          </m:r>
          <m:r>
            <m:rPr>
              <m:sty m:val="p"/>
            </m:rPr>
            <m:t>=</m:t>
          </m:r>
          <m:r>
            <m:t>1</m:t>
          </m:r>
          <m:r>
            <m:rPr>
              <m:sty m:val="p"/>
            </m:rPr>
            <m:t>,</m:t>
          </m:r>
          <m:r>
            <m:rPr>
              <m:sty m:val="p"/>
            </m:rPr>
            <m:t>…</m:t>
          </m:r>
          <m:r>
            <m:t>K</m:t>
          </m:r>
          <m:r>
            <m:rPr>
              <m:sty m:val="p"/>
            </m:rPr>
            <m:t>−</m:t>
          </m:r>
          <m:r>
            <m:t>1</m:t>
          </m:r>
        </m:oMath>
      </m:oMathPara>
    </w:p>
    <w:p>
      <w:pPr>
        <w:pStyle w:val="FirstParagraph"/>
      </w:pPr>
      <w:r>
        <w:t xml:space="preserve">where,</w:t>
      </w:r>
      <w:r>
        <w:t xml:space="preserve"> </w:t>
      </w:r>
      <m:oMath>
        <m:sSubSup>
          <m:e>
            <m:r>
              <m:t>α</m:t>
            </m:r>
          </m:e>
          <m:sub>
            <m:r>
              <m:t>j</m:t>
            </m:r>
          </m:sub>
          <m:sup>
            <m:d>
              <m:dPr>
                <m:begChr m:val="("/>
                <m:endChr m:val=")"/>
                <m:sepChr m:val=""/>
                <m:grow/>
              </m:dPr>
              <m:e>
                <m:r>
                  <m:t>t</m:t>
                </m:r>
              </m:e>
            </m:d>
          </m:sup>
        </m:sSubSup>
      </m:oMath>
      <w:r>
        <w:t xml:space="preserve"> </w:t>
      </w:r>
      <w:r>
        <w:t xml:space="preserve">is the intercept for state</w:t>
      </w:r>
      <w:r>
        <w:t xml:space="preserve"> </w:t>
      </w:r>
      <m:oMath>
        <m:r>
          <m:t>j</m:t>
        </m:r>
      </m:oMath>
      <w:r>
        <w:t xml:space="preserve"> </w:t>
      </w:r>
      <w:r>
        <w:t xml:space="preserve">at time</w:t>
      </w:r>
      <w:r>
        <w:t xml:space="preserve"> </w:t>
      </w:r>
      <m:oMath>
        <m:r>
          <m:t>t</m:t>
        </m:r>
      </m:oMath>
      <w:r>
        <w:t xml:space="preserve">,</w:t>
      </w:r>
      <w:r>
        <w:t xml:space="preserve"> </w:t>
      </w:r>
      <m:oMath>
        <m:sSubSup>
          <m:e>
            <m:r>
              <m:t>β</m:t>
            </m:r>
          </m:e>
          <m:sub>
            <m:r>
              <m:t>j</m:t>
            </m:r>
          </m:sub>
          <m:sup>
            <m:d>
              <m:dPr>
                <m:begChr m:val="("/>
                <m:endChr m:val=")"/>
                <m:sepChr m:val=""/>
                <m:grow/>
              </m:dPr>
              <m:e>
                <m:r>
                  <m:t>t</m:t>
                </m:r>
              </m:e>
            </m:d>
          </m:sup>
        </m:sSubSup>
      </m:oMath>
      <w:r>
        <w:t xml:space="preserve"> </w:t>
      </w:r>
      <w:r>
        <w:t xml:space="preserve">is the vector of regression coefficients for state</w:t>
      </w:r>
      <w:r>
        <w:t xml:space="preserve"> </w:t>
      </w:r>
      <m:oMath>
        <m:r>
          <m:t>j</m:t>
        </m:r>
      </m:oMath>
      <w:r>
        <w:t xml:space="preserve"> </w:t>
      </w:r>
      <w:r>
        <w:t xml:space="preserve">at time</w:t>
      </w:r>
      <w:r>
        <w:t xml:space="preserve"> </w:t>
      </w:r>
      <m:oMath>
        <m:r>
          <m:t>t</m:t>
        </m:r>
      </m:oMath>
      <w:r>
        <w:t xml:space="preserve">, and</w:t>
      </w:r>
      <w:r>
        <w:t xml:space="preserve"> </w:t>
      </w:r>
      <m:oMath>
        <m:sSup>
          <m:e>
            <m:r>
              <m:rPr>
                <m:sty m:val="b"/>
              </m:rPr>
              <m:t>x</m:t>
            </m:r>
          </m:e>
          <m:sup>
            <m:d>
              <m:dPr>
                <m:begChr m:val="("/>
                <m:endChr m:val=")"/>
                <m:sepChr m:val=""/>
                <m:grow/>
              </m:dPr>
              <m:e>
                <m:r>
                  <m:t>t</m:t>
                </m:r>
              </m:e>
            </m:d>
          </m:sup>
        </m:sSup>
      </m:oMath>
      <w:r>
        <w:t xml:space="preserve"> </w:t>
      </w:r>
      <w:r>
        <w:t xml:space="preserve">is the vector of covariates at time</w:t>
      </w:r>
      <w:r>
        <w:t xml:space="preserve"> </w:t>
      </w:r>
      <m:oMath>
        <m:r>
          <m:t>t</m:t>
        </m:r>
      </m:oMath>
      <w:r>
        <w:t xml:space="preserve">. The model estimates the transition probabilities as a function of covariates, allowing us to assess how procrastination and other factors influence cognitive transitions.</w:t>
      </w:r>
    </w:p>
    <w:bookmarkEnd w:id="43"/>
    <w:bookmarkEnd w:id="44"/>
    <w:bookmarkEnd w:id="45"/>
    <w:bookmarkStart w:id="46" w:name="results"/>
    <w:p>
      <w:pPr>
        <w:pStyle w:val="Heading1"/>
      </w:pPr>
      <w:r>
        <w:t xml:space="preserve">Results</w:t>
      </w:r>
    </w:p>
    <w:p>
      <w:pPr>
        <w:pStyle w:val="FirstParagraph"/>
      </w:pPr>
      <w:r>
        <w:t xml:space="preserve">In our sample of</w:t>
      </w:r>
      <w:r>
        <w:t xml:space="preserve"> </w:t>
      </w:r>
      <m:oMath>
        <m:r>
          <m:t>903</m:t>
        </m:r>
      </m:oMath>
      <w:r>
        <w:t xml:space="preserve"> </w:t>
      </w:r>
      <w:r>
        <w:t xml:space="preserve">older American adults aged 50 years or older,</w:t>
      </w:r>
      <w:r>
        <w:t xml:space="preserve"> </w:t>
      </w:r>
      <m:oMath>
        <m:r>
          <m:t>63.01</m:t>
        </m:r>
        <m:r>
          <m:rPr>
            <m:sty m:val="p"/>
          </m:rPr>
          <m:t>%</m:t>
        </m:r>
      </m:oMath>
      <w:r>
        <w:t xml:space="preserve"> </w:t>
      </w:r>
      <w:r>
        <w:t xml:space="preserve">were female</w:t>
      </w:r>
      <w:r>
        <w:t xml:space="preserve"> </w:t>
      </w:r>
      <m:oMath>
        <m:d>
          <m:dPr>
            <m:begChr m:val="("/>
            <m:endChr m:val=")"/>
            <m:sepChr m:val=""/>
            <m:grow/>
          </m:dPr>
          <m:e>
            <m:r>
              <m:t>n</m:t>
            </m:r>
            <m:r>
              <m:rPr>
                <m:sty m:val="p"/>
              </m:rPr>
              <m:t>=</m:t>
            </m:r>
            <m:r>
              <m:t>569</m:t>
            </m:r>
          </m:e>
        </m:d>
      </m:oMath>
      <w:r>
        <w:t xml:space="preserve">, with a mean sample age of</w:t>
      </w:r>
      <w:r>
        <w:t xml:space="preserve"> </w:t>
      </w:r>
      <m:oMath>
        <m:r>
          <m:t>67.73</m:t>
        </m:r>
      </m:oMath>
      <w:r>
        <w:t xml:space="preserve"> </w:t>
      </w:r>
      <w:r>
        <w:t xml:space="preserve">years</w:t>
      </w:r>
      <w:r>
        <w:t xml:space="preserve"> </w:t>
      </w:r>
      <m:oMath>
        <m:d>
          <m:dPr>
            <m:begChr m:val="("/>
            <m:endChr m:val=")"/>
            <m:sepChr m:val=""/>
            <m:grow/>
          </m:dPr>
          <m:e>
            <m:r>
              <m:rPr>
                <m:sty m:val="p"/>
              </m:rPr>
              <m:t>±</m:t>
            </m:r>
            <m:r>
              <m:t>9.84</m:t>
            </m:r>
          </m:e>
        </m:d>
      </m:oMath>
      <w:r>
        <w:t xml:space="preserve">. At baseline,</w:t>
      </w:r>
      <w:r>
        <w:t xml:space="preserve"> </w:t>
      </w:r>
      <m:oMath>
        <m:r>
          <m:t>84.81</m:t>
        </m:r>
        <m:r>
          <m:rPr>
            <m:sty m:val="p"/>
          </m:rPr>
          <m:t>%</m:t>
        </m:r>
      </m:oMath>
      <w:r>
        <w:t xml:space="preserve"> </w:t>
      </w:r>
      <w:r>
        <w:t xml:space="preserve">of the sample was classified as having normal cognition,</w:t>
      </w:r>
      <w:r>
        <w:t xml:space="preserve"> </w:t>
      </w:r>
      <m:oMath>
        <m:r>
          <m:t>14.96</m:t>
        </m:r>
        <m:r>
          <m:rPr>
            <m:sty m:val="p"/>
          </m:rPr>
          <m:t>%</m:t>
        </m:r>
      </m:oMath>
      <w:r>
        <w:t xml:space="preserve"> </w:t>
      </w:r>
      <w:r>
        <w:t xml:space="preserve">as having MCI, and</w:t>
      </w:r>
      <w:r>
        <w:t xml:space="preserve"> </w:t>
      </w:r>
      <m:oMath>
        <m:r>
          <m:t>1.35</m:t>
        </m:r>
        <m:r>
          <m:rPr>
            <m:sty m:val="p"/>
          </m:rPr>
          <m:t>%</m:t>
        </m:r>
      </m:oMath>
      <w:r>
        <w:t xml:space="preserve"> </w:t>
      </w:r>
      <w:r>
        <w:t xml:space="preserve">as having dementia.</w:t>
      </w:r>
    </w:p>
    <w:p>
      <w:pPr>
        <w:pStyle w:val="BodyText"/>
      </w:pPr>
      <w:r>
        <w:t xml:space="preserve">The mean procrastination score was</w:t>
      </w:r>
      <w:r>
        <w:t xml:space="preserve"> </w:t>
      </w:r>
      <m:oMath>
        <m:r>
          <m:t>36.73</m:t>
        </m:r>
      </m:oMath>
      <w:r>
        <w:t xml:space="preserve"> </w:t>
      </w:r>
      <m:oMath>
        <m:d>
          <m:dPr>
            <m:begChr m:val="("/>
            <m:endChr m:val=")"/>
            <m:sepChr m:val=""/>
            <m:grow/>
          </m:dPr>
          <m:e>
            <m:r>
              <m:rPr>
                <m:sty m:val="p"/>
              </m:rPr>
              <m:t>±</m:t>
            </m:r>
            <m:r>
              <m:t>8.23</m:t>
            </m:r>
          </m:e>
        </m:d>
      </m:oMath>
      <w:r>
        <w:t xml:space="preserve">, with a range of</w:t>
      </w:r>
      <w:r>
        <w:t xml:space="preserve"> </w:t>
      </w:r>
      <m:oMath>
        <m:r>
          <m:t>12</m:t>
        </m:r>
        <m:r>
          <m:rPr>
            <m:sty m:val="p"/>
          </m:rPr>
          <m:t>−</m:t>
        </m:r>
        <m:r>
          <m:t>60</m:t>
        </m:r>
      </m:oMath>
      <w:r>
        <w:t xml:space="preserve">. The sample characteristics are presented in Table</w:t>
      </w:r>
      <w:r>
        <w:t xml:space="preserve"> </w:t>
      </w:r>
      <w:r>
        <w:t xml:space="preserve">.</w:t>
      </w:r>
    </w:p>
    <w:bookmarkEnd w:id="46"/>
    <w:bookmarkStart w:id="94" w:name="references"/>
    <w:p>
      <w:pPr>
        <w:pStyle w:val="Heading1"/>
      </w:pPr>
      <w:r>
        <w:t xml:space="preserve">References</w:t>
      </w:r>
    </w:p>
    <w:bookmarkStart w:id="93" w:name="refs"/>
    <w:bookmarkStart w:id="47"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47"/>
    <w:bookmarkStart w:id="48"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8"/>
    <w:bookmarkStart w:id="49"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9"/>
    <w:bookmarkStart w:id="51" w:name="ref-braun2020"/>
    <w:p>
      <w:pPr>
        <w:pStyle w:val="Bibliography"/>
      </w:pPr>
      <w:r>
        <w:t xml:space="preserve">Braun, A., Kurzmann, P., Höfler, M., Haber, G., &amp; Auer, S. (2020). Cost of care for persons with dementia: Using a discrete-time markov chain approach with administrative and clinical data from the dementia service centres in austria.</w:t>
      </w:r>
      <w:r>
        <w:t xml:space="preserve"> </w:t>
      </w:r>
      <w:r>
        <w:rPr>
          <w:i/>
          <w:iCs/>
        </w:rPr>
        <w:t xml:space="preserve">Health Economics Review</w:t>
      </w:r>
      <w:r>
        <w:t xml:space="preserve">,</w:t>
      </w:r>
      <w:r>
        <w:t xml:space="preserve"> </w:t>
      </w:r>
      <w:r>
        <w:rPr>
          <w:i/>
          <w:iCs/>
        </w:rPr>
        <w:t xml:space="preserve">10</w:t>
      </w:r>
      <w:r>
        <w:t xml:space="preserve">, 1–9.</w:t>
      </w:r>
      <w:r>
        <w:t xml:space="preserve"> </w:t>
      </w:r>
      <w:hyperlink r:id="rId50">
        <w:r>
          <w:rPr>
            <w:rStyle w:val="Hyperlink"/>
          </w:rPr>
          <w:t xml:space="preserve">https://doi.org/10.1186/s13561-020-00285-w</w:t>
        </w:r>
      </w:hyperlink>
    </w:p>
    <w:bookmarkEnd w:id="51"/>
    <w:bookmarkStart w:id="52"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52"/>
    <w:bookmarkStart w:id="54"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53">
        <w:r>
          <w:rPr>
            <w:rStyle w:val="Hyperlink"/>
          </w:rPr>
          <w:t xml:space="preserve">https://doi.org/10.3233/JAD-191092</w:t>
        </w:r>
      </w:hyperlink>
    </w:p>
    <w:bookmarkEnd w:id="54"/>
    <w:bookmarkStart w:id="56"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55">
        <w:r>
          <w:rPr>
            <w:rStyle w:val="Hyperlink"/>
          </w:rPr>
          <w:t xml:space="preserve">https://doi.org/10.3389/fneur.2021.765584</w:t>
        </w:r>
      </w:hyperlink>
    </w:p>
    <w:bookmarkEnd w:id="56"/>
    <w:bookmarkStart w:id="57"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7"/>
    <w:bookmarkStart w:id="58"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8"/>
    <w:bookmarkStart w:id="59"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9"/>
    <w:bookmarkStart w:id="60"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60"/>
    <w:bookmarkStart w:id="61"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61"/>
    <w:bookmarkStart w:id="62"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62"/>
    <w:bookmarkStart w:id="63"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63"/>
    <w:bookmarkStart w:id="64"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64"/>
    <w:bookmarkStart w:id="65"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65"/>
    <w:bookmarkStart w:id="66"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66"/>
    <w:bookmarkStart w:id="68"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7">
        <w:r>
          <w:rPr>
            <w:rStyle w:val="Hyperlink"/>
          </w:rPr>
          <w:t xml:space="preserve">https://hrs.isr.umich.edu/sites/default/files/biblio/ResponseRates_2017.pdf</w:t>
        </w:r>
      </w:hyperlink>
    </w:p>
    <w:bookmarkEnd w:id="68"/>
    <w:bookmarkStart w:id="69"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9"/>
    <w:bookmarkStart w:id="71"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70">
        <w:r>
          <w:rPr>
            <w:rStyle w:val="Hyperlink"/>
          </w:rPr>
          <w:t xml:space="preserve">https://doi.org/10.1080/13607863.2024.2345781</w:t>
        </w:r>
      </w:hyperlink>
    </w:p>
    <w:bookmarkEnd w:id="71"/>
    <w:bookmarkStart w:id="72"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72"/>
    <w:bookmarkStart w:id="73"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73"/>
    <w:bookmarkStart w:id="74"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74"/>
    <w:bookmarkStart w:id="76"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75">
        <w:r>
          <w:rPr>
            <w:rStyle w:val="Hyperlink"/>
          </w:rPr>
          <w:t xml:space="preserve">https://doi.org/10.1016/j.jalz.2012.11.007</w:t>
        </w:r>
      </w:hyperlink>
    </w:p>
    <w:bookmarkEnd w:id="76"/>
    <w:bookmarkStart w:id="78"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79"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79"/>
    <w:bookmarkStart w:id="80"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80"/>
    <w:bookmarkStart w:id="81"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81"/>
    <w:bookmarkStart w:id="82"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82"/>
    <w:bookmarkStart w:id="84"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83">
        <w:r>
          <w:rPr>
            <w:rStyle w:val="Hyperlink"/>
          </w:rPr>
          <w:t xml:space="preserve">https://doi.org/10.1002/alz.12448</w:t>
        </w:r>
      </w:hyperlink>
    </w:p>
    <w:bookmarkEnd w:id="84"/>
    <w:bookmarkStart w:id="85"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85"/>
    <w:bookmarkStart w:id="86"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86"/>
    <w:bookmarkStart w:id="87"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87"/>
    <w:bookmarkStart w:id="88"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8"/>
    <w:bookmarkStart w:id="89"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9"/>
    <w:bookmarkStart w:id="90"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90"/>
    <w:bookmarkStart w:id="91"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91"/>
    <w:bookmarkStart w:id="92"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92"/>
    <w:bookmarkEnd w:id="93"/>
    <w:bookmarkEnd w:id="9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83" Target="https://doi.org/10.1002/alz.12448" TargetMode="External" /><Relationship Type="http://schemas.openxmlformats.org/officeDocument/2006/relationships/hyperlink" Id="rId75" Target="https://doi.org/10.1016/j.jalz.2012.11.007" TargetMode="External" /><Relationship Type="http://schemas.openxmlformats.org/officeDocument/2006/relationships/hyperlink" Id="rId70" Target="https://doi.org/10.1080/13607863.2024.2345781" TargetMode="External" /><Relationship Type="http://schemas.openxmlformats.org/officeDocument/2006/relationships/hyperlink" Id="rId50" Target="https://doi.org/10.1186/s13561-020-00285-w" TargetMode="External" /><Relationship Type="http://schemas.openxmlformats.org/officeDocument/2006/relationships/hyperlink" Id="rId53" Target="https://doi.org/10.3233/JAD-191092" TargetMode="External" /><Relationship Type="http://schemas.openxmlformats.org/officeDocument/2006/relationships/hyperlink" Id="rId55" Target="https://doi.org/10.3389/fneur.2021.765584" TargetMode="External" /><Relationship Type="http://schemas.openxmlformats.org/officeDocument/2006/relationships/hyperlink" Id="rId95" Target="https://github.com/C-Monaghan/crisp-clam" TargetMode="External" /><Relationship Type="http://schemas.openxmlformats.org/officeDocument/2006/relationships/hyperlink" Id="rId67"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77" Target="https://www.R-project.org/"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alz.12448" TargetMode="External" /><Relationship Type="http://schemas.openxmlformats.org/officeDocument/2006/relationships/hyperlink" Id="rId75" Target="https://doi.org/10.1016/j.jalz.2012.11.007" TargetMode="External" /><Relationship Type="http://schemas.openxmlformats.org/officeDocument/2006/relationships/hyperlink" Id="rId70" Target="https://doi.org/10.1080/13607863.2024.2345781" TargetMode="External" /><Relationship Type="http://schemas.openxmlformats.org/officeDocument/2006/relationships/hyperlink" Id="rId50" Target="https://doi.org/10.1186/s13561-020-00285-w" TargetMode="External" /><Relationship Type="http://schemas.openxmlformats.org/officeDocument/2006/relationships/hyperlink" Id="rId53" Target="https://doi.org/10.3233/JAD-191092" TargetMode="External" /><Relationship Type="http://schemas.openxmlformats.org/officeDocument/2006/relationships/hyperlink" Id="rId55" Target="https://doi.org/10.3389/fneur.2021.765584" TargetMode="External" /><Relationship Type="http://schemas.openxmlformats.org/officeDocument/2006/relationships/hyperlink" Id="rId95" Target="https://github.com/C-Monaghan/crisp-clam" TargetMode="External" /><Relationship Type="http://schemas.openxmlformats.org/officeDocument/2006/relationships/hyperlink" Id="rId67"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77" Target="https://www.R-project.org/"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2025-04-09T10:08:24Z</dcterms:created>
  <dcterms:modified xsi:type="dcterms:W3CDTF">2025-04-09T10:08:24Z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