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initially by the progressive and typically irreversible decline of cognitive function, leading to memory loss, impaired reasoning, and difficulties with activities of daily living</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arises from various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difficulties with activities of daily living of dementia worldwide. In fact, targeting these factors could prevent up to 50% of dementia cases worldwide</w:t>
      </w:r>
      <w:r>
        <w:t xml:space="preserve"> </w:t>
      </w:r>
      <w:r>
        <w:t xml:space="preserve">(</w:t>
      </w:r>
      <w:hyperlink w:anchor="ref-Livingston2024">
        <w:r>
          <w:rPr>
            <w:rStyle w:val="Hyperlink"/>
          </w:rPr>
          <w:t xml:space="preserve">Livingston et al., 2024</w:t>
        </w:r>
      </w:hyperlink>
      <w:r>
        <w:t xml:space="preserve">)</w:t>
      </w:r>
      <w:r>
        <w:t xml:space="preserve">. The</w:t>
      </w:r>
      <w:r>
        <w:t xml:space="preserve"> </w:t>
      </w:r>
      <w:r>
        <w:rPr>
          <w:i/>
          <w:iCs/>
        </w:rPr>
        <w:t xml:space="preserve">Lancet</w:t>
      </w:r>
      <w:r>
        <w:t xml:space="preserve"> </w:t>
      </w:r>
      <w:r>
        <w:t xml:space="preserve">Commission highlights 14 key modifiable risks, emphasizing that dementia risk can be reduced at any age. Nevertheless, age remains the strongest non-modifiable risk factor, accounting for the largest proportion of dementia cases.</w:t>
      </w:r>
    </w:p>
    <w:p>
      <w:pPr>
        <w:pStyle w:val="BodyText"/>
      </w:pPr>
      <w:r>
        <w:t xml:space="preserve">Mild cognitive impairment (MCI) is a condition characterized by cognitive changes — such as memory lapses or difficulty making decisions — that exceed typical age-related decline</w:t>
      </w:r>
      <w:r>
        <w:t xml:space="preserve"> </w:t>
      </w:r>
      <w:r>
        <w:t xml:space="preserve">(</w:t>
      </w:r>
      <w:hyperlink w:anchor="ref-Gauthier2006">
        <w:r>
          <w:rPr>
            <w:rStyle w:val="Hyperlink"/>
          </w:rPr>
          <w:t xml:space="preserve">Gauthier et al., 2006</w:t>
        </w:r>
      </w:hyperlink>
      <w:r>
        <w:t xml:space="preserve">)</w:t>
      </w:r>
      <w:r>
        <w:t xml:space="preserve">. Prior studies suggest that 46% of people with MCI transition to a dementia state within three years and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However, progression is neither uniform nor inevitable. Heterogeneity in outcomes underscores the importance of distinguishing between two classes of predictors: causal risk factors (e.g. smoking, hypertension, or diabetes) which may accelerate dementia onset and are potential targets for intervention</w:t>
      </w:r>
      <w:r>
        <w:t xml:space="preserve"> </w:t>
      </w:r>
      <w:r>
        <w:t xml:space="preserve">(</w:t>
      </w:r>
      <w:hyperlink w:anchor="ref-Livingston2024">
        <w:r>
          <w:rPr>
            <w:rStyle w:val="Hyperlink"/>
          </w:rPr>
          <w:t xml:space="preserve">Livingston et al., 2024</w:t>
        </w:r>
      </w:hyperlink>
      <w:r>
        <w:t xml:space="preserve">)</w:t>
      </w:r>
      <w:r>
        <w:t xml:space="preserve">, and prodromal markers (e.g. memory loss, apathy, or struggles in daily living) that reflect early disease processes and may signal limited opportunities for prevention. While causal factors offer avenues for mitigating risk, prodromal features often emerge closer to irreversible pathological changes, highlighting the need for early detection and tailored interventions.</w:t>
      </w:r>
    </w:p>
    <w:p>
      <w:pPr>
        <w:pStyle w:val="BodyText"/>
      </w:pPr>
      <w:r>
        <w:t xml:space="preserve">Apathy, defined as a significant loss of motivation, distinct from depression and cognitive impairment</w:t>
      </w:r>
      <w:r>
        <w:t xml:space="preserve"> </w:t>
      </w:r>
      <w:r>
        <w:t xml:space="preserve">(</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r>
        <w:t xml:space="preserve">is among the most prevalent neuropsychiatric symptoms in both MCI and dementia</w:t>
      </w:r>
      <w:r>
        <w:t xml:space="preserve"> </w:t>
      </w:r>
      <w:r>
        <w:t xml:space="preserve">(</w:t>
      </w:r>
      <w:hyperlink w:anchor="ref-vanDalen2018">
        <w:r>
          <w:rPr>
            <w:rStyle w:val="Hyperlink"/>
          </w:rPr>
          <w:t xml:space="preserve">Dalen et al., 2018</w:t>
        </w:r>
      </w:hyperlink>
      <w:r>
        <w:t xml:space="preserve">;</w:t>
      </w:r>
      <w:r>
        <w:t xml:space="preserve"> </w:t>
      </w:r>
      <w:hyperlink w:anchor="ref-Donovan2014">
        <w:r>
          <w:rPr>
            <w:rStyle w:val="Hyperlink"/>
          </w:rPr>
          <w:t xml:space="preserve">Donovan et al., 2014</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Individuals with apathy exhibit reduced goal-directed behavior and a diminished desire to pursue rewards or pleasure</w:t>
      </w:r>
      <w:r>
        <w:t xml:space="preserve"> </w:t>
      </w:r>
      <w:r>
        <w:t xml:space="preserve">(</w:t>
      </w:r>
      <w:hyperlink w:anchor="ref-Fresnais2023">
        <w:r>
          <w:rPr>
            <w:rStyle w:val="Hyperlink"/>
          </w:rPr>
          <w:t xml:space="preserve">Fresnais et al., 2023</w:t>
        </w:r>
      </w:hyperlink>
      <w:r>
        <w:t xml:space="preserve">)</w:t>
      </w:r>
      <w:r>
        <w:t xml:space="preserve">. Importantly, apathy has been identified as a significant predictor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levels of apathy measured using both the</w:t>
      </w:r>
      <w:r>
        <w:t xml:space="preserve"> </w:t>
      </w:r>
      <w:r>
        <w:rPr>
          <w:i/>
          <w:iCs/>
        </w:rPr>
        <w:t xml:space="preserve">“Neuropsychiatric Inventory Questionnaire"</w:t>
      </w:r>
      <w:r>
        <w:t xml:space="preserve"> </w:t>
      </w:r>
      <w:r>
        <w:t xml:space="preserve">(</w:t>
      </w:r>
      <w:hyperlink w:anchor="ref-Kaufer2000">
        <w:r>
          <w:rPr>
            <w:rStyle w:val="Hyperlink"/>
          </w:rPr>
          <w:t xml:space="preserve">Kaufer et al., 2000</w:t>
        </w:r>
      </w:hyperlink>
      <w:r>
        <w:t xml:space="preserve">)</w:t>
      </w:r>
      <w:r>
        <w:t xml:space="preserve"> </w:t>
      </w:r>
      <w:r>
        <w:t xml:space="preserve">and</w:t>
      </w:r>
      <w:r>
        <w:t xml:space="preserve"> </w:t>
      </w:r>
      <w:r>
        <w:rPr>
          <w:i/>
          <w:iCs/>
        </w:rPr>
        <w:t xml:space="preserve">“Apathy Evaluation Scale"</w:t>
      </w:r>
      <w:r>
        <w:t xml:space="preserve"> </w:t>
      </w:r>
      <w:r>
        <w:t xml:space="preserve">(</w:t>
      </w:r>
      <w:hyperlink w:anchor="ref-Marin1991">
        <w:r>
          <w:rPr>
            <w:rStyle w:val="Hyperlink"/>
          </w:rPr>
          <w:t xml:space="preserve">Marin et al., 1991</w:t>
        </w:r>
      </w:hyperlink>
      <w:r>
        <w:t xml:space="preserve">)</w:t>
      </w:r>
      <w:r>
        <w:t xml:space="preserve"> </w:t>
      </w:r>
      <w:r>
        <w:t xml:space="preserve">have shown to be correlated with higher levels of amyloid burden and neurofibrillary tangles in individuals with dementia, suggesting a potential connection to underlying neuropathology</w:t>
      </w:r>
      <w:r>
        <w:t xml:space="preserve"> </w:t>
      </w:r>
      <w:r>
        <w:t xml:space="preserve">(</w:t>
      </w:r>
      <w:hyperlink w:anchor="ref-Donovan2014">
        <w:r>
          <w:rPr>
            <w:rStyle w:val="Hyperlink"/>
          </w:rPr>
          <w:t xml:space="preserve">Donovan et al., 2014</w:t>
        </w:r>
      </w:hyperlink>
      <w:r>
        <w:t xml:space="preserve">;</w:t>
      </w:r>
      <w:r>
        <w:t xml:space="preserve"> </w:t>
      </w:r>
      <w:hyperlink w:anchor="ref-Marshall2013">
        <w:r>
          <w:rPr>
            <w:rStyle w:val="Hyperlink"/>
          </w:rPr>
          <w:t xml:space="preserve">Marshall et al., 2013</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Although both behaviours indicate disruptions in goal-directed activity, they differ in their phenomenology: apathy is marked by diminished drive or emotional engagement, whereas procrastination typically involves intact intention but impaired follow-through. These differences suggest that procrastination may capture aspects of executive dysfunction and emotional regulation not fully accounted for by apathy alone.</w:t>
      </w:r>
    </w:p>
    <w:p>
      <w:pPr>
        <w:pStyle w:val="BodyText"/>
      </w:pPr>
      <w:r>
        <w:t xml:space="preserve">Both behaviours have been linked with impaired executive function, particularly in goal-oriented behaviours, decision-making, and self-regulation</w:t>
      </w:r>
      <w:r>
        <w:t xml:space="preserve"> </w:t>
      </w:r>
      <w:r>
        <w:t xml:space="preserve">(</w:t>
      </w:r>
      <w:hyperlink w:anchor="ref-Gustavson2015">
        <w:r>
          <w:rPr>
            <w:rStyle w:val="Hyperlink"/>
          </w:rPr>
          <w:t xml:space="preserve">Gustavson et al., 2015</w:t>
        </w:r>
      </w:hyperlink>
      <w:r>
        <w:t xml:space="preserve">;</w:t>
      </w:r>
      <w:r>
        <w:t xml:space="preserve"> </w:t>
      </w:r>
      <w:hyperlink w:anchor="ref-Kawagoe2017">
        <w:r>
          <w:rPr>
            <w:rStyle w:val="Hyperlink"/>
          </w:rPr>
          <w:t xml:space="preserve">Kawagoe et al., 2017</w:t>
        </w:r>
      </w:hyperlink>
      <w:r>
        <w:t xml:space="preserve">;</w:t>
      </w:r>
      <w:r>
        <w:t xml:space="preserve"> </w:t>
      </w:r>
      <w:hyperlink w:anchor="ref-steel2010">
        <w:r>
          <w:rPr>
            <w:rStyle w:val="Hyperlink"/>
          </w:rPr>
          <w:t xml:space="preserve">Steel, 2010</w:t>
        </w:r>
      </w:hyperlink>
      <w:r>
        <w:t xml:space="preserve">)</w:t>
      </w:r>
      <w:r>
        <w:t xml:space="preserve">, domains which are frequently compromised in individuals with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While apathy has been well-established as a prodromal marker and risk factor for dementia progression</w:t>
      </w:r>
      <w:r>
        <w:t xml:space="preserve"> </w:t>
      </w:r>
      <w:r>
        <w:t xml:space="preserve">(</w:t>
      </w:r>
      <w:hyperlink w:anchor="ref-vanDalen2018">
        <w:r>
          <w:rPr>
            <w:rStyle w:val="Hyperlink"/>
          </w:rPr>
          <w:t xml:space="preserve">Dalen et al., 2018</w:t>
        </w:r>
      </w:hyperlink>
      <w:r>
        <w:t xml:space="preserve">;</w:t>
      </w:r>
      <w:r>
        <w:t xml:space="preserve"> </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emerging evidence also suggests a potential link between procrastination and early cognitive decline. For instance,</w:t>
      </w:r>
      <w:r>
        <w:t xml:space="preserve"> </w:t>
      </w:r>
      <w:r>
        <w:t xml:space="preserve">Fridén (</w:t>
      </w:r>
      <w:hyperlink w:anchor="ref-Friden2020">
        <w:r>
          <w:rPr>
            <w:rStyle w:val="Hyperlink"/>
          </w:rPr>
          <w:t xml:space="preserve">2020</w:t>
        </w:r>
      </w:hyperlink>
      <w:r>
        <w:t xml:space="preserve">)</w:t>
      </w:r>
      <w:r>
        <w:t xml:space="preserve"> </w:t>
      </w:r>
      <w:r>
        <w:t xml:space="preserve">and</w:t>
      </w:r>
      <w:r>
        <w:t xml:space="preserve"> </w:t>
      </w:r>
      <w:r>
        <w:t xml:space="preserve">Zhang et al. (</w:t>
      </w:r>
      <w:hyperlink w:anchor="ref-Zhang2019">
        <w:r>
          <w:rPr>
            <w:rStyle w:val="Hyperlink"/>
          </w:rPr>
          <w:t xml:space="preserve">2019</w:t>
        </w:r>
      </w:hyperlink>
      <w:r>
        <w:t xml:space="preserve">)</w:t>
      </w:r>
      <w:r>
        <w:t xml:space="preserve"> </w:t>
      </w:r>
      <w:r>
        <w:t xml:space="preserve">highlight that chronic procrastination is associated with dysfunction in both the dorsolateral and ventromedial prefrontal cortices, regions of the brain known to not only show early degeneration in dementia</w:t>
      </w:r>
      <w:r>
        <w:t xml:space="preserve"> </w:t>
      </w:r>
      <w:r>
        <w:t xml:space="preserve">(</w:t>
      </w:r>
      <w:hyperlink w:anchor="ref-Joseph2021">
        <w:r>
          <w:rPr>
            <w:rStyle w:val="Hyperlink"/>
          </w:rPr>
          <w:t xml:space="preserve">Joseph et al., 2021</w:t>
        </w:r>
      </w:hyperlink>
      <w:r>
        <w:t xml:space="preserve">)</w:t>
      </w:r>
      <w:r>
        <w:t xml:space="preserve">, but also be linked to higher levels of apathy</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Furthermore,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 Such activities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w:t>
      </w:r>
      <w:hyperlink w:anchor="ref-Livingston2024">
        <w:r>
          <w:rPr>
            <w:rStyle w:val="Hyperlink"/>
          </w:rPr>
          <w:t xml:space="preserve">Livingston et al., 2024</w:t>
        </w:r>
      </w:hyperlink>
      <w:r>
        <w:t xml:space="preserve">)</w:t>
      </w:r>
      <w:r>
        <w:t xml:space="preserve">. By limiting engagement in such activities, procrastination may contribute to a self-reinforcing cycle of cognitive disengagement, potentially accelerating decline over time.</w:t>
      </w:r>
    </w:p>
    <w:p>
      <w:pPr>
        <w:pStyle w:val="BodyText"/>
      </w:pPr>
      <w:r>
        <w:t xml:space="preserve">Given these behavioural and neuro-cognitive parallels with apathy, it is worth exploring whether chronic procrastination could serve as an early behavioural marker for cognitive impairment, or even a risk factor for dementia, especially in older adults. By examining procrastination alongside apathy, we may uncover a broader behavioural phenotype indicative of early neuropathological changes. Crucially, procrastination may identify individuals with motivational or executive dysfunction who do not yet meet the threshold for apathy, offering a potentially valuable and earlier behavioural marker for neurodegenerative risk.</w:t>
      </w:r>
    </w:p>
    <w:p>
      <w:pPr>
        <w:pStyle w:val="BodyText"/>
      </w:pPr>
      <w:r>
        <w:t xml:space="preserve">Moreover, since age remains the strongest predictor of MCI and dementia, it is important to consider how behavioural predictors such as procrastination operate across the lifespan. Many established modifiable risk factors such as, hypertension, hearing loss, smoking, and social isolation, exert age-dependent effects, with certain factors carrying more weight at midlife than in late life</w:t>
      </w:r>
      <w:r>
        <w:t xml:space="preserve"> </w:t>
      </w:r>
      <w:r>
        <w:t xml:space="preserve">(</w:t>
      </w:r>
      <w:hyperlink w:anchor="ref-livingston2020">
        <w:r>
          <w:rPr>
            <w:rStyle w:val="Hyperlink"/>
          </w:rPr>
          <w:t xml:space="preserve">Livingston et al., 2020</w:t>
        </w:r>
      </w:hyperlink>
      <w:r>
        <w:t xml:space="preserve">,</w:t>
      </w:r>
      <w:r>
        <w:t xml:space="preserve"> </w:t>
      </w:r>
      <w:hyperlink w:anchor="ref-Livingston2024">
        <w:r>
          <w:rPr>
            <w:rStyle w:val="Hyperlink"/>
          </w:rPr>
          <w:t xml:space="preserve">2024</w:t>
        </w:r>
      </w:hyperlink>
      <w:r>
        <w:t xml:space="preserve">)</w:t>
      </w:r>
      <w:r>
        <w:t xml:space="preserve">. In light of this, we sought to explore whether procrastination also demonstrates an age-dependent risk profile. Understanding how procrastination interacts with age may help clarify its role in the aetiology of cognitive decline and identify windows of opportunity for targeted intervention.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(a) assess group differences in procrastination levels across the normal cognition, MCI, and dementia groups, and b) test the hypotheses that higher levels of procrastination would be associated with an increased probability of transitioning from normal cognitive function or MCI to dementia.</w:t>
      </w:r>
    </w:p>
    <w:bookmarkEnd w:id="36"/>
    <w:bookmarkStart w:id="42"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biennial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missing procrastination data</w:t>
      </w:r>
      <w:r>
        <w:t xml:space="preserve"> </w:t>
      </w:r>
      <m:oMath>
        <m:d>
          <m:dPr>
            <m:begChr m:val="("/>
            <m:endChr m:val=")"/>
            <m:sepChr m:val=""/>
            <m:grow/>
          </m:dPr>
          <m:e>
            <m:r>
              <m:t>n</m:t>
            </m:r>
            <m:r>
              <m:rPr>
                <m:sty m:val="p"/>
              </m:rPr>
              <m:t>=</m:t>
            </m:r>
            <m:r>
              <m:t>4</m:t>
            </m:r>
          </m:e>
        </m:d>
      </m:oMath>
      <w:r>
        <w:t xml:space="preserve">, and those under 50 years of age</w:t>
      </w:r>
      <w:r>
        <w:t xml:space="preserve"> </w:t>
      </w:r>
      <m:oMath>
        <m:d>
          <m:dPr>
            <m:begChr m:val="("/>
            <m:endChr m:val=")"/>
            <m:sepChr m:val=""/>
            <m:grow/>
          </m:dPr>
          <m:e>
            <m:r>
              <m:t>n</m:t>
            </m:r>
            <m:r>
              <m:rPr>
                <m:sty m:val="p"/>
              </m:rPr>
              <m:t>=</m:t>
            </m:r>
            <m:r>
              <m:t>16</m:t>
            </m:r>
          </m:e>
        </m:d>
      </m:oMath>
      <w:r>
        <w:t xml:space="preserve">. This resulted in a final analytic sample of</w:t>
      </w:r>
      <w:r>
        <w:t xml:space="preserve"> </w:t>
      </w:r>
      <m:oMath>
        <m:r>
          <m:t>903</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Yu2013">
        <w:r>
          <w:rPr>
            <w:rStyle w:val="Hyperlink"/>
          </w:rPr>
          <w:t xml:space="preserve">Yu et al., 2013</w:t>
        </w:r>
      </w:hyperlink>
      <w:r>
        <w:t xml:space="preserve">;</w:t>
      </w:r>
      <w:r>
        <w:t xml:space="preserve"> </w:t>
      </w:r>
      <w:hyperlink w:anchor="ref-monaghan2024a">
        <w:r>
          <w:rPr>
            <w:rStyle w:val="Hyperlink"/>
            <w:b/>
            <w:bCs/>
          </w:rPr>
          <w:t xml:space="preserve">monaghan2024a?</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End w:id="42"/>
    <w:bookmarkStart w:id="90" w:name="references"/>
    <w:p>
      <w:pPr>
        <w:pStyle w:val="Heading1"/>
      </w:pPr>
      <w:r>
        <w:t xml:space="preserve">References</w:t>
      </w:r>
    </w:p>
    <w:bookmarkStart w:id="89" w:name="refs"/>
    <w:bookmarkStart w:id="43"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3"/>
    <w:bookmarkStart w:id="44"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4"/>
    <w:bookmarkStart w:id="45"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45"/>
    <w:bookmarkStart w:id="47"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46">
        <w:r>
          <w:rPr>
            <w:rStyle w:val="Hyperlink"/>
          </w:rPr>
          <w:t xml:space="preserve">https://doi.org/10.3233/JAD-191092</w:t>
        </w:r>
      </w:hyperlink>
    </w:p>
    <w:bookmarkEnd w:id="47"/>
    <w:bookmarkStart w:id="49"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48">
        <w:r>
          <w:rPr>
            <w:rStyle w:val="Hyperlink"/>
          </w:rPr>
          <w:t xml:space="preserve">https://doi.org/10.3389/fneur.2021.765584</w:t>
        </w:r>
      </w:hyperlink>
    </w:p>
    <w:bookmarkEnd w:id="49"/>
    <w:bookmarkStart w:id="50"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0"/>
    <w:bookmarkStart w:id="51"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1"/>
    <w:bookmarkStart w:id="52"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2"/>
    <w:bookmarkStart w:id="53" w:name="ref-Donovan2014"/>
    <w:p>
      <w:pPr>
        <w:pStyle w:val="Bibliography"/>
      </w:pPr>
      <w:r>
        <w:t xml:space="preserve">Donovan, N. J., Wadsworth, L. P., Lorius, N., Locascio, J. J., Rentz, D. M., Johnson, K. A., Sperling, R. A., Marshall, G. A., Initiative, A. D. N., et al. (2014). Regional cortical thinning predicts worsening apathy and hallucinations across the alzheimer disease spectrum.</w:t>
      </w:r>
      <w:r>
        <w:t xml:space="preserve"> </w:t>
      </w:r>
      <w:r>
        <w:rPr>
          <w:i/>
          <w:iCs/>
        </w:rPr>
        <w:t xml:space="preserve">The American Journal of Geriatric Psychiatry</w:t>
      </w:r>
      <w:r>
        <w:t xml:space="preserve">,</w:t>
      </w:r>
      <w:r>
        <w:t xml:space="preserve"> </w:t>
      </w:r>
      <w:r>
        <w:rPr>
          <w:i/>
          <w:iCs/>
        </w:rPr>
        <w:t xml:space="preserve">22</w:t>
      </w:r>
      <w:r>
        <w:t xml:space="preserve">(11), 1168–1179.</w:t>
      </w:r>
    </w:p>
    <w:bookmarkEnd w:id="53"/>
    <w:bookmarkStart w:id="54"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54"/>
    <w:bookmarkStart w:id="55"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55"/>
    <w:bookmarkStart w:id="56"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56"/>
    <w:bookmarkStart w:id="57"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57"/>
    <w:bookmarkStart w:id="58"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58"/>
    <w:bookmarkStart w:id="59"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59"/>
    <w:bookmarkStart w:id="61" w:name="ref-Gauthier2006"/>
    <w:p>
      <w:pPr>
        <w:pStyle w:val="Bibliography"/>
      </w:pPr>
      <w:r>
        <w:t xml:space="preserve">Gauthier, S., Reisberg, B., Zaudig, M., Petersen, R. C., Ritchie, K., Broich, K., Belleville, S., Brodaty, H., Bennett, D., Chertkow, H., Cummings, J. L., de Leon, M., Feldman, H., Ganguli, M., Hampel, H., Scheltens, P., Tierney, M. C., Whitehouse, P., &amp; Winblad, B. (2006). Mild cognitive impairment.</w:t>
      </w:r>
      <w:r>
        <w:t xml:space="preserve"> </w:t>
      </w:r>
      <w:r>
        <w:rPr>
          <w:i/>
          <w:iCs/>
        </w:rPr>
        <w:t xml:space="preserve">The Lancet</w:t>
      </w:r>
      <w:r>
        <w:t xml:space="preserve">,</w:t>
      </w:r>
      <w:r>
        <w:t xml:space="preserve"> </w:t>
      </w:r>
      <w:r>
        <w:rPr>
          <w:i/>
          <w:iCs/>
        </w:rPr>
        <w:t xml:space="preserve">367</w:t>
      </w:r>
      <w:r>
        <w:t xml:space="preserve">(9518), 1262–1270.</w:t>
      </w:r>
      <w:r>
        <w:t xml:space="preserve"> </w:t>
      </w:r>
      <w:hyperlink r:id="rId60">
        <w:r>
          <w:rPr>
            <w:rStyle w:val="Hyperlink"/>
          </w:rPr>
          <w:t xml:space="preserve">https://doi.org/10.1016/S0140-6736(06)68542-5</w:t>
        </w:r>
      </w:hyperlink>
    </w:p>
    <w:bookmarkEnd w:id="61"/>
    <w:bookmarkStart w:id="62" w:name="ref-Gustavson2015"/>
    <w:p>
      <w:pPr>
        <w:pStyle w:val="Bibliography"/>
      </w:pPr>
      <w:r>
        <w:t xml:space="preserve">Gustavson, D. E., Miyake, A., Hewitt, J. K., &amp; Friedman, N. P. (2015). Understanding the cognitive and genetic underpinnings of procrastination: Evidence for shared genetic influences with goal management and executive function abilities.</w:t>
      </w:r>
      <w:r>
        <w:t xml:space="preserve"> </w:t>
      </w:r>
      <w:r>
        <w:rPr>
          <w:i/>
          <w:iCs/>
        </w:rPr>
        <w:t xml:space="preserve">Journal of Experimental Psychology: General</w:t>
      </w:r>
      <w:r>
        <w:t xml:space="preserve">,</w:t>
      </w:r>
      <w:r>
        <w:t xml:space="preserve"> </w:t>
      </w:r>
      <w:r>
        <w:rPr>
          <w:i/>
          <w:iCs/>
        </w:rPr>
        <w:t xml:space="preserve">144</w:t>
      </w:r>
      <w:r>
        <w:t xml:space="preserve">(6), 1063.</w:t>
      </w:r>
    </w:p>
    <w:bookmarkEnd w:id="62"/>
    <w:bookmarkStart w:id="64"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3">
        <w:r>
          <w:rPr>
            <w:rStyle w:val="Hyperlink"/>
          </w:rPr>
          <w:t xml:space="preserve">https://hrs.isr.umich.edu/sites/default/files/biblio/ResponseRates_2017.pdf</w:t>
        </w:r>
      </w:hyperlink>
    </w:p>
    <w:bookmarkEnd w:id="64"/>
    <w:bookmarkStart w:id="65" w:name="ref-Joseph2021"/>
    <w:p>
      <w:pPr>
        <w:pStyle w:val="Bibliography"/>
      </w:pPr>
      <w:r>
        <w:t xml:space="preserve">Joseph, S., Knezevic, D., Zomorrodi, R., Blumberger, D. M., Daskalakis, Z. J., Mulsant, B. H., Pollock, B. G., Voineskos, A., Wang, W., Rajji, T. K., et al. (2021). Dorsolateral prefrontal cortex excitability abnormalities in alzheimer’s dementia: Findings from transcranial magnetic stimulation and electroencephalography study.</w:t>
      </w:r>
      <w:r>
        <w:t xml:space="preserve"> </w:t>
      </w:r>
      <w:r>
        <w:rPr>
          <w:i/>
          <w:iCs/>
        </w:rPr>
        <w:t xml:space="preserve">International Journal of Psychophysiology</w:t>
      </w:r>
      <w:r>
        <w:t xml:space="preserve">,</w:t>
      </w:r>
      <w:r>
        <w:t xml:space="preserve"> </w:t>
      </w:r>
      <w:r>
        <w:rPr>
          <w:i/>
          <w:iCs/>
        </w:rPr>
        <w:t xml:space="preserve">169</w:t>
      </w:r>
      <w:r>
        <w:t xml:space="preserve">, 55–62.</w:t>
      </w:r>
    </w:p>
    <w:bookmarkEnd w:id="65"/>
    <w:bookmarkStart w:id="66" w:name="ref-Kaufer2000"/>
    <w:p>
      <w:pPr>
        <w:pStyle w:val="Bibliography"/>
      </w:pPr>
      <w:r>
        <w:t xml:space="preserve">Kaufer, D. I., Cummings, J. L., Ketchel, P., Smith, V., MacMillan, A., Shelley, T., Lopez, O. L., &amp; DeKosky, S. T. (2000). Validation of the NPI-q, a brief clinical form of the neuropsychiatric inventory.</w:t>
      </w:r>
      <w:r>
        <w:t xml:space="preserve"> </w:t>
      </w:r>
      <w:r>
        <w:rPr>
          <w:i/>
          <w:iCs/>
        </w:rPr>
        <w:t xml:space="preserve">The Journal of Neuropsychiatry and Clinical Neurosciences</w:t>
      </w:r>
      <w:r>
        <w:t xml:space="preserve">,</w:t>
      </w:r>
      <w:r>
        <w:t xml:space="preserve"> </w:t>
      </w:r>
      <w:r>
        <w:rPr>
          <w:i/>
          <w:iCs/>
        </w:rPr>
        <w:t xml:space="preserve">12</w:t>
      </w:r>
      <w:r>
        <w:t xml:space="preserve">(2), 233–239.</w:t>
      </w:r>
    </w:p>
    <w:bookmarkEnd w:id="66"/>
    <w:bookmarkStart w:id="67" w:name="ref-Kawagoe2017"/>
    <w:p>
      <w:pPr>
        <w:pStyle w:val="Bibliography"/>
      </w:pPr>
      <w:r>
        <w:t xml:space="preserve">Kawagoe, T., Onoda, K., &amp; Yamaguchi, S. (2017). Apathy and executive function in healthy elderly—resting state fMRI study.</w:t>
      </w:r>
      <w:r>
        <w:t xml:space="preserve"> </w:t>
      </w:r>
      <w:r>
        <w:rPr>
          <w:i/>
          <w:iCs/>
        </w:rPr>
        <w:t xml:space="preserve">Frontiers in Aging Neuroscience</w:t>
      </w:r>
      <w:r>
        <w:t xml:space="preserve">,</w:t>
      </w:r>
      <w:r>
        <w:t xml:space="preserve"> </w:t>
      </w:r>
      <w:r>
        <w:rPr>
          <w:i/>
          <w:iCs/>
        </w:rPr>
        <w:t xml:space="preserve">9</w:t>
      </w:r>
      <w:r>
        <w:t xml:space="preserve">, 124.</w:t>
      </w:r>
    </w:p>
    <w:bookmarkEnd w:id="67"/>
    <w:bookmarkStart w:id="68"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8"/>
    <w:bookmarkStart w:id="70" w:name="ref-Livingston2024"/>
    <w:p>
      <w:pPr>
        <w:pStyle w:val="Bibliography"/>
      </w:pPr>
      <w:r>
        <w:t xml:space="preserve">Livingston, G., Huntley, J., Liu, K. Y., Costafreda, S. G., Selbæk, G., Alladi, S., Ames, D., Banerjee, S., Burns, A., Brayne, C., Fox, N. C., Ferri, C. P., Gitlin, L. N., Howard, R., Kales, H. C., Kivimäki, M., Larson, E. B., Nakasujja, N., Rockwood, K., … Mukadam, N. (2024). Dementia prevention, intervention, and care: 2024 report of the</w:t>
      </w:r>
      <w:r>
        <w:t xml:space="preserve"> </w:t>
      </w:r>
      <w:r>
        <w:t xml:space="preserve">Lancet</w:t>
      </w:r>
      <w:r>
        <w:t xml:space="preserve"> </w:t>
      </w:r>
      <w:r>
        <w:t xml:space="preserve">standing</w:t>
      </w:r>
      <w:r>
        <w:t xml:space="preserve"> </w:t>
      </w:r>
      <w:r>
        <w:t xml:space="preserve">Commission</w:t>
      </w:r>
      <w:r>
        <w:t xml:space="preserve">.</w:t>
      </w:r>
      <w:r>
        <w:t xml:space="preserve"> </w:t>
      </w:r>
      <w:r>
        <w:rPr>
          <w:i/>
          <w:iCs/>
        </w:rPr>
        <w:t xml:space="preserve">The Lancet</w:t>
      </w:r>
      <w:r>
        <w:t xml:space="preserve">,</w:t>
      </w:r>
      <w:r>
        <w:t xml:space="preserve"> </w:t>
      </w:r>
      <w:r>
        <w:rPr>
          <w:i/>
          <w:iCs/>
        </w:rPr>
        <w:t xml:space="preserve">404</w:t>
      </w:r>
      <w:r>
        <w:t xml:space="preserve">(10452), 572–628.</w:t>
      </w:r>
      <w:r>
        <w:t xml:space="preserve"> </w:t>
      </w:r>
      <w:hyperlink r:id="rId69">
        <w:r>
          <w:rPr>
            <w:rStyle w:val="Hyperlink"/>
          </w:rPr>
          <w:t xml:space="preserve">https://doi.org/10.1016/S0140-6736(24)01296-0</w:t>
        </w:r>
      </w:hyperlink>
    </w:p>
    <w:bookmarkEnd w:id="70"/>
    <w:bookmarkStart w:id="71" w:name="ref-livingston2020"/>
    <w:p>
      <w:pPr>
        <w:pStyle w:val="Bibliography"/>
      </w:pPr>
      <w:r>
        <w:t xml:space="preserve">Livingston, G., Huntley, J., Sommerlad, A., Ames, D., Ballard, C., Banerjee, S., Brayne, C., Burns, A., Cohen-Mansfield, J., Cooper, C., et al. (2020). Dementia prevention, intervention, and care: 2020 report of the lancet commission.</w:t>
      </w:r>
      <w:r>
        <w:t xml:space="preserve"> </w:t>
      </w:r>
      <w:r>
        <w:rPr>
          <w:i/>
          <w:iCs/>
        </w:rPr>
        <w:t xml:space="preserve">The Lancet</w:t>
      </w:r>
      <w:r>
        <w:t xml:space="preserve">,</w:t>
      </w:r>
      <w:r>
        <w:t xml:space="preserve"> </w:t>
      </w:r>
      <w:r>
        <w:rPr>
          <w:i/>
          <w:iCs/>
        </w:rPr>
        <w:t xml:space="preserve">396</w:t>
      </w:r>
      <w:r>
        <w:t xml:space="preserve">(10248), 413–446.</w:t>
      </w:r>
    </w:p>
    <w:bookmarkEnd w:id="71"/>
    <w:bookmarkStart w:id="72" w:name="ref-Marin1991"/>
    <w:p>
      <w:pPr>
        <w:pStyle w:val="Bibliography"/>
      </w:pPr>
      <w:r>
        <w:t xml:space="preserve">Marin, R. S., Biedrzycki, R. C., &amp; Firinciogullari, S. (1991). Reliability and validity of the apathy evaluation scale.</w:t>
      </w:r>
      <w:r>
        <w:t xml:space="preserve"> </w:t>
      </w:r>
      <w:r>
        <w:rPr>
          <w:i/>
          <w:iCs/>
        </w:rPr>
        <w:t xml:space="preserve">Psychiatry Research</w:t>
      </w:r>
      <w:r>
        <w:t xml:space="preserve">,</w:t>
      </w:r>
      <w:r>
        <w:t xml:space="preserve"> </w:t>
      </w:r>
      <w:r>
        <w:rPr>
          <w:i/>
          <w:iCs/>
        </w:rPr>
        <w:t xml:space="preserve">38</w:t>
      </w:r>
      <w:r>
        <w:t xml:space="preserve">(2), 143–162.</w:t>
      </w:r>
    </w:p>
    <w:bookmarkEnd w:id="72"/>
    <w:bookmarkStart w:id="73" w:name="ref-Marshall2013"/>
    <w:p>
      <w:pPr>
        <w:pStyle w:val="Bibliography"/>
      </w:pPr>
      <w:r>
        <w:t xml:space="preserve">Marshall, G. A., Donovan, N. J., Lorius, N., Gidicsin, C. M., Maye, J., Pepin, L. C., Becker, J. A., Amariglio, R. E., Rentz, D. M., Sperling, R. A., et al. (2013). Apathy is associated with increased amyloid burden in mild cognitive impairment.</w:t>
      </w:r>
      <w:r>
        <w:t xml:space="preserve"> </w:t>
      </w:r>
      <w:r>
        <w:rPr>
          <w:i/>
          <w:iCs/>
        </w:rPr>
        <w:t xml:space="preserve">The Journal of Neuropsychiatry and Clinical Neurosciences</w:t>
      </w:r>
      <w:r>
        <w:t xml:space="preserve">,</w:t>
      </w:r>
      <w:r>
        <w:t xml:space="preserve"> </w:t>
      </w:r>
      <w:r>
        <w:rPr>
          <w:i/>
          <w:iCs/>
        </w:rPr>
        <w:t xml:space="preserve">25</w:t>
      </w:r>
      <w:r>
        <w:t xml:space="preserve">(4), 302–307.</w:t>
      </w:r>
    </w:p>
    <w:bookmarkEnd w:id="73"/>
    <w:bookmarkStart w:id="74"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74"/>
    <w:bookmarkStart w:id="76"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75">
        <w:r>
          <w:rPr>
            <w:rStyle w:val="Hyperlink"/>
          </w:rPr>
          <w:t xml:space="preserve">https://doi.org/10.1016/j.jalz.2012.11.007</w:t>
        </w:r>
      </w:hyperlink>
    </w:p>
    <w:bookmarkEnd w:id="76"/>
    <w:bookmarkStart w:id="77"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77"/>
    <w:bookmarkStart w:id="78"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78"/>
    <w:bookmarkStart w:id="79"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79"/>
    <w:bookmarkStart w:id="81"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80">
        <w:r>
          <w:rPr>
            <w:rStyle w:val="Hyperlink"/>
          </w:rPr>
          <w:t xml:space="preserve">https://doi.org/10.1002/alz.12448</w:t>
        </w:r>
      </w:hyperlink>
    </w:p>
    <w:bookmarkEnd w:id="81"/>
    <w:bookmarkStart w:id="82"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82"/>
    <w:bookmarkStart w:id="83"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83"/>
    <w:bookmarkStart w:id="84"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4"/>
    <w:bookmarkStart w:id="85"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5"/>
    <w:bookmarkStart w:id="86"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86"/>
    <w:bookmarkStart w:id="87"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87"/>
    <w:bookmarkStart w:id="88"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88"/>
    <w:bookmarkEnd w:id="89"/>
    <w:bookmarkEnd w:id="9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80" Target="https://doi.org/10.1002/alz.12448" TargetMode="External" /><Relationship Type="http://schemas.openxmlformats.org/officeDocument/2006/relationships/hyperlink" Id="rId60" Target="https://doi.org/10.1016/S0140-6736(06)68542-5" TargetMode="External" /><Relationship Type="http://schemas.openxmlformats.org/officeDocument/2006/relationships/hyperlink" Id="rId69" Target="https://doi.org/10.1016/S0140-6736(24)01296-0" TargetMode="External" /><Relationship Type="http://schemas.openxmlformats.org/officeDocument/2006/relationships/hyperlink" Id="rId75" Target="https://doi.org/10.1016/j.jalz.2012.11.007" TargetMode="External" /><Relationship Type="http://schemas.openxmlformats.org/officeDocument/2006/relationships/hyperlink" Id="rId46" Target="https://doi.org/10.3233/JAD-191092" TargetMode="External" /><Relationship Type="http://schemas.openxmlformats.org/officeDocument/2006/relationships/hyperlink" Id="rId48" Target="https://doi.org/10.3389/fneur.2021.765584" TargetMode="External" /><Relationship Type="http://schemas.openxmlformats.org/officeDocument/2006/relationships/hyperlink" Id="rId91" Target="https://github.com/C-Monaghan/crisp-clam" TargetMode="External" /><Relationship Type="http://schemas.openxmlformats.org/officeDocument/2006/relationships/hyperlink" Id="rId63"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alz.12448" TargetMode="External" /><Relationship Type="http://schemas.openxmlformats.org/officeDocument/2006/relationships/hyperlink" Id="rId60" Target="https://doi.org/10.1016/S0140-6736(06)68542-5" TargetMode="External" /><Relationship Type="http://schemas.openxmlformats.org/officeDocument/2006/relationships/hyperlink" Id="rId69" Target="https://doi.org/10.1016/S0140-6736(24)01296-0" TargetMode="External" /><Relationship Type="http://schemas.openxmlformats.org/officeDocument/2006/relationships/hyperlink" Id="rId75" Target="https://doi.org/10.1016/j.jalz.2012.11.007" TargetMode="External" /><Relationship Type="http://schemas.openxmlformats.org/officeDocument/2006/relationships/hyperlink" Id="rId46" Target="https://doi.org/10.3233/JAD-191092" TargetMode="External" /><Relationship Type="http://schemas.openxmlformats.org/officeDocument/2006/relationships/hyperlink" Id="rId48" Target="https://doi.org/10.3389/fneur.2021.765584" TargetMode="External" /><Relationship Type="http://schemas.openxmlformats.org/officeDocument/2006/relationships/hyperlink" Id="rId91" Target="https://github.com/C-Monaghan/crisp-clam" TargetMode="External" /><Relationship Type="http://schemas.openxmlformats.org/officeDocument/2006/relationships/hyperlink" Id="rId63"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2025-05-22T11:52:34Z</dcterms:created>
  <dcterms:modified xsi:type="dcterms:W3CDTF">2025-05-22T11:52:34Z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