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Procrastination and Dementia</w:t>
      </w:r>
    </w:p>
    <w:p>
      <w:pPr>
        <w:pStyle w:val="Author"/>
      </w:pPr>
      <w:r>
        <w:t xml:space="preserve"> </w:t>
      </w:r>
    </w:p>
    <w:p>
      <w:pPr>
        <w:pStyle w:val="Author"/>
      </w:pPr>
      <w:r>
        <w:t xml:space="preserve">Cormac Monaghan</w:t>
      </w:r>
      <w:r>
        <w:rPr>
          <w:vertAlign w:val="superscript"/>
        </w:rPr>
        <w:t xml:space="preserve">1,2</w:t>
      </w:r>
      <w:r>
        <w:t xml:space="preserve">, Rafael de Andrade Moral</w:t>
      </w:r>
      <w:r>
        <w:rPr>
          <w:vertAlign w:val="superscript"/>
        </w:rPr>
        <w:t xml:space="preserve">3</w:t>
      </w:r>
      <w:r>
        <w:t xml:space="preserve">, and Joanna McHugh Power</w:t>
      </w:r>
      <w:r>
        <w:rPr>
          <w:vertAlign w:val="superscript"/>
        </w:rPr>
        <w:t xml:space="preserve">2</w:t>
      </w:r>
    </w:p>
    <w:p>
      <w:pPr>
        <w:pStyle w:val="BodyText"/>
      </w:pPr>
      <w:r>
        <w:t xml:space="preserve"> </w:t>
      </w:r>
    </w:p>
    <w:p>
      <w:pPr>
        <w:pStyle w:val="BodyText"/>
      </w:pPr>
      <w:r>
        <w:t xml:space="preserve"> </w:t>
      </w:r>
    </w:p>
    <w:bookmarkEnd w:id="20"/>
    <w:bookmarkStart w:id="35" w:name="author-note"/>
    <w:p>
      <w:pPr>
        <w:pStyle w:val="Heading1"/>
      </w:pPr>
      <w:r>
        <w:t xml:space="preserve">Author Note</w:t>
      </w:r>
    </w:p>
    <w:p>
      <w:pPr>
        <w:pStyle w:val="FirstParagraph"/>
      </w:pPr>
      <w:r>
        <w:t xml:space="preserve">Cormac Monaghan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https://orcid.org/https://orcid.org/0000-0001-9012-3060</w:t>
        </w:r>
      </w:hyperlink>
    </w:p>
    <w:p>
      <w:pPr>
        <w:pStyle w:val="BodyText"/>
      </w:pPr>
      <w:r>
        <w:t xml:space="preserve">Rafael de Andrade Moral</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https://orcid.org/https://orcid.org/0000-0002-0875-3563</w:t>
        </w:r>
      </w:hyperlink>
    </w:p>
    <w:p>
      <w:pPr>
        <w:pStyle w:val="BodyText"/>
      </w:pPr>
      <w:r>
        <w:t xml:space="preserve">Joanna McHugh Power</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https://orcid.org/https://orcid.org/0000-0002-7387-3107</w:t>
        </w:r>
      </w:hyperlink>
    </w:p>
    <w:p>
      <w:pPr>
        <w:pStyle w:val="BodyText"/>
      </w:pPr>
      <w:r>
        <w:t xml:space="preserve">Correspondence concerning this article should be addressed to Cormac Monaghan, Hamilton Institute, Maynooth University, Ireland, Email:</w:t>
      </w:r>
      <w:r>
        <w:t xml:space="preserve"> </w:t>
      </w:r>
      <w:hyperlink r:id="rId34">
        <w:r>
          <w:rPr>
            <w:rStyle w:val="Hyperlink"/>
          </w:rPr>
          <w:t xml:space="preserve">cormacmonaghan@protonmail.com</w:t>
        </w:r>
      </w:hyperlink>
    </w:p>
    <w:p>
      <w:r>
        <w:br w:type="page"/>
      </w:r>
    </w:p>
    <w:bookmarkEnd w:id="35"/>
    <w:bookmarkStart w:id="36" w:name="firstheader"/>
    <w:p>
      <w:pPr>
        <w:pStyle w:val="Heading1"/>
      </w:pPr>
      <w:r>
        <w:t xml:space="preserve">Procrastination and Dementia</w:t>
      </w:r>
    </w:p>
    <w:p>
      <w:pPr>
        <w:pStyle w:val="FirstParagraph"/>
      </w:pPr>
      <w:r>
        <w:t xml:space="preserve">Dementia is a syndrome characterized initially by the progressive and typically irreversible decline of cognitive function, leading to memory loss, impaired reasoning, and difficulties with activities of daily living</w:t>
      </w:r>
      <w:r>
        <w:t xml:space="preserve"> </w:t>
      </w:r>
      <w:r>
        <w:t xml:space="preserve">(</w:t>
      </w:r>
      <w:hyperlink w:anchor="ref-Prince2013">
        <w:r>
          <w:rPr>
            <w:rStyle w:val="Hyperlink"/>
          </w:rPr>
          <w:t xml:space="preserve">Prince et al., 2013</w:t>
        </w:r>
      </w:hyperlink>
      <w:r>
        <w:t xml:space="preserve">;</w:t>
      </w:r>
      <w:r>
        <w:t xml:space="preserve"> </w:t>
      </w:r>
      <w:hyperlink w:anchor="ref-Sanz-Blasco2022">
        <w:r>
          <w:rPr>
            <w:rStyle w:val="Hyperlink"/>
            <w:b/>
            <w:bCs/>
          </w:rPr>
          <w:t xml:space="preserve">Sanz-Blasco2022?</w:t>
        </w:r>
      </w:hyperlink>
      <w:r>
        <w:t xml:space="preserve">)</w:t>
      </w:r>
      <w:r>
        <w:t xml:space="preserve">. It arises from various conditions, including Alzheimer’s disease, vascular dementia, and Lewy body dementia</w:t>
      </w:r>
      <w:r>
        <w:t xml:space="preserve"> </w:t>
      </w:r>
      <w:r>
        <w:t xml:space="preserve">(</w:t>
      </w:r>
      <w:hyperlink w:anchor="ref-Cao2020">
        <w:r>
          <w:rPr>
            <w:rStyle w:val="Hyperlink"/>
          </w:rPr>
          <w:t xml:space="preserve">Cao et al., 2020</w:t>
        </w:r>
      </w:hyperlink>
      <w:r>
        <w:t xml:space="preserve">)</w:t>
      </w:r>
      <w:r>
        <w:t xml:space="preserve">. The global burden of dementia is substantial, with projections suggesting that the number of affected individuals will rise from 57.4 million in 2019 to 152.8 million by 2050</w:t>
      </w:r>
      <w:r>
        <w:t xml:space="preserve"> </w:t>
      </w:r>
      <w:r>
        <w:t xml:space="preserve">(</w:t>
      </w:r>
      <w:hyperlink w:anchor="ref-Nichols2022">
        <w:r>
          <w:rPr>
            <w:rStyle w:val="Hyperlink"/>
          </w:rPr>
          <w:t xml:space="preserve">Nichols et al., 2022</w:t>
        </w:r>
      </w:hyperlink>
      <w:r>
        <w:t xml:space="preserve">)</w:t>
      </w:r>
      <w:r>
        <w:t xml:space="preserve">. Given this projection, identifying and addressing modifiable risk factors is crucial to mitigate the growing prevalence difficulties with activities of daily living of dementia worldwide. In fact, targeting these factors could prevent up to 50% of dementia cases worldwide</w:t>
      </w:r>
      <w:r>
        <w:t xml:space="preserve"> </w:t>
      </w:r>
      <w:r>
        <w:t xml:space="preserve">(</w:t>
      </w:r>
      <w:hyperlink w:anchor="ref-Livingston2024">
        <w:r>
          <w:rPr>
            <w:rStyle w:val="Hyperlink"/>
          </w:rPr>
          <w:t xml:space="preserve">Livingston et al., 2024</w:t>
        </w:r>
      </w:hyperlink>
      <w:r>
        <w:t xml:space="preserve">)</w:t>
      </w:r>
      <w:r>
        <w:t xml:space="preserve">. The</w:t>
      </w:r>
      <w:r>
        <w:t xml:space="preserve"> </w:t>
      </w:r>
      <w:r>
        <w:rPr>
          <w:i/>
          <w:iCs/>
        </w:rPr>
        <w:t xml:space="preserve">Lancet</w:t>
      </w:r>
      <w:r>
        <w:t xml:space="preserve"> </w:t>
      </w:r>
      <w:r>
        <w:t xml:space="preserve">Commission highlights 14 key modifiable risks, emphasizing that dementia risk can be reduced at any age. Nevertheless, age remains the strongest non-modifiable risk factor, accounting for the largest proportion of dementia cases.</w:t>
      </w:r>
    </w:p>
    <w:p>
      <w:pPr>
        <w:pStyle w:val="BodyText"/>
      </w:pPr>
      <w:r>
        <w:t xml:space="preserve">Mild cognitive impairment (MCI) is a condition characterized by cognitive changes — such as memory lapses or difficulty making decisions — that exceed typical age-related decline</w:t>
      </w:r>
      <w:r>
        <w:t xml:space="preserve"> </w:t>
      </w:r>
      <w:r>
        <w:t xml:space="preserve">(</w:t>
      </w:r>
      <w:hyperlink w:anchor="ref-Gauthier2006">
        <w:r>
          <w:rPr>
            <w:rStyle w:val="Hyperlink"/>
          </w:rPr>
          <w:t xml:space="preserve">Gauthier et al., 2006</w:t>
        </w:r>
      </w:hyperlink>
      <w:r>
        <w:t xml:space="preserve">)</w:t>
      </w:r>
      <w:r>
        <w:t xml:space="preserve">. Prior studies suggest that 46% of people with MCI transition to a dementia state within three years and 80% within six years</w:t>
      </w:r>
      <w:r>
        <w:t xml:space="preserve"> </w:t>
      </w:r>
      <w:r>
        <w:t xml:space="preserve">(</w:t>
      </w:r>
      <w:hyperlink w:anchor="ref-Cooper2015">
        <w:r>
          <w:rPr>
            <w:rStyle w:val="Hyperlink"/>
          </w:rPr>
          <w:t xml:space="preserve">Cooper et al., 2015</w:t>
        </w:r>
      </w:hyperlink>
      <w:r>
        <w:t xml:space="preserve">;</w:t>
      </w:r>
      <w:r>
        <w:t xml:space="preserve"> </w:t>
      </w:r>
      <w:hyperlink w:anchor="ref-Shigemizu2020">
        <w:r>
          <w:rPr>
            <w:rStyle w:val="Hyperlink"/>
          </w:rPr>
          <w:t xml:space="preserve">Shigemizu et al., 2020</w:t>
        </w:r>
      </w:hyperlink>
      <w:r>
        <w:t xml:space="preserve">;</w:t>
      </w:r>
      <w:r>
        <w:t xml:space="preserve"> </w:t>
      </w:r>
      <w:hyperlink w:anchor="ref-Tschanz2006">
        <w:r>
          <w:rPr>
            <w:rStyle w:val="Hyperlink"/>
          </w:rPr>
          <w:t xml:space="preserve">Tschanz et al., 2006</w:t>
        </w:r>
      </w:hyperlink>
      <w:r>
        <w:t xml:space="preserve">)</w:t>
      </w:r>
      <w:r>
        <w:t xml:space="preserve">. However, progression is neither uniform nor inevitable. Heterogeneity in outcomes underscores the importance of distinguishing between two classes of predictors: causal risk factors (e.g. smoking, hypertension, or diabetes) which may accelerate dementia onset and are potential targets for intervention</w:t>
      </w:r>
      <w:r>
        <w:t xml:space="preserve"> </w:t>
      </w:r>
      <w:r>
        <w:t xml:space="preserve">(</w:t>
      </w:r>
      <w:hyperlink w:anchor="ref-Livingston2024">
        <w:r>
          <w:rPr>
            <w:rStyle w:val="Hyperlink"/>
          </w:rPr>
          <w:t xml:space="preserve">Livingston et al., 2024</w:t>
        </w:r>
      </w:hyperlink>
      <w:r>
        <w:t xml:space="preserve">)</w:t>
      </w:r>
      <w:r>
        <w:t xml:space="preserve">, and prodromal markers (e.g. memory loss, apathy, or struggles in daily living) that reflect early disease processes and may signal limited opportunities for prevention. While causal factors offer avenues for mitigating risk, prodromal features often emerge closer to irreversible pathological changes, highlighting the need for early detection and tailored interventions.</w:t>
      </w:r>
    </w:p>
    <w:p>
      <w:pPr>
        <w:pStyle w:val="BodyText"/>
      </w:pPr>
      <w:r>
        <w:t xml:space="preserve">Apathy, defined as a significant loss of motivation, distinct from depression and cognitive impairment</w:t>
      </w:r>
      <w:r>
        <w:t xml:space="preserve"> </w:t>
      </w:r>
      <w:r>
        <w:t xml:space="preserve">(</w:t>
      </w:r>
      <w:hyperlink w:anchor="ref-Fresnais2023">
        <w:r>
          <w:rPr>
            <w:rStyle w:val="Hyperlink"/>
          </w:rPr>
          <w:t xml:space="preserve">Fresnais et al., 2023</w:t>
        </w:r>
      </w:hyperlink>
      <w:r>
        <w:t xml:space="preserve">;</w:t>
      </w:r>
      <w:r>
        <w:t xml:space="preserve"> </w:t>
      </w:r>
      <w:hyperlink w:anchor="ref-Richard2012">
        <w:r>
          <w:rPr>
            <w:rStyle w:val="Hyperlink"/>
          </w:rPr>
          <w:t xml:space="preserve">Richard et al., 2012</w:t>
        </w:r>
      </w:hyperlink>
      <w:r>
        <w:t xml:space="preserve">)</w:t>
      </w:r>
      <w:r>
        <w:t xml:space="preserve"> </w:t>
      </w:r>
      <w:r>
        <w:t xml:space="preserve">is among the most prevalent neuropsychiatric symptoms in both MCI and dementia</w:t>
      </w:r>
      <w:r>
        <w:t xml:space="preserve"> </w:t>
      </w:r>
      <w:r>
        <w:t xml:space="preserve">(</w:t>
      </w:r>
      <w:hyperlink w:anchor="ref-Donovan2014">
        <w:r>
          <w:rPr>
            <w:rStyle w:val="Hyperlink"/>
          </w:rPr>
          <w:t xml:space="preserve">Donovan et al., 2014</w:t>
        </w:r>
      </w:hyperlink>
      <w:r>
        <w:t xml:space="preserve">;</w:t>
      </w:r>
      <w:r>
        <w:t xml:space="preserve"> </w:t>
      </w:r>
      <w:hyperlink w:anchor="ref-Fresnais2023">
        <w:r>
          <w:rPr>
            <w:rStyle w:val="Hyperlink"/>
          </w:rPr>
          <w:t xml:space="preserve">Fresnais et al., 2023</w:t>
        </w:r>
      </w:hyperlink>
      <w:r>
        <w:t xml:space="preserve">;</w:t>
      </w:r>
      <w:r>
        <w:t xml:space="preserve"> </w:t>
      </w:r>
      <w:hyperlink w:anchor="ref-Salem2023">
        <w:r>
          <w:rPr>
            <w:rStyle w:val="Hyperlink"/>
          </w:rPr>
          <w:t xml:space="preserve">Salem et al., 2023</w:t>
        </w:r>
      </w:hyperlink>
      <w:r>
        <w:t xml:space="preserve">;</w:t>
      </w:r>
      <w:r>
        <w:t xml:space="preserve"> </w:t>
      </w:r>
      <w:hyperlink w:anchor="ref-vanDalen2018">
        <w:r>
          <w:rPr>
            <w:rStyle w:val="Hyperlink"/>
            <w:b/>
            <w:bCs/>
          </w:rPr>
          <w:t xml:space="preserve">vanDalen2018?</w:t>
        </w:r>
      </w:hyperlink>
      <w:r>
        <w:t xml:space="preserve">)</w:t>
      </w:r>
      <w:r>
        <w:t xml:space="preserve">. Individuals with apathy exhibit reduced goal-directed behavior and a diminished desire to pursue rewards or pleasure</w:t>
      </w:r>
      <w:r>
        <w:t xml:space="preserve"> </w:t>
      </w:r>
      <w:r>
        <w:t xml:space="preserve">(</w:t>
      </w:r>
      <w:hyperlink w:anchor="ref-Fresnais2023">
        <w:r>
          <w:rPr>
            <w:rStyle w:val="Hyperlink"/>
          </w:rPr>
          <w:t xml:space="preserve">Fresnais et al., 2023</w:t>
        </w:r>
      </w:hyperlink>
      <w:r>
        <w:t xml:space="preserve">)</w:t>
      </w:r>
      <w:r>
        <w:t xml:space="preserve">. Importantly, apathy has been identified as a significant predictor for the transition from MCI to dementia</w:t>
      </w:r>
      <w:r>
        <w:t xml:space="preserve"> </w:t>
      </w:r>
      <w:r>
        <w:t xml:space="preserve">(</w:t>
      </w:r>
      <w:hyperlink w:anchor="ref-Ruthirakuhan2019">
        <w:r>
          <w:rPr>
            <w:rStyle w:val="Hyperlink"/>
          </w:rPr>
          <w:t xml:space="preserve">Ruthirakuhan et al., 2019</w:t>
        </w:r>
      </w:hyperlink>
      <w:r>
        <w:t xml:space="preserve">;</w:t>
      </w:r>
      <w:r>
        <w:t xml:space="preserve"> </w:t>
      </w:r>
      <w:hyperlink w:anchor="ref-Salem2023">
        <w:r>
          <w:rPr>
            <w:rStyle w:val="Hyperlink"/>
          </w:rPr>
          <w:t xml:space="preserve">Salem et al., 2023</w:t>
        </w:r>
      </w:hyperlink>
      <w:r>
        <w:t xml:space="preserve">;</w:t>
      </w:r>
      <w:r>
        <w:t xml:space="preserve"> </w:t>
      </w:r>
      <w:hyperlink w:anchor="ref-vanDalen2018">
        <w:r>
          <w:rPr>
            <w:rStyle w:val="Hyperlink"/>
            <w:b/>
            <w:bCs/>
          </w:rPr>
          <w:t xml:space="preserve">vanDalen2018?</w:t>
        </w:r>
      </w:hyperlink>
      <w:r>
        <w:t xml:space="preserve">)</w:t>
      </w:r>
      <w:r>
        <w:t xml:space="preserve">. For instance, a meta-analysis by</w:t>
      </w:r>
      <w:r>
        <w:t xml:space="preserve"> </w:t>
      </w:r>
      <w:r>
        <w:t xml:space="preserve">(</w:t>
      </w:r>
      <w:hyperlink w:anchor="ref-vanDalen2018">
        <w:r>
          <w:rPr>
            <w:rStyle w:val="Hyperlink"/>
            <w:b/>
            <w:bCs/>
          </w:rPr>
          <w:t xml:space="preserve">vanDalen2018?</w:t>
        </w:r>
      </w:hyperlink>
      <w:r>
        <w:t xml:space="preserve">)</w:t>
      </w:r>
      <w:r>
        <w:t xml:space="preserve"> </w:t>
      </w:r>
      <w:r>
        <w:t xml:space="preserve">found that apathy almost doubles the risk of transitioning to dementia. Additionally, levels of apathy measured using both the</w:t>
      </w:r>
      <w:r>
        <w:t xml:space="preserve"> </w:t>
      </w:r>
      <w:r>
        <w:rPr>
          <w:i/>
          <w:iCs/>
        </w:rPr>
        <w:t xml:space="preserve">“Neuropsychiatric Inventory Questionnaire"</w:t>
      </w:r>
      <w:r>
        <w:t xml:space="preserve"> </w:t>
      </w:r>
      <w:r>
        <w:t xml:space="preserve">(</w:t>
      </w:r>
      <w:hyperlink w:anchor="ref-Kaufer2000">
        <w:r>
          <w:rPr>
            <w:rStyle w:val="Hyperlink"/>
          </w:rPr>
          <w:t xml:space="preserve">Kaufer et al., 2000</w:t>
        </w:r>
      </w:hyperlink>
      <w:r>
        <w:t xml:space="preserve">)</w:t>
      </w:r>
      <w:r>
        <w:t xml:space="preserve"> </w:t>
      </w:r>
      <w:r>
        <w:t xml:space="preserve">and</w:t>
      </w:r>
      <w:r>
        <w:t xml:space="preserve"> </w:t>
      </w:r>
      <w:r>
        <w:rPr>
          <w:i/>
          <w:iCs/>
        </w:rPr>
        <w:t xml:space="preserve">“Apathy Evaluation Scale"</w:t>
      </w:r>
      <w:r>
        <w:t xml:space="preserve"> </w:t>
      </w:r>
      <w:r>
        <w:t xml:space="preserve">(</w:t>
      </w:r>
      <w:hyperlink w:anchor="ref-Marin1991">
        <w:r>
          <w:rPr>
            <w:rStyle w:val="Hyperlink"/>
          </w:rPr>
          <w:t xml:space="preserve">Marin et al., 1991</w:t>
        </w:r>
      </w:hyperlink>
      <w:r>
        <w:t xml:space="preserve">)</w:t>
      </w:r>
      <w:r>
        <w:t xml:space="preserve"> </w:t>
      </w:r>
      <w:r>
        <w:t xml:space="preserve">have shown to be correlated with higher levels of amyloid burden and neurofibrillary tangles in individuals with dementia, suggesting a potential connection to underlying neuropathology</w:t>
      </w:r>
      <w:r>
        <w:t xml:space="preserve"> </w:t>
      </w:r>
      <w:r>
        <w:t xml:space="preserve">(</w:t>
      </w:r>
      <w:hyperlink w:anchor="ref-Donovan2014">
        <w:r>
          <w:rPr>
            <w:rStyle w:val="Hyperlink"/>
          </w:rPr>
          <w:t xml:space="preserve">Donovan et al., 2014</w:t>
        </w:r>
      </w:hyperlink>
      <w:r>
        <w:t xml:space="preserve">;</w:t>
      </w:r>
      <w:r>
        <w:t xml:space="preserve"> </w:t>
      </w:r>
      <w:hyperlink w:anchor="ref-Marshall2013">
        <w:r>
          <w:rPr>
            <w:rStyle w:val="Hyperlink"/>
          </w:rPr>
          <w:t xml:space="preserve">Marshall et al., 2013</w:t>
        </w:r>
      </w:hyperlink>
      <w:r>
        <w:t xml:space="preserve">)</w:t>
      </w:r>
      <w:r>
        <w:t xml:space="preserve">.</w:t>
      </w:r>
    </w:p>
    <w:p>
      <w:pPr>
        <w:pStyle w:val="BodyText"/>
      </w:pPr>
      <w:r>
        <w:t xml:space="preserve">While apathy primarily reflects a lack of motivation, procrastination involves a delay in action despite an intention to complete such action</w:t>
      </w:r>
      <w:r>
        <w:t xml:space="preserve"> </w:t>
      </w:r>
      <w:r>
        <w:t xml:space="preserve">(</w:t>
      </w:r>
      <w:hyperlink w:anchor="ref-Steel2007">
        <w:r>
          <w:rPr>
            <w:rStyle w:val="Hyperlink"/>
          </w:rPr>
          <w:t xml:space="preserve">Steel, 2007</w:t>
        </w:r>
      </w:hyperlink>
      <w:r>
        <w:t xml:space="preserve">)</w:t>
      </w:r>
      <w:r>
        <w:t xml:space="preserve">. Although both behaviours indicate disruptions in goal-directed activity, they differ in their phenomenology: apathy is marked by diminished drive or emotional engagement, whereas procrastination typically involves intact intention but impaired follow-through. These differences suggest that procrastination may capture aspects of executive dysfunction and emotional regulation not fully accounted for by apathy alone.</w:t>
      </w:r>
    </w:p>
    <w:p>
      <w:pPr>
        <w:pStyle w:val="BodyText"/>
      </w:pPr>
      <w:r>
        <w:t xml:space="preserve">Both behaviours have been linked with impaired executive function, particularly in goal-oriented behaviours, decision-making, and self-regulation</w:t>
      </w:r>
      <w:r>
        <w:t xml:space="preserve"> </w:t>
      </w:r>
      <w:r>
        <w:t xml:space="preserve">(</w:t>
      </w:r>
      <w:hyperlink w:anchor="ref-Gustavson2015">
        <w:r>
          <w:rPr>
            <w:rStyle w:val="Hyperlink"/>
          </w:rPr>
          <w:t xml:space="preserve">Gustavson et al., 2015</w:t>
        </w:r>
      </w:hyperlink>
      <w:r>
        <w:t xml:space="preserve">;</w:t>
      </w:r>
      <w:r>
        <w:t xml:space="preserve"> </w:t>
      </w:r>
      <w:hyperlink w:anchor="ref-Kawagoe2017">
        <w:r>
          <w:rPr>
            <w:rStyle w:val="Hyperlink"/>
          </w:rPr>
          <w:t xml:space="preserve">Kawagoe et al., 2017</w:t>
        </w:r>
      </w:hyperlink>
      <w:r>
        <w:t xml:space="preserve">;</w:t>
      </w:r>
      <w:r>
        <w:t xml:space="preserve"> </w:t>
      </w:r>
      <w:hyperlink w:anchor="ref-steel2010">
        <w:r>
          <w:rPr>
            <w:rStyle w:val="Hyperlink"/>
          </w:rPr>
          <w:t xml:space="preserve">Steel, 2010</w:t>
        </w:r>
      </w:hyperlink>
      <w:r>
        <w:t xml:space="preserve">)</w:t>
      </w:r>
      <w:r>
        <w:t xml:space="preserve">, domains which are frequently compromised in individuals with MCI and dementia</w:t>
      </w:r>
      <w:r>
        <w:t xml:space="preserve"> </w:t>
      </w:r>
      <w:r>
        <w:t xml:space="preserve">(</w:t>
      </w:r>
      <w:hyperlink w:anchor="ref-Kirova2015">
        <w:r>
          <w:rPr>
            <w:rStyle w:val="Hyperlink"/>
          </w:rPr>
          <w:t xml:space="preserve">Kirova et al., 2015</w:t>
        </w:r>
      </w:hyperlink>
      <w:r>
        <w:t xml:space="preserve">;</w:t>
      </w:r>
      <w:r>
        <w:t xml:space="preserve"> </w:t>
      </w:r>
      <w:hyperlink w:anchor="ref-Stopford2012">
        <w:r>
          <w:rPr>
            <w:rStyle w:val="Hyperlink"/>
          </w:rPr>
          <w:t xml:space="preserve">Stopford et al., 2012</w:t>
        </w:r>
      </w:hyperlink>
      <w:r>
        <w:t xml:space="preserve">)</w:t>
      </w:r>
      <w:r>
        <w:t xml:space="preserve">. While apathy has been well-established as a prodromal marker and risk factor for dementia progression</w:t>
      </w:r>
      <w:r>
        <w:t xml:space="preserve"> </w:t>
      </w:r>
      <w:r>
        <w:t xml:space="preserve">(</w:t>
      </w:r>
      <w:hyperlink w:anchor="ref-Ruthirakuhan2019">
        <w:r>
          <w:rPr>
            <w:rStyle w:val="Hyperlink"/>
          </w:rPr>
          <w:t xml:space="preserve">Ruthirakuhan et al., 2019</w:t>
        </w:r>
      </w:hyperlink>
      <w:r>
        <w:t xml:space="preserve">;</w:t>
      </w:r>
      <w:r>
        <w:t xml:space="preserve"> </w:t>
      </w:r>
      <w:hyperlink w:anchor="ref-Salem2023">
        <w:r>
          <w:rPr>
            <w:rStyle w:val="Hyperlink"/>
          </w:rPr>
          <w:t xml:space="preserve">Salem et al., 2023</w:t>
        </w:r>
      </w:hyperlink>
      <w:r>
        <w:t xml:space="preserve">;</w:t>
      </w:r>
      <w:r>
        <w:t xml:space="preserve"> </w:t>
      </w:r>
      <w:hyperlink w:anchor="ref-vanDalen2018">
        <w:r>
          <w:rPr>
            <w:rStyle w:val="Hyperlink"/>
            <w:b/>
            <w:bCs/>
          </w:rPr>
          <w:t xml:space="preserve">vanDalen2018?</w:t>
        </w:r>
      </w:hyperlink>
      <w:r>
        <w:t xml:space="preserve">)</w:t>
      </w:r>
      <w:r>
        <w:t xml:space="preserve">, emerging evidence also suggests a potential link between procrastination and early cognitive decline. For instance,</w:t>
      </w:r>
      <w:r>
        <w:t xml:space="preserve"> </w:t>
      </w:r>
      <w:r>
        <w:t xml:space="preserve">Fridén (</w:t>
      </w:r>
      <w:hyperlink w:anchor="ref-Friden2020">
        <w:r>
          <w:rPr>
            <w:rStyle w:val="Hyperlink"/>
          </w:rPr>
          <w:t xml:space="preserve">2020</w:t>
        </w:r>
      </w:hyperlink>
      <w:r>
        <w:t xml:space="preserve">)</w:t>
      </w:r>
      <w:r>
        <w:t xml:space="preserve"> </w:t>
      </w:r>
      <w:r>
        <w:t xml:space="preserve">and</w:t>
      </w:r>
      <w:r>
        <w:t xml:space="preserve"> </w:t>
      </w:r>
      <w:r>
        <w:t xml:space="preserve">S. Zhang et al. (</w:t>
      </w:r>
      <w:hyperlink w:anchor="ref-Zhang2019">
        <w:r>
          <w:rPr>
            <w:rStyle w:val="Hyperlink"/>
          </w:rPr>
          <w:t xml:space="preserve">2019</w:t>
        </w:r>
      </w:hyperlink>
      <w:r>
        <w:t xml:space="preserve">)</w:t>
      </w:r>
      <w:r>
        <w:t xml:space="preserve"> </w:t>
      </w:r>
      <w:r>
        <w:t xml:space="preserve">highlight that chronic procrastination is associated with dysfunction in both the dorsolateral and ventromedial prefrontal cortices, regions of the brain known to not only show early degeneration in dementia</w:t>
      </w:r>
      <w:r>
        <w:t xml:space="preserve"> </w:t>
      </w:r>
      <w:r>
        <w:t xml:space="preserve">(</w:t>
      </w:r>
      <w:hyperlink w:anchor="ref-Joseph2021">
        <w:r>
          <w:rPr>
            <w:rStyle w:val="Hyperlink"/>
          </w:rPr>
          <w:t xml:space="preserve">Joseph et al., 2021</w:t>
        </w:r>
      </w:hyperlink>
      <w:r>
        <w:t xml:space="preserve">)</w:t>
      </w:r>
      <w:r>
        <w:t xml:space="preserve">, but also be linked to higher levels of apathy</w:t>
      </w:r>
      <w:r>
        <w:t xml:space="preserve"> </w:t>
      </w:r>
      <w:r>
        <w:t xml:space="preserve">(</w:t>
      </w:r>
      <w:hyperlink w:anchor="ref-Fahed2021">
        <w:r>
          <w:rPr>
            <w:rStyle w:val="Hyperlink"/>
          </w:rPr>
          <w:t xml:space="preserve">Fahed &amp; Steffens, 2021</w:t>
        </w:r>
      </w:hyperlink>
      <w:r>
        <w:t xml:space="preserve">;</w:t>
      </w:r>
      <w:r>
        <w:t xml:space="preserve"> </w:t>
      </w:r>
      <w:hyperlink w:anchor="ref-Zhang2019">
        <w:r>
          <w:rPr>
            <w:rStyle w:val="Hyperlink"/>
          </w:rPr>
          <w:t xml:space="preserve">S. Zhang et al., 2019</w:t>
        </w:r>
      </w:hyperlink>
      <w:r>
        <w:t xml:space="preserve">)</w:t>
      </w:r>
      <w:r>
        <w:t xml:space="preserve">.</w:t>
      </w:r>
    </w:p>
    <w:p>
      <w:pPr>
        <w:pStyle w:val="BodyText"/>
      </w:pPr>
      <w:r>
        <w:t xml:space="preserve">Furthermore, procrastination may exacerbate existing cognitive decline by reinforcing patterns of inaction and passivity. Individuals who chronically delay tasks may inadvertently engage in fewer cognitively stimulating activities, such as physical activity, problem-solving, decision-making, and goal-setting. Such activities are known to build cognitive resilience and reduce dementia risk</w:t>
      </w:r>
      <w:r>
        <w:t xml:space="preserve"> </w:t>
      </w:r>
      <w:r>
        <w:t xml:space="preserve">(</w:t>
      </w:r>
      <w:hyperlink w:anchor="ref-Chowdhary2022">
        <w:r>
          <w:rPr>
            <w:rStyle w:val="Hyperlink"/>
          </w:rPr>
          <w:t xml:space="preserve">Chowdhary et al., 2022</w:t>
        </w:r>
      </w:hyperlink>
      <w:r>
        <w:t xml:space="preserve">;</w:t>
      </w:r>
      <w:r>
        <w:t xml:space="preserve"> </w:t>
      </w:r>
      <w:hyperlink w:anchor="ref-Livingston2024">
        <w:r>
          <w:rPr>
            <w:rStyle w:val="Hyperlink"/>
          </w:rPr>
          <w:t xml:space="preserve">Livingston et al., 2024</w:t>
        </w:r>
      </w:hyperlink>
      <w:r>
        <w:t xml:space="preserve">)</w:t>
      </w:r>
      <w:r>
        <w:t xml:space="preserve">. By limiting engagement in such activities, procrastination may contribute to a self-reinforcing cycle of cognitive disengagement, potentially accelerating decline over time.</w:t>
      </w:r>
    </w:p>
    <w:p>
      <w:pPr>
        <w:pStyle w:val="BodyText"/>
      </w:pPr>
      <w:r>
        <w:t xml:space="preserve">Given these behavioural and neuro-cognitive parallels with apathy, it is worth exploring whether chronic procrastination could serve as an early behavioural marker for cognitive impairment, or even a risk factor for dementia, especially in older adults. By examining procrastination alongside apathy, we may uncover a broader behavioural phenotype indicative of early neuropathological changes. Crucially, procrastination may identify individuals with motivational or executive dysfunction who do not yet meet the threshold for apathy, offering a potentially valuable and earlier behavioural marker for neurodegenerative risk.</w:t>
      </w:r>
    </w:p>
    <w:p>
      <w:pPr>
        <w:pStyle w:val="BodyText"/>
      </w:pPr>
      <w:r>
        <w:t xml:space="preserve">Moreover, since age remains the strongest predictor of MCI and dementia, it is important to consider how behavioural predictors such as procrastination operate across the lifespan. Many established modifiable risk factors such as, hypertension, hearing loss, smoking, and social isolation, exert age-dependent effects, with certain factors carrying more weight at midlife than in late life</w:t>
      </w:r>
      <w:r>
        <w:t xml:space="preserve"> </w:t>
      </w:r>
      <w:r>
        <w:t xml:space="preserve">(</w:t>
      </w:r>
      <w:hyperlink w:anchor="ref-Livingston2024">
        <w:r>
          <w:rPr>
            <w:rStyle w:val="Hyperlink"/>
          </w:rPr>
          <w:t xml:space="preserve">Livingston et al., 2024</w:t>
        </w:r>
      </w:hyperlink>
      <w:r>
        <w:t xml:space="preserve">;</w:t>
      </w:r>
      <w:r>
        <w:t xml:space="preserve"> </w:t>
      </w:r>
      <w:hyperlink w:anchor="ref-livingston2020">
        <w:r>
          <w:rPr>
            <w:rStyle w:val="Hyperlink"/>
            <w:b/>
            <w:bCs/>
          </w:rPr>
          <w:t xml:space="preserve">livingston2020?</w:t>
        </w:r>
      </w:hyperlink>
      <w:r>
        <w:t xml:space="preserve">)</w:t>
      </w:r>
      <w:r>
        <w:t xml:space="preserve">. In light of this, we sought to explore whether procrastination also demonstrates an age-dependent risk profile. Understanding how procrastination interacts with age may help clarify its role in the aetiology of cognitive decline and identify windows of opportunity for targeted intervention.</w:t>
      </w:r>
    </w:p>
    <w:p>
      <w:pPr>
        <w:pStyle w:val="BodyText"/>
      </w:pPr>
      <w:r>
        <w:t xml:space="preserve">Although current research on procrastination in relation to dementia is non-existent, this possible association warrants exploration. Identifying procrastination as a potential risk factor could expand the scope of early interventions aimed at preventing or slowing the progression of dementia. As such, the purpose of this study was to (a) assess group differences in procrastination levels across the normal cognition, MCI, and dementia groups, and b) test the hypotheses that higher levels of procrastination would be associated with an increased probability of transitioning from normal cognitive function or MCI to dementia.</w:t>
      </w:r>
    </w:p>
    <w:bookmarkEnd w:id="36"/>
    <w:bookmarkStart w:id="43" w:name="method"/>
    <w:p>
      <w:pPr>
        <w:pStyle w:val="Heading1"/>
      </w:pPr>
      <w:r>
        <w:t xml:space="preserve">Method</w:t>
      </w:r>
    </w:p>
    <w:bookmarkStart w:id="37" w:name="data-and-study-population"/>
    <w:p>
      <w:pPr>
        <w:pStyle w:val="Heading2"/>
      </w:pPr>
      <w:r>
        <w:t xml:space="preserve">Data and study population</w:t>
      </w:r>
    </w:p>
    <w:p>
      <w:pPr>
        <w:pStyle w:val="FirstParagraph"/>
      </w:pPr>
      <w:r>
        <w:t xml:space="preserve">Analyses were conducted using a secondary data source; a multi-wave prospective cohort study called the Health and Retirement Study (HRS;</w:t>
      </w:r>
      <w:r>
        <w:t xml:space="preserve"> </w:t>
      </w:r>
      <w:r>
        <w:t xml:space="preserve">(</w:t>
      </w:r>
      <w:hyperlink w:anchor="ref-Fisher2018">
        <w:r>
          <w:rPr>
            <w:rStyle w:val="Hyperlink"/>
          </w:rPr>
          <w:t xml:space="preserve">Fisher &amp; Ryan, 2018</w:t>
        </w:r>
      </w:hyperlink>
      <w:r>
        <w:t xml:space="preserve">)</w:t>
      </w:r>
      <w:r>
        <w:t xml:space="preserve">, which tracks the health, economic, and social well-being of over</w:t>
      </w:r>
      <w:r>
        <w:t xml:space="preserve"> </w:t>
      </w:r>
      <m:oMath>
        <m:r>
          <m:t>18</m:t>
        </m:r>
        <m:r>
          <m:rPr>
            <m:sty m:val="p"/>
          </m:rPr>
          <m:t>,</m:t>
        </m:r>
        <m:r>
          <m:t>000</m:t>
        </m:r>
      </m:oMath>
      <w:r>
        <w:t xml:space="preserve"> </w:t>
      </w:r>
      <w:r>
        <w:t xml:space="preserve">American adults primarily aged</w:t>
      </w:r>
      <w:r>
        <w:t xml:space="preserve"> </w:t>
      </w:r>
      <m:oMath>
        <m:r>
          <m:rPr>
            <m:sty m:val="p"/>
          </m:rPr>
          <m:t>&gt;</m:t>
        </m:r>
        <m:r>
          <m:t>50</m:t>
        </m:r>
      </m:oMath>
      <w:r>
        <w:t xml:space="preserve">. The HRS is managed by the Institute for Social Research at the University of Michigan, with data collected every two years. Initial data collection of a participant is conducted through a face-to-face interview, with follow-up biennial interviews conducted either by phone or face-to-face. The average re-interview response rate ranges from</w:t>
      </w:r>
      <w:r>
        <w:t xml:space="preserve"> </w:t>
      </w:r>
      <m:oMath>
        <m:r>
          <m:t>68.8</m:t>
        </m:r>
        <m:r>
          <m:rPr>
            <m:sty m:val="p"/>
          </m:rPr>
          <m:t>%</m:t>
        </m:r>
      </m:oMath>
      <w:r>
        <w:t xml:space="preserve"> </w:t>
      </w:r>
      <w:r>
        <w:t xml:space="preserve">to</w:t>
      </w:r>
      <w:r>
        <w:t xml:space="preserve"> </w:t>
      </w:r>
      <m:oMath>
        <m:r>
          <m:t>92.3</m:t>
        </m:r>
        <m:r>
          <m:rPr>
            <m:sty m:val="p"/>
          </m:rPr>
          <m:t>%</m:t>
        </m:r>
      </m:oMath>
      <w:r>
        <w:t xml:space="preserve"> </w:t>
      </w:r>
      <w:r>
        <w:t xml:space="preserve">(</w:t>
      </w:r>
      <w:hyperlink w:anchor="ref-HRS2017">
        <w:r>
          <w:rPr>
            <w:rStyle w:val="Hyperlink"/>
          </w:rPr>
          <w:t xml:space="preserve">Health and Retirement Study, 2017</w:t>
        </w:r>
      </w:hyperlink>
      <w:r>
        <w:t xml:space="preserve">)</w:t>
      </w:r>
      <w:r>
        <w:t xml:space="preserve">. At the time of writing, fifteen years of HRS data are currently archived.</w:t>
      </w:r>
    </w:p>
    <w:p>
      <w:pPr>
        <w:pStyle w:val="BodyText"/>
      </w:pPr>
      <w:r>
        <w:t xml:space="preserve">For this study, we focused on four waves of HRS data (from 2016 to 2022). Specifically our study sample consisted of respondents who participated in an experimental module assessing procrastination during the 2020 wave. These experimental modules, administered at the end of the core HRS interview, consist of concise questionnaires designed to explore new topics or supplement existing core survey data. Each respondent receives only one experimental module, with sample sizes for each module constituting approximately 10% of the core sample. As a result, while the core HRS sample includes approximately</w:t>
      </w:r>
      <w:r>
        <w:t xml:space="preserve"> </w:t>
      </w:r>
      <m:oMath>
        <m:r>
          <m:t>18</m:t>
        </m:r>
        <m:r>
          <m:rPr>
            <m:sty m:val="p"/>
          </m:rPr>
          <m:t>,</m:t>
        </m:r>
        <m:r>
          <m:t>000</m:t>
        </m:r>
      </m:oMath>
      <w:r>
        <w:t xml:space="preserve"> </w:t>
      </w:r>
      <w:r>
        <w:t xml:space="preserve">respondents, our initial sample of interest consisted of</w:t>
      </w:r>
      <w:r>
        <w:t xml:space="preserve"> </w:t>
      </w:r>
      <m:oMath>
        <m:r>
          <m:t>1</m:t>
        </m:r>
        <m:r>
          <m:rPr>
            <m:sty m:val="p"/>
          </m:rPr>
          <m:t>,</m:t>
        </m:r>
        <m:r>
          <m:t>368</m:t>
        </m:r>
      </m:oMath>
      <w:r>
        <w:t xml:space="preserve"> </w:t>
      </w:r>
      <w:r>
        <w:t xml:space="preserve">respondents. We excluded respondents with missing cognitive assessment data for any wave</w:t>
      </w:r>
      <w:r>
        <w:t xml:space="preserve"> </w:t>
      </w:r>
      <m:oMath>
        <m:d>
          <m:dPr>
            <m:begChr m:val="("/>
            <m:endChr m:val=")"/>
            <m:sepChr m:val=""/>
            <m:grow/>
          </m:dPr>
          <m:e>
            <m:r>
              <m:t>n</m:t>
            </m:r>
            <m:r>
              <m:rPr>
                <m:sty m:val="p"/>
              </m:rPr>
              <m:t>=</m:t>
            </m:r>
            <m:r>
              <m:t>419</m:t>
            </m:r>
          </m:e>
        </m:d>
      </m:oMath>
      <w:r>
        <w:t xml:space="preserve">, those under 60 years of age</w:t>
      </w:r>
      <w:r>
        <w:t xml:space="preserve"> </w:t>
      </w:r>
      <m:oMath>
        <m:d>
          <m:dPr>
            <m:begChr m:val="("/>
            <m:endChr m:val=")"/>
            <m:sepChr m:val=""/>
            <m:grow/>
          </m:dPr>
          <m:e>
            <m:r>
              <m:t>n</m:t>
            </m:r>
            <m:r>
              <m:rPr>
                <m:sty m:val="p"/>
              </m:rPr>
              <m:t>=</m:t>
            </m:r>
            <m:r>
              <m:t>398</m:t>
            </m:r>
          </m:e>
        </m:d>
      </m:oMath>
      <w:r>
        <w:t xml:space="preserve">, and those with complete missing values across the procrastination measure</w:t>
      </w:r>
      <w:r>
        <w:t xml:space="preserve"> </w:t>
      </w:r>
      <m:oMath>
        <m:d>
          <m:dPr>
            <m:begChr m:val="("/>
            <m:endChr m:val=")"/>
            <m:sepChr m:val=""/>
            <m:grow/>
          </m:dPr>
          <m:e>
            <m:r>
              <m:t>n</m:t>
            </m:r>
            <m:r>
              <m:rPr>
                <m:sty m:val="p"/>
              </m:rPr>
              <m:t>=</m:t>
            </m:r>
            <m:r>
              <m:t>2</m:t>
            </m:r>
          </m:e>
        </m:d>
      </m:oMath>
      <w:r>
        <w:t xml:space="preserve">. This resulted in a final analytic sample of</w:t>
      </w:r>
      <w:r>
        <w:t xml:space="preserve"> </w:t>
      </w:r>
      <m:oMath>
        <m:r>
          <m:t>549</m:t>
        </m:r>
      </m:oMath>
      <w:r>
        <w:t xml:space="preserve"> </w:t>
      </w:r>
      <w:r>
        <w:t xml:space="preserve">respondents.</w:t>
      </w:r>
    </w:p>
    <w:bookmarkEnd w:id="37"/>
    <w:bookmarkStart w:id="41" w:name="measures"/>
    <w:p>
      <w:pPr>
        <w:pStyle w:val="Heading2"/>
      </w:pPr>
      <w:r>
        <w:t xml:space="preserve">Measures</w:t>
      </w:r>
    </w:p>
    <w:bookmarkStart w:id="38" w:name="X6ece146494caabc82941866093063fd55e7def7"/>
    <w:p>
      <w:pPr>
        <w:pStyle w:val="Heading3"/>
      </w:pPr>
      <w:r>
        <w:t xml:space="preserve">Outcome: Cognitive Function and Cognitive Category</w:t>
      </w:r>
    </w:p>
    <w:p>
      <w:pPr>
        <w:pStyle w:val="FirstParagraph"/>
      </w:pPr>
      <w:r>
        <w:t xml:space="preserve">Cognitive function in the HRS is assessed using a series of tests adapted from the Telephone Interview for Cognitive Status (TICS;</w:t>
      </w:r>
      <w:r>
        <w:t xml:space="preserve"> </w:t>
      </w:r>
      <w:r>
        <w:t xml:space="preserve">(</w:t>
      </w:r>
      <w:hyperlink w:anchor="ref-Brandt1988">
        <w:r>
          <w:rPr>
            <w:rStyle w:val="Hyperlink"/>
          </w:rPr>
          <w:t xml:space="preserve">Brandt et al., 1988</w:t>
        </w:r>
      </w:hyperlink>
      <w:r>
        <w:t xml:space="preserve">;</w:t>
      </w:r>
      <w:r>
        <w:t xml:space="preserve"> </w:t>
      </w:r>
      <w:hyperlink w:anchor="ref-Fong2009">
        <w:r>
          <w:rPr>
            <w:rStyle w:val="Hyperlink"/>
          </w:rPr>
          <w:t xml:space="preserve">Fong et al., 2009</w:t>
        </w:r>
      </w:hyperlink>
      <w:r>
        <w:t xml:space="preserve">)</w:t>
      </w:r>
      <w:r>
        <w:t xml:space="preserve">. These tests include an immediate and delayed</w:t>
      </w:r>
      <w:r>
        <w:t xml:space="preserve"> </w:t>
      </w:r>
      <m:oMath>
        <m:r>
          <m:t>10</m:t>
        </m:r>
      </m:oMath>
      <w:r>
        <w:t xml:space="preserve">-noun free recall test, a serial seven subtraction test, and a backward count from</w:t>
      </w:r>
      <w:r>
        <w:t xml:space="preserve"> </w:t>
      </w:r>
      <m:oMath>
        <m:r>
          <m:t>20</m:t>
        </m:r>
      </m:oMath>
      <w:r>
        <w:t xml:space="preserve"> </w:t>
      </w:r>
      <w:r>
        <w:t xml:space="preserve">test. Based on these assessments,</w:t>
      </w:r>
      <w:r>
        <w:t xml:space="preserve"> </w:t>
      </w:r>
      <w:r>
        <w:t xml:space="preserve">Crimmins et al. (</w:t>
      </w:r>
      <w:hyperlink w:anchor="ref-Crimmins2011">
        <w:r>
          <w:rPr>
            <w:rStyle w:val="Hyperlink"/>
          </w:rPr>
          <w:t xml:space="preserve">2011</w:t>
        </w:r>
      </w:hyperlink>
      <w:r>
        <w:t xml:space="preserve">)</w:t>
      </w:r>
      <w:r>
        <w:t xml:space="preserve"> </w:t>
      </w:r>
      <w:r>
        <w:t xml:space="preserve">developed both a</w:t>
      </w:r>
      <w:r>
        <w:t xml:space="preserve"> </w:t>
      </w:r>
      <m:oMath>
        <m:r>
          <m:t>27</m:t>
        </m:r>
      </m:oMath>
      <w:r>
        <w:t xml:space="preserve">-point cognitive scale and validated cut-off points to assess and classify cognitive status. Using these points, respondents who scored</w:t>
      </w:r>
      <w:r>
        <w:t xml:space="preserve"> </w:t>
      </w:r>
      <m:oMath>
        <m:r>
          <m:t>12</m:t>
        </m:r>
        <m:r>
          <m:rPr>
            <m:sty m:val="p"/>
          </m:rPr>
          <m:t>−</m:t>
        </m:r>
        <m:r>
          <m:t>27</m:t>
        </m:r>
      </m:oMath>
      <w:r>
        <w:t xml:space="preserve"> </w:t>
      </w:r>
      <w:r>
        <w:t xml:space="preserve">were classified as having normal cognition,</w:t>
      </w:r>
      <w:r>
        <w:t xml:space="preserve"> </w:t>
      </w:r>
      <m:oMath>
        <m:r>
          <m:t>7</m:t>
        </m:r>
        <m:r>
          <m:rPr>
            <m:sty m:val="p"/>
          </m:rPr>
          <m:t>−</m:t>
        </m:r>
        <m:r>
          <m:t>11</m:t>
        </m:r>
      </m:oMath>
      <w:r>
        <w:t xml:space="preserve"> </w:t>
      </w:r>
      <w:r>
        <w:t xml:space="preserve">as having MCI, and</w:t>
      </w:r>
      <w:r>
        <w:t xml:space="preserve"> </w:t>
      </w:r>
      <m:oMath>
        <m:r>
          <m:t>0</m:t>
        </m:r>
        <m:r>
          <m:rPr>
            <m:sty m:val="p"/>
          </m:rPr>
          <m:t>−</m:t>
        </m:r>
        <m:r>
          <m:t>6</m:t>
        </m:r>
      </m:oMath>
      <w:r>
        <w:t xml:space="preserve"> </w:t>
      </w:r>
      <w:r>
        <w:t xml:space="preserve">as having dementia.</w:t>
      </w:r>
    </w:p>
    <w:bookmarkEnd w:id="38"/>
    <w:bookmarkStart w:id="39" w:name="predictor-procrastination"/>
    <w:p>
      <w:pPr>
        <w:pStyle w:val="Heading3"/>
      </w:pPr>
      <w:r>
        <w:t xml:space="preserve">Predictor: Procrastination</w:t>
      </w:r>
    </w:p>
    <w:p>
      <w:pPr>
        <w:pStyle w:val="FirstParagraph"/>
      </w:pPr>
      <w:r>
        <w:t xml:space="preserve">Procrastination was measured using the Pure Procrastination Scale</w:t>
      </w:r>
      <w:r>
        <w:t xml:space="preserve"> </w:t>
      </w:r>
      <w:r>
        <w:t xml:space="preserve">(</w:t>
      </w:r>
      <w:hyperlink w:anchor="ref-steel2010">
        <w:r>
          <w:rPr>
            <w:rStyle w:val="Hyperlink"/>
          </w:rPr>
          <w:t xml:space="preserve">Steel, 2010</w:t>
        </w:r>
      </w:hyperlink>
      <w:r>
        <w:t xml:space="preserve">)</w:t>
      </w:r>
      <w:r>
        <w:t xml:space="preserve">, which consists of 12 items rated on a Likert scale ranging from</w:t>
      </w:r>
      <w:r>
        <w:t xml:space="preserve"> </w:t>
      </w:r>
      <m:oMath>
        <m:r>
          <m:t>1</m:t>
        </m:r>
      </m:oMath>
      <w:r>
        <w:t xml:space="preserve"> </w:t>
      </w:r>
      <w:r>
        <w:t xml:space="preserve">(strongly disagree) to</w:t>
      </w:r>
      <w:r>
        <w:t xml:space="preserve"> </w:t>
      </w:r>
      <m:oMath>
        <m:r>
          <m:t>5</m:t>
        </m:r>
      </m:oMath>
      <w:r>
        <w:t xml:space="preserve"> </w:t>
      </w:r>
      <w:r>
        <w:t xml:space="preserve">(strongly agree). The total procrastination score ranges from</w:t>
      </w:r>
      <w:r>
        <w:t xml:space="preserve"> </w:t>
      </w:r>
      <m:oMath>
        <m:r>
          <m:t>12</m:t>
        </m:r>
      </m:oMath>
      <w:r>
        <w:t xml:space="preserve"> </w:t>
      </w:r>
      <w:r>
        <w:t xml:space="preserve">to</w:t>
      </w:r>
      <w:r>
        <w:t xml:space="preserve"> </w:t>
      </w:r>
      <m:oMath>
        <m:r>
          <m:t>60</m:t>
        </m:r>
      </m:oMath>
      <w:r>
        <w:t xml:space="preserve">, with higher scores indicating greater procrastination. The Pure Procrastination Scale conducted in 2020 (wave 3) had a Cronbach’s</w:t>
      </w:r>
      <w:r>
        <w:t xml:space="preserve"> </w:t>
      </w:r>
      <m:oMath>
        <m:r>
          <m:t>α</m:t>
        </m:r>
      </m:oMath>
      <w:r>
        <w:t xml:space="preserve"> </w:t>
      </w:r>
      <w:r>
        <w:t xml:space="preserve">score of</w:t>
      </w:r>
      <w:r>
        <w:t xml:space="preserve"> </w:t>
      </w:r>
      <m:oMath>
        <m:r>
          <m:t>0.92</m:t>
        </m:r>
      </m:oMath>
      <w:r>
        <w:t xml:space="preserve"> </w:t>
      </w:r>
      <w:r>
        <w:t xml:space="preserve">in this sample, indicating high internal consistency. An example of a question from the scale includes</w:t>
      </w:r>
      <w:r>
        <w:t xml:space="preserve"> </w:t>
      </w:r>
      <w:r>
        <w:t xml:space="preserve">“I delay making decisions until it’s too late”</w:t>
      </w:r>
      <w:r>
        <w:t xml:space="preserve">.</w:t>
      </w:r>
    </w:p>
    <w:bookmarkEnd w:id="39"/>
    <w:bookmarkStart w:id="40" w:name="confounders"/>
    <w:p>
      <w:pPr>
        <w:pStyle w:val="Heading3"/>
      </w:pPr>
      <w:r>
        <w:t xml:space="preserve">Confounders</w:t>
      </w:r>
    </w:p>
    <w:p>
      <w:pPr>
        <w:pStyle w:val="FirstParagraph"/>
      </w:pPr>
      <w:r>
        <w:t xml:space="preserve">To account for potential confounding, we controlled for variables withestablished associations with cognitive function and procrastination. These included measures of of age, sex, educational attainment, and depressive symptoms</w:t>
      </w:r>
      <w:r>
        <w:t xml:space="preserve"> </w:t>
      </w:r>
      <w:r>
        <w:t xml:space="preserve">(</w:t>
      </w:r>
      <w:hyperlink w:anchor="ref-Abner2012">
        <w:r>
          <w:rPr>
            <w:rStyle w:val="Hyperlink"/>
          </w:rPr>
          <w:t xml:space="preserve">Abner et al., 2012</w:t>
        </w:r>
      </w:hyperlink>
      <w:r>
        <w:t xml:space="preserve">;</w:t>
      </w:r>
      <w:r>
        <w:t xml:space="preserve"> </w:t>
      </w:r>
      <w:hyperlink w:anchor="ref-Freedman2024">
        <w:r>
          <w:rPr>
            <w:rStyle w:val="Hyperlink"/>
          </w:rPr>
          <w:t xml:space="preserve">Freedman &amp; Cornman, 2024</w:t>
        </w:r>
      </w:hyperlink>
      <w:r>
        <w:t xml:space="preserve">;</w:t>
      </w:r>
      <w:r>
        <w:t xml:space="preserve"> </w:t>
      </w:r>
      <w:hyperlink w:anchor="ref-Monaghan2024a">
        <w:r>
          <w:rPr>
            <w:rStyle w:val="Hyperlink"/>
          </w:rPr>
          <w:t xml:space="preserve">Monaghan et al., 2024</w:t>
        </w:r>
      </w:hyperlink>
      <w:r>
        <w:t xml:space="preserve">;</w:t>
      </w:r>
      <w:r>
        <w:t xml:space="preserve"> </w:t>
      </w:r>
      <w:hyperlink w:anchor="ref-Yu2013">
        <w:r>
          <w:rPr>
            <w:rStyle w:val="Hyperlink"/>
          </w:rPr>
          <w:t xml:space="preserve">Yu et al., 2013</w:t>
        </w:r>
      </w:hyperlink>
      <w:r>
        <w:t xml:space="preserve">)</w:t>
      </w:r>
      <w:r>
        <w:t xml:space="preserve">. Educationalattainment was classified into three categories: no formal education, GED (General Educational Development)/high school diploma, and college/further education. Depressive symptoms were measured using an eight-item version of the Center for Epidemiological Studies Depression (CES-D) scale</w:t>
      </w:r>
      <w:r>
        <w:t xml:space="preserve"> </w:t>
      </w:r>
      <w:r>
        <w:t xml:space="preserve">(</w:t>
      </w:r>
      <w:hyperlink w:anchor="ref-Briggs2018">
        <w:r>
          <w:rPr>
            <w:rStyle w:val="Hyperlink"/>
          </w:rPr>
          <w:t xml:space="preserve">Briggs et al., 2018</w:t>
        </w:r>
      </w:hyperlink>
      <w:r>
        <w:t xml:space="preserve">)</w:t>
      </w:r>
      <w:r>
        <w:t xml:space="preserve">, with scores ranging from 0 to 8, demonstrating good internal consistency</w:t>
      </w:r>
      <w:r>
        <w:t xml:space="preserve"> </w:t>
      </w:r>
      <m:oMath>
        <m:d>
          <m:dPr>
            <m:begChr m:val="("/>
            <m:endChr m:val=")"/>
            <m:sepChr m:val=""/>
            <m:grow/>
          </m:dPr>
          <m:e>
            <m:r>
              <m:t>α</m:t>
            </m:r>
            <m:r>
              <m:rPr>
                <m:sty m:val="p"/>
              </m:rPr>
              <m:t>=</m:t>
            </m:r>
            <m:r>
              <m:t>0.60</m:t>
            </m:r>
          </m:e>
        </m:d>
      </m:oMath>
      <w:r>
        <w:t xml:space="preserve">.</w:t>
      </w:r>
    </w:p>
    <w:bookmarkEnd w:id="40"/>
    <w:bookmarkEnd w:id="41"/>
    <w:bookmarkStart w:id="42" w:name="data-analysis"/>
    <w:p>
      <w:pPr>
        <w:pStyle w:val="Heading2"/>
      </w:pPr>
      <w:r>
        <w:t xml:space="preserve">Data Analysis</w:t>
      </w:r>
    </w:p>
    <w:p>
      <w:pPr>
        <w:pStyle w:val="FirstParagraph"/>
      </w:pPr>
      <w:r>
        <w:t xml:space="preserve">All data analysis was carried out in R</w:t>
      </w:r>
      <w:r>
        <w:t xml:space="preserve"> </w:t>
      </w:r>
      <w:r>
        <w:t xml:space="preserve">(</w:t>
      </w:r>
      <w:hyperlink w:anchor="ref-R2025">
        <w:r>
          <w:rPr>
            <w:rStyle w:val="Hyperlink"/>
          </w:rPr>
          <w:t xml:space="preserve">R Core Team, 2025</w:t>
        </w:r>
      </w:hyperlink>
      <w:r>
        <w:t xml:space="preserve">)</w:t>
      </w:r>
      <w:r>
        <w:t xml:space="preserve">. Within the final dataset, missing data accounted for only 0.3%, all of which was contained within the educational attainment variable. To model transitions in cognitive states over time, we employed a first order discrete-time Markov model, a class of stochastic processes that satisfy the Markov property</w:t>
      </w:r>
      <w:r>
        <w:t xml:space="preserve"> </w:t>
      </w:r>
      <w:r>
        <w:t xml:space="preserve">(</w:t>
      </w:r>
      <w:hyperlink w:anchor="ref-Zhang2010">
        <w:r>
          <w:rPr>
            <w:rStyle w:val="Hyperlink"/>
          </w:rPr>
          <w:t xml:space="preserve">Y. F. Zhang et al., 2010</w:t>
        </w:r>
      </w:hyperlink>
      <w:r>
        <w:t xml:space="preserve">)</w:t>
      </w:r>
      <w:r>
        <w:t xml:space="preserve">, which can be formally expressed as:</w:t>
      </w:r>
    </w:p>
    <w:p>
      <w:pPr>
        <w:pStyle w:val="BodyText"/>
      </w:pPr>
      <m:oMathPara>
        <m:oMathParaPr>
          <m:jc m:val="center"/>
        </m:oMathParaPr>
        <m:oMath>
          <m:r>
            <m:t>P</m:t>
          </m:r>
          <m:d>
            <m:dPr>
              <m:begChr m:val="("/>
              <m:endChr m:val=")"/>
              <m:sepChr m:val=""/>
              <m:grow/>
            </m:dPr>
            <m:e>
              <m:sSub>
                <m:e>
                  <m:r>
                    <m:t>X</m:t>
                  </m:r>
                </m:e>
                <m:sub>
                  <m:r>
                    <m:t>t</m:t>
                  </m:r>
                  <m:r>
                    <m:rPr>
                      <m:sty m:val="p"/>
                    </m:rPr>
                    <m:t>+</m:t>
                  </m:r>
                  <m:r>
                    <m:t>1</m:t>
                  </m:r>
                </m:sub>
              </m:sSub>
              <m:r>
                <m:rPr>
                  <m:sty m:val="p"/>
                </m:rPr>
                <m:t>=</m:t>
              </m:r>
              <m:r>
                <m:t>j</m:t>
              </m:r>
              <m:r>
                <m:rPr>
                  <m:sty m:val="p"/>
                </m:rPr>
                <m:t>|</m:t>
              </m:r>
              <m:sSub>
                <m:e>
                  <m:r>
                    <m:t>X</m:t>
                  </m:r>
                </m:e>
                <m:sub>
                  <m:r>
                    <m:t>t</m:t>
                  </m:r>
                </m:sub>
              </m:sSub>
              <m:r>
                <m:rPr>
                  <m:sty m:val="p"/>
                </m:rPr>
                <m:t>=</m:t>
              </m:r>
              <m:r>
                <m:t>i</m:t>
              </m:r>
              <m:r>
                <m:rPr>
                  <m:sty m:val="p"/>
                </m:rPr>
                <m:t>,</m:t>
              </m:r>
              <m:sSub>
                <m:e>
                  <m:r>
                    <m:t>X</m:t>
                  </m:r>
                </m:e>
                <m:sub>
                  <m:r>
                    <m:t>t</m:t>
                  </m:r>
                  <m:r>
                    <m:rPr>
                      <m:sty m:val="p"/>
                    </m:rPr>
                    <m:t>−</m:t>
                  </m:r>
                  <m:r>
                    <m:t>1</m:t>
                  </m:r>
                </m:sub>
              </m:sSub>
              <m:r>
                <m:rPr>
                  <m:sty m:val="p"/>
                </m:rPr>
                <m:t>=</m:t>
              </m:r>
              <m:sSub>
                <m:e>
                  <m:r>
                    <m:t>i</m:t>
                  </m:r>
                </m:e>
                <m:sub>
                  <m:r>
                    <m:t>t</m:t>
                  </m:r>
                  <m:r>
                    <m:rPr>
                      <m:sty m:val="p"/>
                    </m:rPr>
                    <m:t>−</m:t>
                  </m:r>
                  <m:r>
                    <m:t>1</m:t>
                  </m:r>
                </m:sub>
              </m:sSub>
              <m:r>
                <m:rPr>
                  <m:sty m:val="p"/>
                </m:rPr>
                <m:t>,</m:t>
              </m:r>
              <m:r>
                <m:rPr>
                  <m:sty m:val="p"/>
                </m:rPr>
                <m:t>…</m:t>
              </m:r>
              <m:sSub>
                <m:e>
                  <m:r>
                    <m:t>X</m:t>
                  </m:r>
                </m:e>
                <m:sub>
                  <m:r>
                    <m:t>0</m:t>
                  </m:r>
                </m:sub>
              </m:sSub>
              <m:r>
                <m:rPr>
                  <m:sty m:val="p"/>
                </m:rPr>
                <m:t>=</m:t>
              </m:r>
              <m:sSub>
                <m:e>
                  <m:r>
                    <m:t>i</m:t>
                  </m:r>
                </m:e>
                <m:sub>
                  <m:r>
                    <m:t>0</m:t>
                  </m:r>
                </m:sub>
              </m:sSub>
            </m:e>
          </m:d>
          <m:r>
            <m:rPr>
              <m:sty m:val="p"/>
            </m:rPr>
            <m:t>=</m:t>
          </m:r>
          <m:r>
            <m:t>P</m:t>
          </m:r>
          <m:d>
            <m:dPr>
              <m:begChr m:val="("/>
              <m:endChr m:val=")"/>
              <m:sepChr m:val=""/>
              <m:grow/>
            </m:dPr>
            <m:e>
              <m:sSub>
                <m:e>
                  <m:r>
                    <m:t>X</m:t>
                  </m:r>
                </m:e>
                <m:sub>
                  <m:r>
                    <m:t>t</m:t>
                  </m:r>
                  <m:r>
                    <m:rPr>
                      <m:sty m:val="p"/>
                    </m:rPr>
                    <m:t>+</m:t>
                  </m:r>
                  <m:r>
                    <m:t>1</m:t>
                  </m:r>
                </m:sub>
              </m:sSub>
              <m:r>
                <m:rPr>
                  <m:sty m:val="p"/>
                </m:rPr>
                <m:t>=</m:t>
              </m:r>
              <m:r>
                <m:t>j</m:t>
              </m:r>
              <m:r>
                <m:rPr>
                  <m:sty m:val="p"/>
                </m:rPr>
                <m:t>|</m:t>
              </m:r>
              <m:sSub>
                <m:e>
                  <m:r>
                    <m:t>X</m:t>
                  </m:r>
                </m:e>
                <m:sub>
                  <m:r>
                    <m:t>t</m:t>
                  </m:r>
                </m:sub>
              </m:sSub>
              <m:r>
                <m:rPr>
                  <m:sty m:val="p"/>
                </m:rPr>
                <m:t>=</m:t>
              </m:r>
              <m:r>
                <m:t>i</m:t>
              </m:r>
            </m:e>
          </m:d>
        </m:oMath>
      </m:oMathPara>
    </w:p>
    <w:p>
      <w:pPr>
        <w:pStyle w:val="FirstParagraph"/>
      </w:pPr>
      <w:r>
        <w:t xml:space="preserve">This property asserts that the probability of transitioning to a future state</w:t>
      </w:r>
      <w:r>
        <w:t xml:space="preserve"> </w:t>
      </w:r>
      <m:oMath>
        <m:sSub>
          <m:e>
            <m:r>
              <m:t>X</m:t>
            </m:r>
          </m:e>
          <m:sub>
            <m:r>
              <m:t>t</m:t>
            </m:r>
            <m:r>
              <m:rPr>
                <m:sty m:val="p"/>
              </m:rPr>
              <m:t>+</m:t>
            </m:r>
            <m:r>
              <m:t>1</m:t>
            </m:r>
          </m:sub>
        </m:sSub>
      </m:oMath>
      <w:r>
        <w:t xml:space="preserve"> </w:t>
      </w:r>
      <w:r>
        <w:t xml:space="preserve">depends only on the current state</w:t>
      </w:r>
      <w:r>
        <w:t xml:space="preserve"> </w:t>
      </w:r>
      <m:oMath>
        <m:sSub>
          <m:e>
            <m:r>
              <m:t>X</m:t>
            </m:r>
          </m:e>
          <m:sub>
            <m:r>
              <m:t>t</m:t>
            </m:r>
          </m:sub>
        </m:sSub>
      </m:oMath>
      <w:r>
        <w:t xml:space="preserve">, and not on the full history of preceding states.</w:t>
      </w:r>
    </w:p>
    <w:p>
      <w:pPr>
        <w:pStyle w:val="BodyText"/>
      </w:pPr>
      <w:r>
        <w:t xml:space="preserve">Unlike continuous-time models, discrete-time Markov models are not readily supported by a dedicated R package for deriving transition probabilities. Therefore, we implemented the model manually using multinomial logistic regression from the</w:t>
      </w:r>
      <w:r>
        <w:t xml:space="preserve"> </w:t>
      </w:r>
      <w:r>
        <w:rPr>
          <w:rStyle w:val="VerbatimChar"/>
        </w:rPr>
        <w:t xml:space="preserve">nnet</w:t>
      </w:r>
      <w:r>
        <w:t xml:space="preserve"> </w:t>
      </w:r>
      <w:r>
        <w:t xml:space="preserve">package</w:t>
      </w:r>
      <w:r>
        <w:t xml:space="preserve"> </w:t>
      </w:r>
      <w:r>
        <w:t xml:space="preserve">(</w:t>
      </w:r>
      <w:hyperlink w:anchor="ref-Venables2022">
        <w:r>
          <w:rPr>
            <w:rStyle w:val="Hyperlink"/>
          </w:rPr>
          <w:t xml:space="preserve">Venables &amp; Ripley, 2002</w:t>
        </w:r>
      </w:hyperlink>
      <w:r>
        <w:t xml:space="preserve">)</w:t>
      </w:r>
      <w:r>
        <w:t xml:space="preserve">. This approach estimates the log-odds of transitioning to each non-reference state as a linear function of covariates, relative to a chosen reference category. For a system with</w:t>
      </w:r>
      <w:r>
        <w:t xml:space="preserve"> </w:t>
      </w:r>
      <m:oMath>
        <m:r>
          <m:t>K</m:t>
        </m:r>
      </m:oMath>
      <w:r>
        <w:t xml:space="preserve"> </w:t>
      </w:r>
      <w:r>
        <w:t xml:space="preserve">cognitive states (with state</w:t>
      </w:r>
      <w:r>
        <w:t xml:space="preserve"> </w:t>
      </w:r>
      <m:oMath>
        <m:r>
          <m:t>K</m:t>
        </m:r>
      </m:oMath>
      <w:r>
        <w:t xml:space="preserve"> </w:t>
      </w:r>
      <w:r>
        <w:t xml:space="preserve">as the reference), the model takes the form:</w:t>
      </w:r>
    </w:p>
    <w:p>
      <w:pPr>
        <w:pStyle w:val="BodyText"/>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j</m:t>
                      </m:r>
                      <m:r>
                        <m:rPr>
                          <m:sty m:val="p"/>
                        </m:rPr>
                        <m:t>|</m:t>
                      </m:r>
                      <m:r>
                        <m:t>x</m:t>
                      </m:r>
                    </m:e>
                  </m:d>
                </m:num>
                <m:den>
                  <m:r>
                    <m:t>P</m:t>
                  </m:r>
                  <m:d>
                    <m:dPr>
                      <m:begChr m:val="("/>
                      <m:endChr m:val=")"/>
                      <m:sepChr m:val=""/>
                      <m:grow/>
                    </m:dPr>
                    <m:e>
                      <m:r>
                        <m:t>Y</m:t>
                      </m:r>
                      <m:r>
                        <m:rPr>
                          <m:sty m:val="p"/>
                        </m:rPr>
                        <m:t>=</m:t>
                      </m:r>
                      <m:r>
                        <m:t>k</m:t>
                      </m:r>
                      <m:r>
                        <m:rPr>
                          <m:sty m:val="p"/>
                        </m:rPr>
                        <m:t>|</m:t>
                      </m:r>
                      <m:r>
                        <m:t>x</m:t>
                      </m:r>
                    </m:e>
                  </m:d>
                </m:den>
              </m:f>
            </m:e>
          </m:d>
          <m:r>
            <m:rPr>
              <m:sty m:val="p"/>
            </m:rPr>
            <m:t>=</m:t>
          </m:r>
          <m:r>
            <m:t>α</m:t>
          </m:r>
          <m:r>
            <m:rPr>
              <m:sty m:val="p"/>
            </m:rPr>
            <m:t>+</m:t>
          </m:r>
          <m:sSubSup>
            <m:e>
              <m:r>
                <m:t>β</m:t>
              </m:r>
            </m:e>
            <m:sub>
              <m:r>
                <m:t>j</m:t>
              </m:r>
            </m:sub>
            <m:sup>
              <m:r>
                <m:t>T</m:t>
              </m:r>
            </m:sup>
          </m:sSubSup>
          <m:r>
            <m:t>x</m:t>
          </m:r>
          <m:r>
            <m:t>  </m:t>
          </m:r>
          <m:r>
            <m:rPr>
              <m:nor/>
              <m:sty m:val="p"/>
            </m:rPr>
            <m:t>for </m:t>
          </m:r>
          <m:r>
            <m:t>j</m:t>
          </m:r>
          <m:r>
            <m:rPr>
              <m:sty m:val="p"/>
            </m:rPr>
            <m:t>=</m:t>
          </m:r>
          <m:r>
            <m:t>1</m:t>
          </m:r>
          <m:r>
            <m:rPr>
              <m:sty m:val="p"/>
            </m:rPr>
            <m:t>,</m:t>
          </m:r>
          <m:r>
            <m:rPr>
              <m:sty m:val="p"/>
            </m:rPr>
            <m:t>…</m:t>
          </m:r>
          <m:r>
            <m:t>K</m:t>
          </m:r>
          <m:r>
            <m:rPr>
              <m:sty m:val="p"/>
            </m:rPr>
            <m:t>−</m:t>
          </m:r>
          <m:r>
            <m:t>1</m:t>
          </m:r>
        </m:oMath>
      </m:oMathPara>
    </w:p>
    <w:p>
      <w:pPr>
        <w:pStyle w:val="FirstParagraph"/>
      </w:pPr>
      <w:r>
        <w:t xml:space="preserve">From these equations, the predicted transition probabilities for the non-reference states</w:t>
      </w:r>
      <w:r>
        <w:t xml:space="preserve"> </w:t>
      </w:r>
      <m:oMath>
        <m:r>
          <m:t>j</m:t>
        </m:r>
        <m:r>
          <m:rPr>
            <m:sty m:val="p"/>
          </m:rPr>
          <m:t>=</m:t>
        </m:r>
        <m:r>
          <m:t>1</m:t>
        </m:r>
        <m:r>
          <m:rPr>
            <m:sty m:val="p"/>
          </m:rPr>
          <m:t>,</m:t>
        </m:r>
        <m:r>
          <m:rPr>
            <m:sty m:val="p"/>
          </m:rPr>
          <m:t>…</m:t>
        </m:r>
        <m:r>
          <m:rPr>
            <m:sty m:val="p"/>
          </m:rPr>
          <m:t>,</m:t>
        </m:r>
        <m:r>
          <m:t>K</m:t>
        </m:r>
        <m:r>
          <m:rPr>
            <m:sty m:val="p"/>
          </m:rPr>
          <m:t>−</m:t>
        </m:r>
        <m:r>
          <m:t>1</m:t>
        </m:r>
      </m:oMath>
      <w:r>
        <w:t xml:space="preserve"> </w:t>
      </w:r>
      <w:r>
        <w:t xml:space="preserve">are derived as:</w:t>
      </w:r>
    </w:p>
    <w:p>
      <w:pPr>
        <w:pStyle w:val="BodyText"/>
      </w:pPr>
      <m:oMathPara>
        <m:oMathParaPr>
          <m:jc m:val="center"/>
        </m:oMathParaPr>
        <m:oMath>
          <m:r>
            <m:t>P</m:t>
          </m:r>
          <m:d>
            <m:dPr>
              <m:begChr m:val="("/>
              <m:endChr m:val=")"/>
              <m:sepChr m:val=""/>
              <m:grow/>
            </m:dPr>
            <m:e>
              <m:r>
                <m:t>Y</m:t>
              </m:r>
              <m:r>
                <m:rPr>
                  <m:sty m:val="p"/>
                </m:rPr>
                <m:t>=</m:t>
              </m:r>
              <m:r>
                <m:t>j</m:t>
              </m:r>
              <m:r>
                <m:rPr>
                  <m:sty m:val="p"/>
                </m:rPr>
                <m:t>|</m:t>
              </m:r>
              <m:r>
                <m:t>x</m:t>
              </m:r>
            </m:e>
          </m:d>
          <m:r>
            <m:rPr>
              <m:sty m:val="p"/>
            </m:rPr>
            <m:t>=</m:t>
          </m:r>
          <m:f>
            <m:fPr>
              <m:type m:val="bar"/>
            </m:fPr>
            <m:num>
              <m:sSup>
                <m:e>
                  <m:r>
                    <m:t>e</m:t>
                  </m:r>
                </m:e>
                <m:sup>
                  <m:sSub>
                    <m:e>
                      <m:r>
                        <m:t>α</m:t>
                      </m:r>
                    </m:e>
                    <m:sub>
                      <m:r>
                        <m:t>j</m:t>
                      </m:r>
                    </m:sub>
                  </m:sSub>
                  <m:r>
                    <m:rPr>
                      <m:sty m:val="p"/>
                    </m:rPr>
                    <m:t>+</m:t>
                  </m:r>
                  <m:sSubSup>
                    <m:e>
                      <m:r>
                        <m:t>β</m:t>
                      </m:r>
                    </m:e>
                    <m:sub>
                      <m:r>
                        <m:t>j</m:t>
                      </m:r>
                    </m:sub>
                    <m:sup>
                      <m:r>
                        <m:t>T</m:t>
                      </m:r>
                    </m:sup>
                  </m:sSubSup>
                  <m:r>
                    <m:t>x</m:t>
                  </m:r>
                </m:sup>
              </m:sSup>
            </m:num>
            <m:den>
              <m:r>
                <m:t>1</m:t>
              </m:r>
              <m:r>
                <m:rPr>
                  <m:sty m:val="p"/>
                </m:rPr>
                <m:t>+</m:t>
              </m:r>
              <m:nary>
                <m:naryPr>
                  <m:chr m:val="∑"/>
                  <m:limLoc m:val="undOvr"/>
                  <m:subHide m:val="off"/>
                  <m:supHide m:val="off"/>
                </m:naryPr>
                <m:sub>
                  <m:r>
                    <m:t>k</m:t>
                  </m:r>
                  <m:r>
                    <m:rPr>
                      <m:sty m:val="p"/>
                    </m:rPr>
                    <m:t>=</m:t>
                  </m:r>
                  <m:r>
                    <m:t>1</m:t>
                  </m:r>
                </m:sub>
                <m:sup>
                  <m:r>
                    <m:t>k</m:t>
                  </m:r>
                  <m:r>
                    <m:rPr>
                      <m:sty m:val="p"/>
                    </m:rPr>
                    <m:t>−</m:t>
                  </m:r>
                  <m:r>
                    <m:t>1</m:t>
                  </m:r>
                </m:sup>
                <m:e>
                  <m:sSup>
                    <m:e>
                      <m:r>
                        <m:t>e</m:t>
                      </m:r>
                    </m:e>
                    <m:sup>
                      <m:sSub>
                        <m:e>
                          <m:r>
                            <m:t>α</m:t>
                          </m:r>
                        </m:e>
                        <m:sub>
                          <m:r>
                            <m:t>k</m:t>
                          </m:r>
                        </m:sub>
                      </m:sSub>
                      <m:r>
                        <m:rPr>
                          <m:sty m:val="p"/>
                        </m:rPr>
                        <m:t>+</m:t>
                      </m:r>
                      <m:sSubSup>
                        <m:e>
                          <m:r>
                            <m:t>β</m:t>
                          </m:r>
                        </m:e>
                        <m:sub>
                          <m:r>
                            <m:t>k</m:t>
                          </m:r>
                        </m:sub>
                        <m:sup>
                          <m:r>
                            <m:t>T</m:t>
                          </m:r>
                        </m:sup>
                      </m:sSubSup>
                      <m:r>
                        <m:t>x</m:t>
                      </m:r>
                    </m:sup>
                  </m:sSup>
                </m:e>
              </m:nary>
            </m:den>
          </m:f>
        </m:oMath>
      </m:oMathPara>
    </w:p>
    <w:p>
      <w:pPr>
        <w:pStyle w:val="FirstParagraph"/>
      </w:pPr>
      <w:r>
        <w:t xml:space="preserve">and for the reference state</w:t>
      </w:r>
      <w:r>
        <w:t xml:space="preserve"> </w:t>
      </w:r>
      <m:oMath>
        <m:r>
          <m:t>K</m:t>
        </m:r>
      </m:oMath>
      <w:r>
        <w:t xml:space="preserve"> </w:t>
      </w:r>
      <w:r>
        <w:t xml:space="preserve">as:</w:t>
      </w:r>
    </w:p>
    <w:p>
      <w:pPr>
        <w:pStyle w:val="BodyText"/>
      </w:pPr>
      <m:oMathPara>
        <m:oMathParaPr>
          <m:jc m:val="center"/>
        </m:oMathParaPr>
        <m:oMath>
          <m:r>
            <m:t>P</m:t>
          </m:r>
          <m:d>
            <m:dPr>
              <m:begChr m:val="("/>
              <m:endChr m:val=")"/>
              <m:sepChr m:val=""/>
              <m:grow/>
            </m:dPr>
            <m:e>
              <m:r>
                <m:t>Y</m:t>
              </m:r>
              <m:r>
                <m:rPr>
                  <m:sty m:val="p"/>
                </m:rPr>
                <m:t>=</m:t>
              </m:r>
              <m:r>
                <m:t>k</m:t>
              </m:r>
              <m:r>
                <m:rPr>
                  <m:sty m:val="p"/>
                </m:rPr>
                <m:t>|</m:t>
              </m:r>
              <m:r>
                <m:t>x</m:t>
              </m:r>
            </m:e>
          </m:d>
          <m:r>
            <m:rPr>
              <m:sty m:val="p"/>
            </m:rPr>
            <m:t>=</m:t>
          </m:r>
          <m:f>
            <m:fPr>
              <m:type m:val="bar"/>
            </m:fPr>
            <m:num>
              <m:r>
                <m:t>1</m:t>
              </m:r>
            </m:num>
            <m:den>
              <m:r>
                <m:t>1</m:t>
              </m:r>
              <m:r>
                <m:rPr>
                  <m:sty m:val="p"/>
                </m:rPr>
                <m:t>+</m:t>
              </m:r>
              <m:nary>
                <m:naryPr>
                  <m:chr m:val="∑"/>
                  <m:limLoc m:val="undOvr"/>
                  <m:subHide m:val="off"/>
                  <m:supHide m:val="off"/>
                </m:naryPr>
                <m:sub>
                  <m:r>
                    <m:t>k</m:t>
                  </m:r>
                  <m:r>
                    <m:rPr>
                      <m:sty m:val="p"/>
                    </m:rPr>
                    <m:t>=</m:t>
                  </m:r>
                  <m:r>
                    <m:t>1</m:t>
                  </m:r>
                </m:sub>
                <m:sup>
                  <m:r>
                    <m:t>k</m:t>
                  </m:r>
                  <m:r>
                    <m:rPr>
                      <m:sty m:val="p"/>
                    </m:rPr>
                    <m:t>−</m:t>
                  </m:r>
                  <m:r>
                    <m:t>1</m:t>
                  </m:r>
                </m:sup>
                <m:e>
                  <m:sSup>
                    <m:e>
                      <m:r>
                        <m:t>e</m:t>
                      </m:r>
                    </m:e>
                    <m:sup>
                      <m:sSub>
                        <m:e>
                          <m:r>
                            <m:t>α</m:t>
                          </m:r>
                        </m:e>
                        <m:sub>
                          <m:r>
                            <m:t>k</m:t>
                          </m:r>
                        </m:sub>
                      </m:sSub>
                      <m:r>
                        <m:rPr>
                          <m:sty m:val="p"/>
                        </m:rPr>
                        <m:t>+</m:t>
                      </m:r>
                      <m:sSubSup>
                        <m:e>
                          <m:r>
                            <m:t>β</m:t>
                          </m:r>
                        </m:e>
                        <m:sub>
                          <m:r>
                            <m:t>j</m:t>
                          </m:r>
                        </m:sub>
                        <m:sup>
                          <m:r>
                            <m:t>T</m:t>
                          </m:r>
                        </m:sup>
                      </m:sSubSup>
                      <m:r>
                        <m:t>x</m:t>
                      </m:r>
                    </m:sup>
                  </m:sSup>
                </m:e>
              </m:nary>
            </m:den>
          </m:f>
        </m:oMath>
      </m:oMathPara>
    </w:p>
    <w:bookmarkEnd w:id="42"/>
    <w:bookmarkEnd w:id="43"/>
    <w:bookmarkStart w:id="50" w:name="results"/>
    <w:p>
      <w:pPr>
        <w:pStyle w:val="Heading1"/>
      </w:pPr>
      <w:r>
        <w:t xml:space="preserve">Results</w:t>
      </w:r>
    </w:p>
    <w:p>
      <w:pPr>
        <w:pStyle w:val="FirstParagraph"/>
      </w:pPr>
      <w:r>
        <w:t xml:space="preserve">As mentioned, our initial sample of interest consisted of</w:t>
      </w:r>
      <w:r>
        <w:t xml:space="preserve"> </w:t>
      </w:r>
      <m:oMath>
        <m:r>
          <m:t>1</m:t>
        </m:r>
        <m:r>
          <m:rPr>
            <m:sty m:val="p"/>
          </m:rPr>
          <m:t>,</m:t>
        </m:r>
        <m:r>
          <m:t>368</m:t>
        </m:r>
      </m:oMath>
      <w:r>
        <w:t xml:space="preserve"> </w:t>
      </w:r>
      <w:r>
        <w:t xml:space="preserve">respondents. However, after excluding</w:t>
      </w:r>
      <w:r>
        <w:t xml:space="preserve"> </w:t>
      </w:r>
      <m:oMath>
        <m:r>
          <m:t>819</m:t>
        </m:r>
      </m:oMath>
      <w:r>
        <w:t xml:space="preserve"> </w:t>
      </w:r>
      <w:r>
        <w:t xml:space="preserve">respondents our final analytic sample comprised</w:t>
      </w:r>
      <w:r>
        <w:t xml:space="preserve"> </w:t>
      </w:r>
      <m:oMath>
        <m:r>
          <m:t>549</m:t>
        </m:r>
      </m:oMath>
      <w:r>
        <w:t xml:space="preserve"> </w:t>
      </w:r>
      <w:r>
        <w:t xml:space="preserve">respondents with the following age distribution: 60 - 70</w:t>
      </w:r>
      <w:r>
        <w:t xml:space="preserve"> </w:t>
      </w:r>
      <m:oMath>
        <m:d>
          <m:dPr>
            <m:begChr m:val="("/>
            <m:endChr m:val=")"/>
            <m:sepChr m:val=""/>
            <m:grow/>
          </m:dPr>
          <m:e>
            <m:r>
              <m:t>n</m:t>
            </m:r>
            <m:r>
              <m:rPr>
                <m:sty m:val="p"/>
              </m:rPr>
              <m:t>=</m:t>
            </m:r>
            <m:r>
              <m:t>186</m:t>
            </m:r>
          </m:e>
        </m:d>
      </m:oMath>
      <w:r>
        <w:t xml:space="preserve">, 71 - 80</w:t>
      </w:r>
      <w:r>
        <w:t xml:space="preserve"> </w:t>
      </w:r>
      <m:oMath>
        <m:d>
          <m:dPr>
            <m:begChr m:val="("/>
            <m:endChr m:val=")"/>
            <m:sepChr m:val=""/>
            <m:grow/>
          </m:dPr>
          <m:e>
            <m:r>
              <m:t>n</m:t>
            </m:r>
            <m:r>
              <m:rPr>
                <m:sty m:val="p"/>
              </m:rPr>
              <m:t>=</m:t>
            </m:r>
            <m:r>
              <m:t>203</m:t>
            </m:r>
          </m:e>
        </m:d>
      </m:oMath>
      <w:r>
        <w:t xml:space="preserve">, 81 - 90</w:t>
      </w:r>
      <w:r>
        <w:t xml:space="preserve"> </w:t>
      </w:r>
      <m:oMath>
        <m:d>
          <m:dPr>
            <m:begChr m:val="("/>
            <m:endChr m:val=")"/>
            <m:sepChr m:val=""/>
            <m:grow/>
          </m:dPr>
          <m:e>
            <m:r>
              <m:t>n</m:t>
            </m:r>
            <m:r>
              <m:rPr>
                <m:sty m:val="p"/>
              </m:rPr>
              <m:t>=</m:t>
            </m:r>
            <m:r>
              <m:t>142</m:t>
            </m:r>
          </m:e>
        </m:d>
      </m:oMath>
      <w:r>
        <w:t xml:space="preserve">, and 90+</w:t>
      </w:r>
      <w:r>
        <w:t xml:space="preserve"> </w:t>
      </w:r>
      <m:oMath>
        <m:d>
          <m:dPr>
            <m:begChr m:val="("/>
            <m:endChr m:val=")"/>
            <m:sepChr m:val=""/>
            <m:grow/>
          </m:dPr>
          <m:e>
            <m:r>
              <m:t>n</m:t>
            </m:r>
            <m:r>
              <m:rPr>
                <m:sty m:val="p"/>
              </m:rPr>
              <m:t>=</m:t>
            </m:r>
            <m:r>
              <m:t>18</m:t>
            </m:r>
          </m:e>
        </m:d>
      </m:oMath>
      <w:r>
        <w:t xml:space="preserve">. Descriptive statistics for the full sample, as well as stratified by cognitive status (normal cognition, MCI, and dementia), are presented in Table</w:t>
      </w:r>
      <w:r>
        <w:t xml:space="preserve"> </w:t>
      </w:r>
      <w:hyperlink w:anchor="table:1">
        <w:r>
          <w:rPr>
            <w:rStyle w:val="Hyperlink"/>
          </w:rPr>
          <w:t xml:space="preserve">[table:1]</w:t>
        </w:r>
      </w:hyperlink>
      <w:r>
        <w:t xml:space="preserve">. Additionally, Table</w:t>
      </w:r>
      <w:r>
        <w:t xml:space="preserve"> </w:t>
      </w:r>
      <w:hyperlink w:anchor="table:2">
        <w:r>
          <w:rPr>
            <w:rStyle w:val="Hyperlink"/>
          </w:rPr>
          <w:t xml:space="preserve">1</w:t>
        </w:r>
      </w:hyperlink>
      <w:r>
        <w:t xml:space="preserve"> </w:t>
      </w:r>
      <w:r>
        <w:t xml:space="preserve">presents both the frequencies and estimated transition probabilities of cognitive status changes across waves. Specifically, it captures unconditional transitions between wave one and two (first transition), wave two and three (second transition), and wave three and four (third transition), yielding a total of 1,647 observed transitions over time.</w:t>
      </w:r>
    </w:p>
    <w:p>
      <w:pPr>
        <w:pStyle w:val="BodyText"/>
      </w:pPr>
      <w:r>
        <w:rPr>
          <w:i/>
          <w:iCs/>
        </w:rPr>
        <w:t xml:space="preserve">Note.</w:t>
      </w:r>
      <w:r>
        <w:t xml:space="preserve"> </w:t>
      </w:r>
      <w:r>
        <w:t xml:space="preserve">Descriptives for continuous and categorical variables are</w:t>
      </w:r>
      <w:r>
        <w:t xml:space="preserve"> </w:t>
      </w:r>
      <w:r>
        <w:t xml:space="preserve">represented using means</w:t>
      </w:r>
      <w:r>
        <w:t xml:space="preserve"> </w:t>
      </w:r>
      <m:oMath>
        <m:r>
          <m:rPr>
            <m:sty m:val="p"/>
          </m:rPr>
          <m:t>±</m:t>
        </m:r>
      </m:oMath>
      <w:r>
        <w:t xml:space="preserve"> </w:t>
      </w:r>
      <w:r>
        <w:t xml:space="preserve">standard</w:t>
      </w:r>
      <w:r>
        <w:br/>
      </w:r>
      <w:r>
        <w:t xml:space="preserve">* deviations and percentages and frequencies respectively. NC = Normal</w:t>
      </w:r>
      <w:r>
        <w:t xml:space="preserve"> </w:t>
      </w:r>
      <w:r>
        <w:t xml:space="preserve">cognition; MCI = Mild</w:t>
      </w:r>
      <w:r>
        <w:br/>
      </w:r>
      <w:r>
        <w:t xml:space="preserve">* cognitive impairment; GED = General Educational Development.</w:t>
      </w:r>
      <w:r>
        <w:t xml:space="preserve"> </w:t>
      </w:r>
      <w:bookmarkStart w:id="44" w:name="table:1"/>
      <w:bookmarkEnd w:id="44"/>
    </w:p>
    <w:bookmarkStart w:id="45" w:name="table:2"/>
    <w:p>
      <w:pPr>
        <w:pStyle w:val="TableCaption"/>
      </w:pPr>
      <w:r>
        <w:t xml:space="preserve">Frequencies (and transition probabilities) of cognitive status</w:t>
      </w:r>
      <w:r>
        <w:t xml:space="preserve"> </w:t>
      </w:r>
      <w:r>
        <w:t xml:space="preserve">transitions from HRS waves.</w:t>
      </w:r>
    </w:p>
    <w:tbl>
      <w:tblPr>
        <w:tblStyle w:val="Table"/>
        <w:tblW w:type="auto" w:w="0"/>
        <w:tblLook w:firstRow="1" w:lastRow="0" w:firstColumn="0" w:lastColumn="0" w:noHBand="0" w:noVBand="0" w:val="0020"/>
        <w:tblCaption w:val="Frequencies (and transition probabilities) of cognitive status transitions from HRS waves."/>
      </w:tblPr>
      <w:tblGrid>
        <w:gridCol w:w="1980"/>
        <w:gridCol w:w="1980"/>
        <w:gridCol w:w="1980"/>
        <w:gridCol w:w="1980"/>
      </w:tblGrid>
      <w:tr>
        <w:trPr>
          <w:tblHeader w:val="on"/>
        </w:trPr>
        <w:tc>
          <w:tcPr/>
          <w:p>
            <w:pPr>
              <w:pStyle w:val="Compact"/>
              <w:jc w:val="left"/>
            </w:pPr>
            <w:r>
              <w:rPr>
                <w:b/>
                <w:bCs/>
              </w:rPr>
              <w:t xml:space="preserve">2016</w:t>
            </w: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NC</w:t>
            </w:r>
          </w:p>
        </w:tc>
        <w:tc>
          <w:tcPr/>
          <w:p>
            <w:pPr>
              <w:pStyle w:val="Compact"/>
            </w:pPr>
            <w:r>
              <w:t xml:space="preserve">MCI</w:t>
            </w:r>
          </w:p>
        </w:tc>
        <w:tc>
          <w:tcPr/>
          <w:p>
            <w:pPr>
              <w:pStyle w:val="Compact"/>
            </w:pPr>
            <w:r>
              <w:t xml:space="preserve">Dementia</w:t>
            </w:r>
          </w:p>
        </w:tc>
      </w:tr>
      <w:tr>
        <w:tc>
          <w:tcPr/>
          <w:p>
            <w:pPr>
              <w:pStyle w:val="Compact"/>
              <w:jc w:val="left"/>
            </w:pPr>
            <w:r>
              <w:t xml:space="preserve">NC</w:t>
            </w:r>
          </w:p>
        </w:tc>
        <w:tc>
          <w:tcPr/>
          <w:p>
            <w:pPr>
              <w:pStyle w:val="Compact"/>
            </w:pPr>
            <w:r>
              <w:t xml:space="preserve">(0.75)</w:t>
            </w:r>
          </w:p>
        </w:tc>
        <w:tc>
          <w:tcPr/>
          <w:p>
            <w:pPr>
              <w:pStyle w:val="Compact"/>
            </w:pPr>
            <w:r>
              <w:t xml:space="preserve">(0.07)</w:t>
            </w:r>
          </w:p>
        </w:tc>
        <w:tc>
          <w:tcPr/>
          <w:p>
            <w:pPr>
              <w:pStyle w:val="Compact"/>
            </w:pPr>
            <w:r>
              <w:t xml:space="preserve">(0.001)</w:t>
            </w:r>
          </w:p>
        </w:tc>
      </w:tr>
      <w:tr>
        <w:tc>
          <w:tcPr/>
          <w:p>
            <w:pPr>
              <w:pStyle w:val="Compact"/>
              <w:jc w:val="left"/>
            </w:pPr>
            <w:r>
              <w:t xml:space="preserve">MCI</w:t>
            </w:r>
          </w:p>
        </w:tc>
        <w:tc>
          <w:tcPr/>
          <w:p>
            <w:pPr>
              <w:pStyle w:val="Compact"/>
            </w:pPr>
            <w:r>
              <w:t xml:space="preserve">(0.09)</w:t>
            </w:r>
          </w:p>
        </w:tc>
        <w:tc>
          <w:tcPr/>
          <w:p>
            <w:pPr>
              <w:pStyle w:val="Compact"/>
            </w:pPr>
            <w:r>
              <w:t xml:space="preserve">(0.06)</w:t>
            </w:r>
          </w:p>
        </w:tc>
        <w:tc>
          <w:tcPr/>
          <w:p>
            <w:pPr>
              <w:pStyle w:val="Compact"/>
            </w:pPr>
            <w:r>
              <w:t xml:space="preserve">(0.01)</w:t>
            </w:r>
          </w:p>
        </w:tc>
      </w:tr>
      <w:tr>
        <w:tc>
          <w:tcPr/>
          <w:p>
            <w:pPr>
              <w:pStyle w:val="Compact"/>
              <w:jc w:val="left"/>
            </w:pPr>
            <w:r>
              <w:t xml:space="preserve">Dementia</w:t>
            </w:r>
          </w:p>
        </w:tc>
        <w:tc>
          <w:tcPr/>
          <w:p>
            <w:pPr>
              <w:pStyle w:val="Compact"/>
            </w:pPr>
            <w:r>
              <w:t xml:space="preserve">(0)</w:t>
            </w:r>
          </w:p>
        </w:tc>
        <w:tc>
          <w:tcPr/>
          <w:p>
            <w:pPr>
              <w:pStyle w:val="Compact"/>
            </w:pPr>
            <w:r>
              <w:t xml:space="preserve">(0)</w:t>
            </w:r>
          </w:p>
        </w:tc>
        <w:tc>
          <w:tcPr/>
          <w:p>
            <w:pPr>
              <w:pStyle w:val="Compact"/>
            </w:pPr>
            <w:r>
              <w:t xml:space="preserve">(0.02)</w:t>
            </w:r>
          </w:p>
        </w:tc>
      </w:tr>
      <w:tr>
        <w:tc>
          <w:tcPr/>
          <w:p>
            <w:pPr>
              <w:pStyle w:val="Compact"/>
              <w:jc w:val="left"/>
            </w:pPr>
            <w:r>
              <w:rPr>
                <w:b/>
                <w:bCs/>
              </w:rPr>
              <w:t xml:space="preserve">2018</w:t>
            </w: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NC</w:t>
            </w:r>
          </w:p>
        </w:tc>
        <w:tc>
          <w:tcPr/>
          <w:p>
            <w:pPr>
              <w:pStyle w:val="Compact"/>
            </w:pPr>
            <w:r>
              <w:t xml:space="preserve">MCI</w:t>
            </w:r>
          </w:p>
        </w:tc>
        <w:tc>
          <w:tcPr/>
          <w:p>
            <w:pPr>
              <w:pStyle w:val="Compact"/>
            </w:pPr>
            <w:r>
              <w:t xml:space="preserve">Dementia</w:t>
            </w:r>
          </w:p>
        </w:tc>
      </w:tr>
      <w:tr>
        <w:tc>
          <w:tcPr/>
          <w:p>
            <w:pPr>
              <w:pStyle w:val="Compact"/>
              <w:jc w:val="left"/>
            </w:pPr>
            <w:r>
              <w:t xml:space="preserve">NC</w:t>
            </w:r>
          </w:p>
        </w:tc>
        <w:tc>
          <w:tcPr/>
          <w:p>
            <w:pPr>
              <w:pStyle w:val="Compact"/>
            </w:pPr>
            <w:r>
              <w:t xml:space="preserve">(0.75)</w:t>
            </w:r>
          </w:p>
        </w:tc>
        <w:tc>
          <w:tcPr/>
          <w:p>
            <w:pPr>
              <w:pStyle w:val="Compact"/>
            </w:pPr>
            <w:r>
              <w:t xml:space="preserve">(0.09)</w:t>
            </w:r>
          </w:p>
        </w:tc>
        <w:tc>
          <w:tcPr/>
          <w:p>
            <w:pPr>
              <w:pStyle w:val="Compact"/>
            </w:pPr>
            <w:r>
              <w:t xml:space="preserve">(0)</w:t>
            </w:r>
          </w:p>
        </w:tc>
      </w:tr>
      <w:tr>
        <w:tc>
          <w:tcPr/>
          <w:p>
            <w:pPr>
              <w:pStyle w:val="Compact"/>
              <w:jc w:val="left"/>
            </w:pPr>
            <w:r>
              <w:t xml:space="preserve">MCI</w:t>
            </w:r>
          </w:p>
        </w:tc>
        <w:tc>
          <w:tcPr/>
          <w:p>
            <w:pPr>
              <w:pStyle w:val="Compact"/>
            </w:pPr>
            <w:r>
              <w:t xml:space="preserve">(0.07)</w:t>
            </w:r>
          </w:p>
        </w:tc>
        <w:tc>
          <w:tcPr/>
          <w:p>
            <w:pPr>
              <w:pStyle w:val="Compact"/>
            </w:pPr>
            <w:r>
              <w:t xml:space="preserve">(0.03)</w:t>
            </w:r>
          </w:p>
        </w:tc>
        <w:tc>
          <w:tcPr/>
          <w:p>
            <w:pPr>
              <w:pStyle w:val="Compact"/>
            </w:pPr>
            <w:r>
              <w:t xml:space="preserve">(0.02)</w:t>
            </w:r>
          </w:p>
        </w:tc>
      </w:tr>
      <w:tr>
        <w:tc>
          <w:tcPr/>
          <w:p>
            <w:pPr>
              <w:pStyle w:val="Compact"/>
              <w:jc w:val="left"/>
            </w:pPr>
            <w:r>
              <w:t xml:space="preserve">Dementia</w:t>
            </w:r>
          </w:p>
        </w:tc>
        <w:tc>
          <w:tcPr/>
          <w:p>
            <w:pPr>
              <w:pStyle w:val="Compact"/>
            </w:pPr>
            <w:r>
              <w:t xml:space="preserve">(0)</w:t>
            </w:r>
          </w:p>
        </w:tc>
        <w:tc>
          <w:tcPr/>
          <w:p>
            <w:pPr>
              <w:pStyle w:val="Compact"/>
            </w:pPr>
            <w:r>
              <w:t xml:space="preserve">(0)</w:t>
            </w:r>
          </w:p>
        </w:tc>
        <w:tc>
          <w:tcPr/>
          <w:p>
            <w:pPr>
              <w:pStyle w:val="Compact"/>
            </w:pPr>
            <w:r>
              <w:t xml:space="preserve">(0.03)</w:t>
            </w:r>
          </w:p>
        </w:tc>
      </w:tr>
      <w:tr>
        <w:tc>
          <w:tcPr/>
          <w:p>
            <w:pPr>
              <w:pStyle w:val="Compact"/>
              <w:jc w:val="left"/>
            </w:pPr>
            <w:r>
              <w:rPr>
                <w:b/>
                <w:bCs/>
              </w:rPr>
              <w:t xml:space="preserve">2020</w:t>
            </w: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NC</w:t>
            </w:r>
          </w:p>
        </w:tc>
        <w:tc>
          <w:tcPr/>
          <w:p>
            <w:pPr>
              <w:pStyle w:val="Compact"/>
            </w:pPr>
            <w:r>
              <w:t xml:space="preserve">MCI</w:t>
            </w:r>
          </w:p>
        </w:tc>
        <w:tc>
          <w:tcPr/>
          <w:p>
            <w:pPr>
              <w:pStyle w:val="Compact"/>
            </w:pPr>
            <w:r>
              <w:t xml:space="preserve">Dementia</w:t>
            </w:r>
          </w:p>
        </w:tc>
      </w:tr>
      <w:tr>
        <w:tc>
          <w:tcPr/>
          <w:p>
            <w:pPr>
              <w:pStyle w:val="Compact"/>
              <w:jc w:val="left"/>
            </w:pPr>
            <w:r>
              <w:t xml:space="preserve">NC</w:t>
            </w:r>
          </w:p>
        </w:tc>
        <w:tc>
          <w:tcPr/>
          <w:p>
            <w:pPr>
              <w:pStyle w:val="Compact"/>
            </w:pPr>
            <w:r>
              <w:t xml:space="preserve">(0.68)</w:t>
            </w:r>
          </w:p>
        </w:tc>
        <w:tc>
          <w:tcPr/>
          <w:p>
            <w:pPr>
              <w:pStyle w:val="Compact"/>
            </w:pPr>
            <w:r>
              <w:t xml:space="preserve">(0.13)</w:t>
            </w:r>
          </w:p>
        </w:tc>
        <w:tc>
          <w:tcPr/>
          <w:p>
            <w:pPr>
              <w:pStyle w:val="Compact"/>
            </w:pPr>
            <w:r>
              <w:t xml:space="preserve">(0.02)</w:t>
            </w:r>
          </w:p>
        </w:tc>
      </w:tr>
      <w:tr>
        <w:tc>
          <w:tcPr/>
          <w:p>
            <w:pPr>
              <w:pStyle w:val="Compact"/>
              <w:jc w:val="left"/>
            </w:pPr>
            <w:r>
              <w:t xml:space="preserve">MCI</w:t>
            </w:r>
          </w:p>
        </w:tc>
        <w:tc>
          <w:tcPr/>
          <w:p>
            <w:pPr>
              <w:pStyle w:val="Compact"/>
            </w:pPr>
            <w:r>
              <w:t xml:space="preserve">(0.05)</w:t>
            </w:r>
          </w:p>
        </w:tc>
        <w:tc>
          <w:tcPr/>
          <w:p>
            <w:pPr>
              <w:pStyle w:val="Compact"/>
            </w:pPr>
            <w:r>
              <w:t xml:space="preserve">(0.05)</w:t>
            </w:r>
          </w:p>
        </w:tc>
        <w:tc>
          <w:tcPr/>
          <w:p>
            <w:pPr>
              <w:pStyle w:val="Compact"/>
            </w:pPr>
            <w:r>
              <w:t xml:space="preserve">(0.01)</w:t>
            </w:r>
          </w:p>
        </w:tc>
      </w:tr>
      <w:tr>
        <w:tc>
          <w:tcPr/>
          <w:p>
            <w:pPr>
              <w:pStyle w:val="Compact"/>
              <w:jc w:val="left"/>
            </w:pPr>
            <w:r>
              <w:t xml:space="preserve">Dementia</w:t>
            </w:r>
          </w:p>
        </w:tc>
        <w:tc>
          <w:tcPr/>
          <w:p>
            <w:pPr>
              <w:pStyle w:val="Compact"/>
            </w:pPr>
            <w:r>
              <w:t xml:space="preserve">(0)</w:t>
            </w:r>
          </w:p>
        </w:tc>
        <w:tc>
          <w:tcPr/>
          <w:p>
            <w:pPr>
              <w:pStyle w:val="Compact"/>
            </w:pPr>
            <w:r>
              <w:t xml:space="preserve">(0)</w:t>
            </w:r>
          </w:p>
        </w:tc>
        <w:tc>
          <w:tcPr/>
          <w:p>
            <w:pPr>
              <w:pStyle w:val="Compact"/>
            </w:pPr>
            <w:r>
              <w:t xml:space="preserve">(0.05)</w:t>
            </w:r>
          </w:p>
        </w:tc>
      </w:tr>
    </w:tbl>
    <w:bookmarkEnd w:id="45"/>
    <w:p>
      <w:pPr>
        <w:pStyle w:val="BodyText"/>
      </w:pPr>
      <w:r>
        <w:rPr>
          <w:i/>
          <w:iCs/>
        </w:rPr>
        <w:t xml:space="preserve">Note.</w:t>
      </w:r>
      <w:r>
        <w:t xml:space="preserve"> </w:t>
      </w:r>
      <w:r>
        <w:t xml:space="preserve">NC = Normal cognition; MCI = Mild cognitive impairment</w:t>
      </w:r>
      <w:r>
        <w:t xml:space="preserve"> </w:t>
      </w:r>
      <w:bookmarkStart w:id="46" w:name="table:2"/>
      <w:bookmarkEnd w:id="46"/>
    </w:p>
    <w:p>
      <w:pPr>
        <w:pStyle w:val="BodyText"/>
      </w:pPr>
      <w:r>
        <w:t xml:space="preserve">Initially, a Kruskal-Wallis test was conducted to examine differences in</w:t>
      </w:r>
      <w:r>
        <w:t xml:space="preserve"> </w:t>
      </w:r>
      <w:r>
        <w:t xml:space="preserve">procrastination scores (measured in 2020) across three cognitive status</w:t>
      </w:r>
      <w:r>
        <w:t xml:space="preserve"> </w:t>
      </w:r>
      <w:r>
        <w:t xml:space="preserve">groups after Levene’s test indicated violation of homogeneity of</w:t>
      </w:r>
      <w:r>
        <w:t xml:space="preserve"> </w:t>
      </w:r>
      <w:r>
        <w:t xml:space="preserve">variance</w:t>
      </w:r>
      <w:r>
        <w:t xml:space="preserve"> </w:t>
      </w:r>
      <m:oMath>
        <m:d>
          <m:dPr>
            <m:begChr m:val="("/>
            <m:endChr m:val=")"/>
            <m:sepChr m:val=""/>
            <m:grow/>
          </m:dPr>
          <m:e>
            <m:r>
              <m:t>p</m:t>
            </m:r>
            <m:r>
              <m:rPr>
                <m:sty m:val="p"/>
              </m:rPr>
              <m:t>=</m:t>
            </m:r>
            <m:r>
              <m:t>0.039</m:t>
            </m:r>
          </m:e>
        </m:d>
      </m:oMath>
      <w:r>
        <w:t xml:space="preserve">. The analysis revealed a statistically</w:t>
      </w:r>
      <w:r>
        <w:t xml:space="preserve"> </w:t>
      </w:r>
      <w:r>
        <w:t xml:space="preserve">significant effect of cognitive status,</w:t>
      </w:r>
      <w:r>
        <w:t xml:space="preserve"> </w:t>
      </w:r>
      <m:oMath>
        <m:d>
          <m:dPr>
            <m:begChr m:val="("/>
            <m:endChr m:val=")"/>
            <m:sepChr m:val=""/>
            <m:grow/>
          </m:dPr>
          <m:e>
            <m:sSup>
              <m:e>
                <m:r>
                  <m:t>χ</m:t>
                </m:r>
              </m:e>
              <m:sup>
                <m:r>
                  <m:t>2</m:t>
                </m:r>
              </m:sup>
            </m:sSup>
            <m:d>
              <m:dPr>
                <m:begChr m:val="("/>
                <m:endChr m:val=")"/>
                <m:sepChr m:val=""/>
                <m:grow/>
              </m:dPr>
              <m:e>
                <m:r>
                  <m:t>2</m:t>
                </m:r>
              </m:e>
            </m:d>
            <m:r>
              <m:rPr>
                <m:sty m:val="p"/>
              </m:rPr>
              <m:t>=</m:t>
            </m:r>
            <m:r>
              <m:t>17.54</m:t>
            </m:r>
            <m:r>
              <m:rPr>
                <m:sty m:val="p"/>
              </m:rPr>
              <m:t>,</m:t>
            </m:r>
            <m:r>
              <m:t>p</m:t>
            </m:r>
            <m:r>
              <m:rPr>
                <m:sty m:val="p"/>
              </m:rPr>
              <m:t>&lt;</m:t>
            </m:r>
            <m:r>
              <m:t>.001</m:t>
            </m:r>
          </m:e>
        </m:d>
      </m:oMath>
      <w:r>
        <w:t xml:space="preserve">,</w:t>
      </w:r>
      <w:r>
        <w:t xml:space="preserve"> </w:t>
      </w:r>
      <w:r>
        <w:t xml:space="preserve">indicating that procrastination levels differed significantly between at</w:t>
      </w:r>
      <w:r>
        <w:t xml:space="preserve"> </w:t>
      </w:r>
      <w:r>
        <w:t xml:space="preserve">least two of the groups. Post-hoc analysis using a pairwise Wilcoxon</w:t>
      </w:r>
      <w:r>
        <w:t xml:space="preserve"> </w:t>
      </w:r>
      <w:r>
        <w:t xml:space="preserve">rank-sum test with a Benjamini-Hochberg correction showed that</w:t>
      </w:r>
      <w:r>
        <w:t xml:space="preserve"> </w:t>
      </w:r>
      <w:r>
        <w:t xml:space="preserve">participants with normal cognition</w:t>
      </w:r>
      <w:r>
        <w:t xml:space="preserve"> </w:t>
      </w:r>
      <m:oMath>
        <m:d>
          <m:dPr>
            <m:begChr m:val="("/>
            <m:endChr m:val=")"/>
            <m:sepChr m:val=""/>
            <m:grow/>
          </m:dPr>
          <m:e>
            <m:r>
              <m:t>M</m:t>
            </m:r>
            <m:r>
              <m:rPr>
                <m:sty m:val="p"/>
              </m:rPr>
              <m:t>=</m:t>
            </m:r>
            <m:r>
              <m:t>27.7</m:t>
            </m:r>
            <m:r>
              <m:rPr>
                <m:sty m:val="p"/>
              </m:rPr>
              <m:t>,</m:t>
            </m:r>
            <m:r>
              <m:t>S</m:t>
            </m:r>
            <m:r>
              <m:t>D</m:t>
            </m:r>
            <m:r>
              <m:rPr>
                <m:sty m:val="p"/>
              </m:rPr>
              <m:t>=</m:t>
            </m:r>
            <m:r>
              <m:t>11.7</m:t>
            </m:r>
          </m:e>
        </m:d>
      </m:oMath>
      <w:r>
        <w:t xml:space="preserve"> </w:t>
      </w:r>
      <w:r>
        <w:t xml:space="preserve">reported</w:t>
      </w:r>
      <w:r>
        <w:t xml:space="preserve"> </w:t>
      </w:r>
      <w:r>
        <w:t xml:space="preserve">significantly lower levels of procrastination than those with both MCI</w:t>
      </w:r>
      <w:r>
        <w:t xml:space="preserve"> </w:t>
      </w:r>
      <m:oMath>
        <m:d>
          <m:dPr>
            <m:begChr m:val="("/>
            <m:endChr m:val=")"/>
            <m:sepChr m:val=""/>
            <m:grow/>
          </m:dPr>
          <m:e>
            <m:r>
              <m:t>M</m:t>
            </m:r>
            <m:r>
              <m:rPr>
                <m:sty m:val="p"/>
              </m:rPr>
              <m:t>=</m:t>
            </m:r>
            <m:r>
              <m:t>32.1</m:t>
            </m:r>
            <m:r>
              <m:rPr>
                <m:sty m:val="p"/>
              </m:rPr>
              <m:t>;</m:t>
            </m:r>
            <m:r>
              <m:t>S</m:t>
            </m:r>
            <m:r>
              <m:t>D</m:t>
            </m:r>
            <m:r>
              <m:rPr>
                <m:sty m:val="p"/>
              </m:rPr>
              <m:t>=</m:t>
            </m:r>
            <m:r>
              <m:t>11.3</m:t>
            </m:r>
            <m:r>
              <m:rPr>
                <m:sty m:val="p"/>
              </m:rPr>
              <m:t>;</m:t>
            </m:r>
            <m:r>
              <m:t>p</m:t>
            </m:r>
            <m:r>
              <m:rPr>
                <m:sty m:val="p"/>
              </m:rPr>
              <m:t>=</m:t>
            </m:r>
            <m:r>
              <m:t>0.004</m:t>
            </m:r>
          </m:e>
        </m:d>
      </m:oMath>
      <w:r>
        <w:t xml:space="preserve"> </w:t>
      </w:r>
      <w:r>
        <w:t xml:space="preserve">and dementia</w:t>
      </w:r>
      <w:r>
        <w:t xml:space="preserve"> </w:t>
      </w:r>
      <m:oMath>
        <m:d>
          <m:dPr>
            <m:begChr m:val="("/>
            <m:endChr m:val=")"/>
            <m:sepChr m:val=""/>
            <m:grow/>
          </m:dPr>
          <m:e>
            <m:r>
              <m:t>M</m:t>
            </m:r>
            <m:r>
              <m:rPr>
                <m:sty m:val="p"/>
              </m:rPr>
              <m:t>=</m:t>
            </m:r>
            <m:r>
              <m:t>36.2</m:t>
            </m:r>
            <m:r>
              <m:rPr>
                <m:sty m:val="p"/>
              </m:rPr>
              <m:t>;</m:t>
            </m:r>
            <m:r>
              <m:t>S</m:t>
            </m:r>
            <m:r>
              <m:t>D</m:t>
            </m:r>
            <m:r>
              <m:rPr>
                <m:sty m:val="p"/>
              </m:rPr>
              <m:t>=</m:t>
            </m:r>
            <m:r>
              <m:t>14.8</m:t>
            </m:r>
            <m:r>
              <m:rPr>
                <m:sty m:val="p"/>
              </m:rPr>
              <m:t>;</m:t>
            </m:r>
            <m:r>
              <m:t>p</m:t>
            </m:r>
            <m:r>
              <m:rPr>
                <m:sty m:val="p"/>
              </m:rPr>
              <m:t>=</m:t>
            </m:r>
            <m:r>
              <m:t>0.005</m:t>
            </m:r>
          </m:e>
        </m:d>
      </m:oMath>
      <w:r>
        <w:t xml:space="preserve">. No significance difference was found</w:t>
      </w:r>
      <w:r>
        <w:t xml:space="preserve"> </w:t>
      </w:r>
      <w:r>
        <w:t xml:space="preserve">between those with MCI and dementia</w:t>
      </w:r>
      <w:r>
        <w:t xml:space="preserve"> </w:t>
      </w:r>
      <m:oMath>
        <m:d>
          <m:dPr>
            <m:begChr m:val="("/>
            <m:endChr m:val=")"/>
            <m:sepChr m:val=""/>
            <m:grow/>
          </m:dPr>
          <m:e>
            <m:r>
              <m:t>p</m:t>
            </m:r>
            <m:r>
              <m:rPr>
                <m:sty m:val="p"/>
              </m:rPr>
              <m:t>=</m:t>
            </m:r>
            <m:r>
              <m:t>0.334</m:t>
            </m:r>
          </m:e>
        </m:d>
      </m:oMath>
      <w:r>
        <w:t xml:space="preserve">. Figure</w:t>
      </w:r>
      <w:r>
        <w:t xml:space="preserve"> </w:t>
      </w:r>
      <w:hyperlink w:anchor="fig:1">
        <w:r>
          <w:rPr>
            <w:rStyle w:val="Hyperlink"/>
          </w:rPr>
          <w:t xml:space="preserve">1</w:t>
        </w:r>
      </w:hyperlink>
      <w:r>
        <w:t xml:space="preserve"> </w:t>
      </w:r>
      <w:r>
        <w:t xml:space="preserve">displays the</w:t>
      </w:r>
      <w:r>
        <w:t xml:space="preserve"> </w:t>
      </w:r>
      <w:r>
        <w:t xml:space="preserve">distribution of procrastination scores across groups, with both boxplots</w:t>
      </w:r>
      <w:r>
        <w:t xml:space="preserve"> </w:t>
      </w:r>
      <w:r>
        <w:t xml:space="preserve">and dotplots showing median values and individual data points.</w:t>
      </w:r>
      <w:r>
        <w:t xml:space="preserve"> </w:t>
      </w:r>
      <w:r>
        <w:t xml:space="preserve">Significance bars indicate the pairwise differences described above.</w:t>
      </w:r>
    </w:p>
    <w:p>
      <w:pPr>
        <w:pStyle w:val="BodyText"/>
      </w:pPr>
      <w:bookmarkStart w:id="47" w:name="fig:1"/>
      <w:bookmarkEnd w:id="47"/>
    </w:p>
    <w:p>
      <w:pPr>
        <w:pStyle w:val="BodyText"/>
      </w:pPr>
      <w:r>
        <w:t xml:space="preserve">Group differences in 2020 procrastination scores according</w:t>
      </w:r>
      <w:r>
        <w:t xml:space="preserve"> </w:t>
      </w:r>
      <w:r>
        <w:t xml:space="preserve">to cognitive status.</w:t>
      </w:r>
    </w:p>
    <w:bookmarkStart w:id="49" w:name="markov-analysis"/>
    <w:p>
      <w:pPr>
        <w:pStyle w:val="Heading2"/>
      </w:pPr>
      <w:r>
        <w:t xml:space="preserve">Markov analysis</w:t>
      </w:r>
    </w:p>
    <w:p>
      <w:pPr>
        <w:pStyle w:val="FirstParagraph"/>
      </w:pPr>
      <w:r>
        <w:t xml:space="preserve">Results from the discrete-time Markov analysis, showed that all covariates significantly influenced the likelihood of transitioning</w:t>
      </w:r>
      <w:r>
        <w:t xml:space="preserve"> </w:t>
      </w:r>
      <w:r>
        <w:t xml:space="preserve">between cognitive states (see Table</w:t>
      </w:r>
      <w:r>
        <w:t xml:space="preserve"> </w:t>
      </w:r>
      <w:hyperlink w:anchor="table:3">
        <w:r>
          <w:rPr>
            <w:rStyle w:val="Hyperlink"/>
          </w:rPr>
          <w:t xml:space="preserve">34</w:t>
        </w:r>
      </w:hyperlink>
      <w:r>
        <w:t xml:space="preserve">). Notably, procrastination interacted significantly</w:t>
      </w:r>
      <w:r>
        <w:t xml:space="preserve"> </w:t>
      </w:r>
      <w:r>
        <w:t xml:space="preserve">with age to affect two key transitions: increasing the likelihood of</w:t>
      </w:r>
      <w:r>
        <w:t xml:space="preserve"> </w:t>
      </w:r>
      <w:r>
        <w:t xml:space="preserve">transitioning from normal cognition to MCI</w:t>
      </w:r>
      <w:r>
        <w:t xml:space="preserve"> </w:t>
      </w:r>
      <m:oMath>
        <m:d>
          <m:dPr>
            <m:begChr m:val="("/>
            <m:endChr m:val=")"/>
            <m:sepChr m:val=""/>
            <m:grow/>
          </m:dPr>
          <m:e>
            <m:r>
              <m:rPr>
                <m:nor/>
                <m:sty m:val="p"/>
              </m:rPr>
              <m:t>OR</m:t>
            </m:r>
            <m:r>
              <m:rPr>
                <m:sty m:val="p"/>
              </m:rPr>
              <m:t>=</m:t>
            </m:r>
            <m:r>
              <m:t>1.001</m:t>
            </m:r>
            <m:r>
              <m:rPr>
                <m:sty m:val="p"/>
              </m:rPr>
              <m:t>;</m:t>
            </m:r>
            <m:r>
              <m:t>p</m:t>
            </m:r>
            <m:r>
              <m:rPr>
                <m:sty m:val="p"/>
              </m:rPr>
              <m:t>&lt;</m:t>
            </m:r>
            <m:r>
              <m:t>0.001</m:t>
            </m:r>
          </m:e>
        </m:d>
      </m:oMath>
      <w:r>
        <w:t xml:space="preserve"> </w:t>
      </w:r>
      <w:r>
        <w:t xml:space="preserve">and decreasing the likelihood of</w:t>
      </w:r>
      <w:r>
        <w:t xml:space="preserve"> </w:t>
      </w:r>
      <w:r>
        <w:t xml:space="preserve">reverting from MCI to normal cognition</w:t>
      </w:r>
      <w:r>
        <w:t xml:space="preserve"> </w:t>
      </w:r>
      <m:oMath>
        <m:d>
          <m:dPr>
            <m:begChr m:val="("/>
            <m:endChr m:val=")"/>
            <m:sepChr m:val=""/>
            <m:grow/>
          </m:dPr>
          <m:e>
            <m:r>
              <m:rPr>
                <m:nor/>
                <m:sty m:val="p"/>
              </m:rPr>
              <m:t>OR</m:t>
            </m:r>
            <m:r>
              <m:rPr>
                <m:sty m:val="p"/>
              </m:rPr>
              <m:t>=</m:t>
            </m:r>
            <m:r>
              <m:t>0.999</m:t>
            </m:r>
            <m:r>
              <m:rPr>
                <m:sty m:val="p"/>
              </m:rPr>
              <m:t>;</m:t>
            </m:r>
            <m:r>
              <m:t>p</m:t>
            </m:r>
            <m:r>
              <m:rPr>
                <m:sty m:val="p"/>
              </m:rPr>
              <m:t>&lt;</m:t>
            </m:r>
            <m:r>
              <m:t>0.001</m:t>
            </m:r>
          </m:e>
        </m:d>
      </m:oMath>
      <w:r>
        <w:t xml:space="preserve">.</w:t>
      </w:r>
    </w:p>
    <w:p>
      <w:pPr>
        <w:pStyle w:val="BodyText"/>
      </w:pPr>
      <w:r>
        <w:t xml:space="preserve">In addition women were significantly less likely than men to transition</w:t>
      </w:r>
      <w:r>
        <w:t xml:space="preserve"> </w:t>
      </w:r>
      <w:r>
        <w:t xml:space="preserve">from both normal cognition to dementia</w:t>
      </w:r>
      <w:r>
        <w:t xml:space="preserve"> </w:t>
      </w:r>
      <m:oMath>
        <m:d>
          <m:dPr>
            <m:begChr m:val="("/>
            <m:endChr m:val=")"/>
            <m:sepChr m:val=""/>
            <m:grow/>
          </m:dPr>
          <m:e>
            <m:r>
              <m:rPr>
                <m:nor/>
                <m:sty m:val="p"/>
              </m:rPr>
              <m:t>OR</m:t>
            </m:r>
            <m:r>
              <m:rPr>
                <m:sty m:val="p"/>
              </m:rPr>
              <m:t>=</m:t>
            </m:r>
            <m:r>
              <m:t>0.068</m:t>
            </m:r>
            <m:r>
              <m:rPr>
                <m:sty m:val="p"/>
              </m:rPr>
              <m:t>;</m:t>
            </m:r>
            <m:r>
              <m:t>p</m:t>
            </m:r>
            <m:r>
              <m:rPr>
                <m:sty m:val="p"/>
              </m:rPr>
              <m:t>&lt;</m:t>
            </m:r>
            <m:r>
              <m:t>0.001</m:t>
            </m:r>
          </m:e>
        </m:d>
      </m:oMath>
      <w:r>
        <w:t xml:space="preserve"> </w:t>
      </w:r>
      <w:r>
        <w:t xml:space="preserve">and from MCI to dementia</w:t>
      </w:r>
      <w:r>
        <w:t xml:space="preserve"> </w:t>
      </w:r>
      <m:oMath>
        <m:r>
          <m:rPr>
            <m:sty m:val="p"/>
          </m:rPr>
          <m:t>(</m:t>
        </m:r>
        <m:r>
          <m:rPr>
            <m:nor/>
            <m:sty m:val="p"/>
          </m:rPr>
          <m:t>OR</m:t>
        </m:r>
        <m:r>
          <m:rPr>
            <m:sty m:val="p"/>
          </m:rPr>
          <m:t>=</m:t>
        </m:r>
        <m:r>
          <m:t>0.70</m:t>
        </m:r>
        <m:r>
          <m:rPr>
            <m:sty m:val="p"/>
          </m:rPr>
          <m:t>;</m:t>
        </m:r>
        <m:r>
          <m:t>p</m:t>
        </m:r>
        <m:r>
          <m:rPr>
            <m:sty m:val="p"/>
          </m:rPr>
          <m:t>&lt;</m:t>
        </m:r>
        <m:r>
          <m:t>0.001</m:t>
        </m:r>
      </m:oMath>
      <w:r>
        <w:t xml:space="preserve">). Educational</w:t>
      </w:r>
      <w:r>
        <w:t xml:space="preserve"> </w:t>
      </w:r>
      <w:r>
        <w:t xml:space="preserve">attainment was another strong predictor of cognitive transitions.</w:t>
      </w:r>
      <w:r>
        <w:t xml:space="preserve"> </w:t>
      </w:r>
      <w:r>
        <w:t xml:space="preserve">Individuals with a GED were less likely to transition from normal</w:t>
      </w:r>
      <w:r>
        <w:t xml:space="preserve"> </w:t>
      </w:r>
      <w:r>
        <w:t xml:space="preserve">cognition to either MCI</w:t>
      </w:r>
      <w:r>
        <w:t xml:space="preserve"> </w:t>
      </w:r>
      <m:oMath>
        <m:d>
          <m:dPr>
            <m:begChr m:val="("/>
            <m:endChr m:val=")"/>
            <m:sepChr m:val=""/>
            <m:grow/>
          </m:dPr>
          <m:e>
            <m:r>
              <m:rPr>
                <m:nor/>
                <m:sty m:val="p"/>
              </m:rPr>
              <m:t>OR</m:t>
            </m:r>
            <m:r>
              <m:rPr>
                <m:sty m:val="p"/>
              </m:rPr>
              <m:t>=</m:t>
            </m:r>
            <m:r>
              <m:t>0.49</m:t>
            </m:r>
            <m:r>
              <m:rPr>
                <m:sty m:val="p"/>
              </m:rPr>
              <m:t>;</m:t>
            </m:r>
            <m:r>
              <m:t>p</m:t>
            </m:r>
            <m:r>
              <m:rPr>
                <m:sty m:val="p"/>
              </m:rPr>
              <m:t>&lt;</m:t>
            </m:r>
            <m:r>
              <m:t>0.001</m:t>
            </m:r>
          </m:e>
        </m:d>
      </m:oMath>
      <w:r>
        <w:t xml:space="preserve"> </w:t>
      </w:r>
      <w:r>
        <w:t xml:space="preserve">or dementia</w:t>
      </w:r>
      <w:r>
        <w:t xml:space="preserve"> </w:t>
      </w:r>
      <m:oMath>
        <m:d>
          <m:dPr>
            <m:begChr m:val="("/>
            <m:endChr m:val=")"/>
            <m:sepChr m:val=""/>
            <m:grow/>
          </m:dPr>
          <m:e>
            <m:r>
              <m:rPr>
                <m:nor/>
                <m:sty m:val="p"/>
              </m:rPr>
              <m:t>OR</m:t>
            </m:r>
            <m:r>
              <m:rPr>
                <m:sty m:val="p"/>
              </m:rPr>
              <m:t>=</m:t>
            </m:r>
            <m:r>
              <m:t>0.29</m:t>
            </m:r>
            <m:r>
              <m:rPr>
                <m:sty m:val="p"/>
              </m:rPr>
              <m:t>;</m:t>
            </m:r>
            <m:r>
              <m:t>p</m:t>
            </m:r>
            <m:r>
              <m:rPr>
                <m:sty m:val="p"/>
              </m:rPr>
              <m:t>&lt;</m:t>
            </m:r>
            <m:r>
              <m:t>0.001</m:t>
            </m:r>
          </m:e>
        </m:d>
      </m:oMath>
      <w:r>
        <w:t xml:space="preserve"> </w:t>
      </w:r>
      <w:r>
        <w:t xml:space="preserve">and from MCI to dementia</w:t>
      </w:r>
      <w:r>
        <w:t xml:space="preserve"> </w:t>
      </w:r>
      <m:oMath>
        <m:d>
          <m:dPr>
            <m:begChr m:val="("/>
            <m:endChr m:val=")"/>
            <m:sepChr m:val=""/>
            <m:grow/>
          </m:dPr>
          <m:e>
            <m:r>
              <m:rPr>
                <m:nor/>
                <m:sty m:val="p"/>
              </m:rPr>
              <m:t>OR</m:t>
            </m:r>
            <m:r>
              <m:rPr>
                <m:sty m:val="p"/>
              </m:rPr>
              <m:t>=</m:t>
            </m:r>
            <m:r>
              <m:t>0.64</m:t>
            </m:r>
            <m:r>
              <m:rPr>
                <m:sty m:val="p"/>
              </m:rPr>
              <m:t>;</m:t>
            </m:r>
            <m:r>
              <m:t>p</m:t>
            </m:r>
            <m:r>
              <m:rPr>
                <m:sty m:val="p"/>
              </m:rPr>
              <m:t>&lt;</m:t>
            </m:r>
            <m:r>
              <m:t>0.001</m:t>
            </m:r>
          </m:e>
        </m:d>
      </m:oMath>
      <w:r>
        <w:t xml:space="preserve">. They were also more likely to back</w:t>
      </w:r>
      <w:r>
        <w:t xml:space="preserve"> </w:t>
      </w:r>
      <w:r>
        <w:t xml:space="preserve">transition from MCI to normal cognition</w:t>
      </w:r>
      <w:r>
        <w:t xml:space="preserve"> </w:t>
      </w:r>
      <m:oMath>
        <m:d>
          <m:dPr>
            <m:begChr m:val="("/>
            <m:endChr m:val=")"/>
            <m:sepChr m:val=""/>
            <m:grow/>
          </m:dPr>
          <m:e>
            <m:r>
              <m:rPr>
                <m:nor/>
                <m:sty m:val="p"/>
              </m:rPr>
              <m:t>OR</m:t>
            </m:r>
            <m:r>
              <m:rPr>
                <m:sty m:val="p"/>
              </m:rPr>
              <m:t>=</m:t>
            </m:r>
            <m:r>
              <m:t>2.18</m:t>
            </m:r>
            <m:r>
              <m:rPr>
                <m:sty m:val="p"/>
              </m:rPr>
              <m:t>;</m:t>
            </m:r>
            <m:r>
              <m:t>p</m:t>
            </m:r>
            <m:r>
              <m:rPr>
                <m:sty m:val="p"/>
              </m:rPr>
              <m:t>&lt;</m:t>
            </m:r>
            <m:r>
              <m:t>0.001</m:t>
            </m:r>
          </m:e>
        </m:d>
      </m:oMath>
      <w:r>
        <w:t xml:space="preserve">.</w:t>
      </w:r>
    </w:p>
    <w:p>
      <w:pPr>
        <w:pStyle w:val="BodyText"/>
      </w:pPr>
      <w:r>
        <w:t xml:space="preserve">Furthermore, those with a college level education or higher demonstrated</w:t>
      </w:r>
      <w:r>
        <w:t xml:space="preserve"> </w:t>
      </w:r>
      <w:r>
        <w:t xml:space="preserve">a significantly reduced likelihood of transitioning from normal</w:t>
      </w:r>
      <w:r>
        <w:t xml:space="preserve"> </w:t>
      </w:r>
      <w:r>
        <w:t xml:space="preserve">cognition to either MCI</w:t>
      </w:r>
      <w:r>
        <w:t xml:space="preserve"> </w:t>
      </w:r>
      <m:oMath>
        <m:d>
          <m:dPr>
            <m:begChr m:val="("/>
            <m:endChr m:val=")"/>
            <m:sepChr m:val=""/>
            <m:grow/>
          </m:dPr>
          <m:e>
            <m:r>
              <m:rPr>
                <m:nor/>
                <m:sty m:val="p"/>
              </m:rPr>
              <m:t>OR</m:t>
            </m:r>
            <m:r>
              <m:rPr>
                <m:sty m:val="p"/>
              </m:rPr>
              <m:t>=</m:t>
            </m:r>
            <m:r>
              <m:t>0.32</m:t>
            </m:r>
            <m:r>
              <m:rPr>
                <m:sty m:val="p"/>
              </m:rPr>
              <m:t>;</m:t>
            </m:r>
            <m:r>
              <m:t>p</m:t>
            </m:r>
            <m:r>
              <m:rPr>
                <m:sty m:val="p"/>
              </m:rPr>
              <m:t>&lt;</m:t>
            </m:r>
            <m:r>
              <m:t>0.001</m:t>
            </m:r>
          </m:e>
        </m:d>
      </m:oMath>
      <w:r>
        <w:t xml:space="preserve"> </w:t>
      </w:r>
      <w:r>
        <w:t xml:space="preserve">or dementia</w:t>
      </w:r>
      <w:r>
        <w:t xml:space="preserve"> </w:t>
      </w:r>
      <m:oMath>
        <m:d>
          <m:dPr>
            <m:begChr m:val="("/>
            <m:endChr m:val=")"/>
            <m:sepChr m:val=""/>
            <m:grow/>
          </m:dPr>
          <m:e>
            <m:r>
              <m:rPr>
                <m:nor/>
                <m:sty m:val="p"/>
              </m:rPr>
              <m:t>OR</m:t>
            </m:r>
            <m:r>
              <m:rPr>
                <m:sty m:val="p"/>
              </m:rPr>
              <m:t>=</m:t>
            </m:r>
            <m:r>
              <m:t>0.07</m:t>
            </m:r>
            <m:r>
              <m:rPr>
                <m:sty m:val="p"/>
              </m:rPr>
              <m:t>;</m:t>
            </m:r>
            <m:r>
              <m:t>p</m:t>
            </m:r>
            <m:r>
              <m:rPr>
                <m:sty m:val="p"/>
              </m:rPr>
              <m:t>&lt;</m:t>
            </m:r>
            <m:r>
              <m:t>0.001</m:t>
            </m:r>
          </m:e>
        </m:d>
      </m:oMath>
      <w:r>
        <w:t xml:space="preserve"> </w:t>
      </w:r>
      <w:r>
        <w:t xml:space="preserve">and from MCI to dementia</w:t>
      </w:r>
      <w:r>
        <w:t xml:space="preserve"> </w:t>
      </w:r>
      <m:oMath>
        <m:d>
          <m:dPr>
            <m:begChr m:val="("/>
            <m:endChr m:val=")"/>
            <m:sepChr m:val=""/>
            <m:grow/>
          </m:dPr>
          <m:e>
            <m:r>
              <m:rPr>
                <m:nor/>
                <m:sty m:val="p"/>
              </m:rPr>
              <m:t>OR</m:t>
            </m:r>
            <m:r>
              <m:rPr>
                <m:sty m:val="p"/>
              </m:rPr>
              <m:t>=</m:t>
            </m:r>
            <m:r>
              <m:t>0.22</m:t>
            </m:r>
            <m:r>
              <m:rPr>
                <m:sty m:val="p"/>
              </m:rPr>
              <m:t>;</m:t>
            </m:r>
            <m:r>
              <m:t>p</m:t>
            </m:r>
            <m:r>
              <m:rPr>
                <m:sty m:val="p"/>
              </m:rPr>
              <m:t>&lt;</m:t>
            </m:r>
            <m:r>
              <m:t>0.001</m:t>
            </m:r>
          </m:e>
        </m:d>
      </m:oMath>
      <w:r>
        <w:t xml:space="preserve">. They were also more likely to back</w:t>
      </w:r>
      <w:r>
        <w:t xml:space="preserve"> </w:t>
      </w:r>
      <w:r>
        <w:t xml:space="preserve">transition from MCI to normal cognition</w:t>
      </w:r>
      <w:r>
        <w:t xml:space="preserve"> </w:t>
      </w:r>
      <m:oMath>
        <m:d>
          <m:dPr>
            <m:begChr m:val="("/>
            <m:endChr m:val=")"/>
            <m:sepChr m:val=""/>
            <m:grow/>
          </m:dPr>
          <m:e>
            <m:r>
              <m:rPr>
                <m:nor/>
                <m:sty m:val="p"/>
              </m:rPr>
              <m:t>OR</m:t>
            </m:r>
            <m:r>
              <m:rPr>
                <m:sty m:val="p"/>
              </m:rPr>
              <m:t>=</m:t>
            </m:r>
            <m:r>
              <m:t>3.13</m:t>
            </m:r>
            <m:r>
              <m:rPr>
                <m:sty m:val="p"/>
              </m:rPr>
              <m:t>;</m:t>
            </m:r>
            <m:r>
              <m:t>p</m:t>
            </m:r>
            <m:r>
              <m:rPr>
                <m:sty m:val="p"/>
              </m:rPr>
              <m:t>&lt;</m:t>
            </m:r>
            <m:r>
              <m:t>0.001</m:t>
            </m:r>
          </m:e>
        </m:d>
      </m:oMath>
      <w:r>
        <w:t xml:space="preserve">.</w:t>
      </w:r>
    </w:p>
    <w:p>
      <w:pPr>
        <w:pStyle w:val="BodyText"/>
      </w:pPr>
      <w:r>
        <w:t xml:space="preserve">Finally, higher levels of depressive symptomatology were associated with</w:t>
      </w:r>
      <w:r>
        <w:t xml:space="preserve"> </w:t>
      </w:r>
      <w:r>
        <w:t xml:space="preserve">an increased likelihood of transitioning from normal cognition to both</w:t>
      </w:r>
      <w:r>
        <w:t xml:space="preserve"> </w:t>
      </w:r>
      <w:r>
        <w:t xml:space="preserve">MCI</w:t>
      </w:r>
      <w:r>
        <w:t xml:space="preserve"> </w:t>
      </w:r>
      <m:oMath>
        <m:d>
          <m:dPr>
            <m:begChr m:val="("/>
            <m:endChr m:val=")"/>
            <m:sepChr m:val=""/>
            <m:grow/>
          </m:dPr>
          <m:e>
            <m:r>
              <m:rPr>
                <m:nor/>
                <m:sty m:val="p"/>
              </m:rPr>
              <m:t>OR</m:t>
            </m:r>
            <m:r>
              <m:rPr>
                <m:sty m:val="p"/>
              </m:rPr>
              <m:t>=</m:t>
            </m:r>
            <m:r>
              <m:t>1.13</m:t>
            </m:r>
            <m:r>
              <m:rPr>
                <m:sty m:val="p"/>
              </m:rPr>
              <m:t>;</m:t>
            </m:r>
            <m:r>
              <m:t>p</m:t>
            </m:r>
            <m:r>
              <m:rPr>
                <m:sty m:val="p"/>
              </m:rPr>
              <m:t>=</m:t>
            </m:r>
            <m:r>
              <m:t>0.002</m:t>
            </m:r>
          </m:e>
        </m:d>
      </m:oMath>
      <w:r>
        <w:t xml:space="preserve"> </w:t>
      </w:r>
      <w:r>
        <w:t xml:space="preserve">and dementia</w:t>
      </w:r>
      <w:r>
        <w:t xml:space="preserve"> </w:t>
      </w:r>
      <m:oMath>
        <m:d>
          <m:dPr>
            <m:begChr m:val="("/>
            <m:endChr m:val=")"/>
            <m:sepChr m:val=""/>
            <m:grow/>
          </m:dPr>
          <m:e>
            <m:r>
              <m:rPr>
                <m:nor/>
                <m:sty m:val="p"/>
              </m:rPr>
              <m:t>OR</m:t>
            </m:r>
            <m:r>
              <m:rPr>
                <m:sty m:val="p"/>
              </m:rPr>
              <m:t>=</m:t>
            </m:r>
            <m:r>
              <m:t>1.18</m:t>
            </m:r>
            <m:r>
              <m:rPr>
                <m:sty m:val="p"/>
              </m:rPr>
              <m:t>;</m:t>
            </m:r>
            <m:r>
              <m:t>p</m:t>
            </m:r>
            <m:r>
              <m:rPr>
                <m:sty m:val="p"/>
              </m:rPr>
              <m:t>=</m:t>
            </m:r>
            <m:r>
              <m:t>0.046</m:t>
            </m:r>
          </m:e>
        </m:d>
      </m:oMath>
      <w:r>
        <w:t xml:space="preserve"> </w:t>
      </w:r>
      <w:r>
        <w:t xml:space="preserve">and and a decreased likelihood of</w:t>
      </w:r>
      <w:r>
        <w:t xml:space="preserve"> </w:t>
      </w:r>
      <w:r>
        <w:t xml:space="preserve">transitioning from MCI back to normal cognition</w:t>
      </w:r>
      <w:r>
        <w:t xml:space="preserve"> </w:t>
      </w:r>
      <m:oMath>
        <m:d>
          <m:dPr>
            <m:begChr m:val="("/>
            <m:endChr m:val=")"/>
            <m:sepChr m:val=""/>
            <m:grow/>
          </m:dPr>
          <m:e>
            <m:r>
              <m:rPr>
                <m:nor/>
                <m:sty m:val="p"/>
              </m:rPr>
              <m:t>OR</m:t>
            </m:r>
            <m:r>
              <m:rPr>
                <m:sty m:val="p"/>
              </m:rPr>
              <m:t>=</m:t>
            </m:r>
            <m:r>
              <m:t>0.89</m:t>
            </m:r>
            <m:r>
              <m:rPr>
                <m:sty m:val="p"/>
              </m:rPr>
              <m:t>;</m:t>
            </m:r>
            <m:r>
              <m:t>p</m:t>
            </m:r>
            <m:r>
              <m:rPr>
                <m:sty m:val="p"/>
              </m:rPr>
              <m:t>=</m:t>
            </m:r>
            <m:r>
              <m:t>0.001</m:t>
            </m:r>
          </m:e>
        </m:d>
      </m:oMath>
      <w:r>
        <w:t xml:space="preserve">.</w:t>
      </w:r>
    </w:p>
    <w:tbl>
      <w:tblPr>
        <w:tblStyle w:val="Table"/>
        <w:tblW w:type="pct" w:w="5000"/>
        <w:tblLayout w:type="fixed"/>
        <w:tblLook w:firstRow="1" w:lastRow="0" w:firstColumn="0" w:lastColumn="0" w:noHBand="0" w:noVBand="0" w:val="0020"/>
      </w:tblPr>
      <w:tblGrid>
        <w:gridCol w:w="1021"/>
        <w:gridCol w:w="1724"/>
        <w:gridCol w:w="1724"/>
        <w:gridCol w:w="1724"/>
        <w:gridCol w:w="1724"/>
      </w:tblGrid>
      <w:tr>
        <w:trPr>
          <w:tblHeader w:val="on"/>
        </w:trPr>
        <w:tc>
          <w:tcPr/>
          <w:p>
            <w:pPr>
              <w:pStyle w:val="Compact"/>
            </w:pPr>
          </w:p>
        </w:tc>
        <w:tc>
          <w:tcPr/>
          <w:p>
            <w:pPr>
              <w:pStyle w:val="Compact"/>
              <w:jc w:val="center"/>
            </w:pPr>
            <w:r>
              <w:t xml:space="preserve">Intercept</w:t>
            </w:r>
          </w:p>
        </w:tc>
        <w:tc>
          <w:tcPr/>
          <w:p>
            <w:pPr>
              <w:pStyle w:val="Compact"/>
              <w:jc w:val="center"/>
            </w:pPr>
            <w:r>
              <w:t xml:space="preserve">Gender</w:t>
            </w:r>
          </w:p>
        </w:tc>
        <w:tc>
          <w:tcPr/>
          <w:p>
            <w:pPr>
              <w:pStyle w:val="Compact"/>
              <w:jc w:val="center"/>
            </w:pPr>
            <w:r>
              <w:t xml:space="preserve">Age</w:t>
            </w:r>
          </w:p>
        </w:tc>
        <w:tc>
          <w:tcPr/>
          <w:p>
            <w:pPr>
              <w:pStyle w:val="Compact"/>
              <w:jc w:val="center"/>
            </w:pPr>
            <w:r>
              <w:t xml:space="preserve">GED</w:t>
            </w:r>
          </w:p>
        </w:tc>
      </w:tr>
      <w:tr>
        <w:tc>
          <w:tcPr/>
          <w:p>
            <w:pPr>
              <w:pStyle w:val="Compact"/>
            </w:pPr>
            <w:r>
              <w:t xml:space="preserve">NC - MCI</w:t>
            </w:r>
          </w:p>
        </w:tc>
        <w:tc>
          <w:tcPr/>
          <w:p>
            <w:pPr>
              <w:pStyle w:val="Compact"/>
              <w:jc w:val="center"/>
            </w:pPr>
            <w:r>
              <w:t xml:space="preserve">0.114*** (0.113 - 0.114)</w:t>
            </w:r>
          </w:p>
        </w:tc>
        <w:tc>
          <w:tcPr/>
          <w:p>
            <w:pPr>
              <w:pStyle w:val="Compact"/>
              <w:jc w:val="center"/>
            </w:pPr>
            <w:r>
              <w:t xml:space="preserve">0.941 (0.690 - 1.284)</w:t>
            </w:r>
          </w:p>
        </w:tc>
        <w:tc>
          <w:tcPr/>
          <w:p>
            <w:pPr>
              <w:pStyle w:val="Compact"/>
              <w:jc w:val="center"/>
            </w:pPr>
            <w:r>
              <w:t xml:space="preserve">1.008** (1.002 - 1.014)</w:t>
            </w:r>
          </w:p>
        </w:tc>
        <w:tc>
          <w:tcPr/>
          <w:p>
            <w:pPr>
              <w:pStyle w:val="Compact"/>
              <w:jc w:val="center"/>
            </w:pPr>
            <w:r>
              <w:t xml:space="preserve">0.446*** (0.360 - 0.551)</w:t>
            </w:r>
          </w:p>
        </w:tc>
      </w:tr>
      <w:tr>
        <w:tc>
          <w:tcPr/>
          <w:p>
            <w:pPr>
              <w:pStyle w:val="Compact"/>
            </w:pPr>
            <w:r>
              <w:t xml:space="preserve">NC - Dementia</w:t>
            </w:r>
          </w:p>
        </w:tc>
        <w:tc>
          <w:tcPr/>
          <w:p>
            <w:pPr>
              <w:pStyle w:val="Compact"/>
              <w:jc w:val="center"/>
            </w:pPr>
            <w:r>
              <w:t xml:space="preserve">0.009*** (0.009 - 0.009)</w:t>
            </w:r>
          </w:p>
        </w:tc>
        <w:tc>
          <w:tcPr/>
          <w:p>
            <w:pPr>
              <w:pStyle w:val="Compact"/>
              <w:jc w:val="center"/>
            </w:pPr>
            <w:r>
              <w:t xml:space="preserve">0.669*** (0.662 - 0.687)</w:t>
            </w:r>
          </w:p>
        </w:tc>
        <w:tc>
          <w:tcPr/>
          <w:p>
            <w:pPr>
              <w:pStyle w:val="Compact"/>
              <w:jc w:val="center"/>
            </w:pPr>
            <w:r>
              <w:t xml:space="preserve">1.023*** (1.010 - 1.035)</w:t>
            </w:r>
          </w:p>
        </w:tc>
        <w:tc>
          <w:tcPr/>
          <w:p>
            <w:pPr>
              <w:pStyle w:val="Compact"/>
              <w:jc w:val="center"/>
            </w:pPr>
            <w:r>
              <w:t xml:space="preserve">0.295*** (0.289 - 0.302)</w:t>
            </w:r>
          </w:p>
        </w:tc>
      </w:tr>
      <w:tr>
        <w:tc>
          <w:tcPr/>
          <w:p>
            <w:pPr>
              <w:pStyle w:val="Compact"/>
            </w:pPr>
            <w:r>
              <w:t xml:space="preserve">MCI - NC</w:t>
            </w:r>
          </w:p>
        </w:tc>
        <w:tc>
          <w:tcPr/>
          <w:p>
            <w:pPr>
              <w:pStyle w:val="Compact"/>
              <w:jc w:val="center"/>
            </w:pPr>
            <w:r>
              <w:t xml:space="preserve">9.008*** (8.986 - 9.030)</w:t>
            </w:r>
          </w:p>
        </w:tc>
        <w:tc>
          <w:tcPr/>
          <w:p>
            <w:pPr>
              <w:pStyle w:val="Compact"/>
              <w:jc w:val="center"/>
            </w:pPr>
            <w:r>
              <w:t xml:space="preserve">1.061 (0.789 - 1.482)</w:t>
            </w:r>
          </w:p>
        </w:tc>
        <w:tc>
          <w:tcPr/>
          <w:p>
            <w:pPr>
              <w:pStyle w:val="Compact"/>
              <w:jc w:val="center"/>
            </w:pPr>
            <w:r>
              <w:t xml:space="preserve">0.992** (0.986 - 0.997)</w:t>
            </w:r>
          </w:p>
        </w:tc>
        <w:tc>
          <w:tcPr/>
          <w:p>
            <w:pPr>
              <w:pStyle w:val="Compact"/>
              <w:jc w:val="center"/>
            </w:pPr>
            <w:r>
              <w:t xml:space="preserve">2.46*** (1.829 - 2.759)</w:t>
            </w:r>
          </w:p>
        </w:tc>
      </w:tr>
      <w:tr>
        <w:tc>
          <w:tcPr/>
          <w:p>
            <w:pPr>
              <w:pStyle w:val="Compact"/>
            </w:pPr>
            <w:r>
              <w:t xml:space="preserve">MCI - Dementia</w:t>
            </w:r>
          </w:p>
        </w:tc>
        <w:tc>
          <w:tcPr/>
          <w:p>
            <w:pPr>
              <w:pStyle w:val="Compact"/>
              <w:jc w:val="center"/>
            </w:pPr>
            <w:r>
              <w:t xml:space="preserve">0.13*** (0.129 - 0.130)</w:t>
            </w:r>
          </w:p>
        </w:tc>
        <w:tc>
          <w:tcPr/>
          <w:p>
            <w:pPr>
              <w:pStyle w:val="Compact"/>
              <w:jc w:val="center"/>
            </w:pPr>
            <w:r>
              <w:t xml:space="preserve">0.708*** (0.678 - 0.740)</w:t>
            </w:r>
          </w:p>
        </w:tc>
        <w:tc>
          <w:tcPr/>
          <w:p>
            <w:pPr>
              <w:pStyle w:val="Compact"/>
              <w:jc w:val="center"/>
            </w:pPr>
            <w:r>
              <w:t xml:space="preserve">1.008 (0.995 - 1.021)</w:t>
            </w:r>
          </w:p>
        </w:tc>
        <w:tc>
          <w:tcPr/>
          <w:p>
            <w:pPr>
              <w:pStyle w:val="Compact"/>
              <w:jc w:val="center"/>
            </w:pPr>
            <w:r>
              <w:t xml:space="preserve">0.646*** (0.630 - 0.662)</w:t>
            </w:r>
          </w:p>
        </w:tc>
      </w:tr>
      <w:tr>
        <w:tc>
          <w:tcPr/>
          <w:p>
            <w:pPr>
              <w:pStyle w:val="Compact"/>
            </w:pPr>
          </w:p>
        </w:tc>
        <w:tc>
          <w:tcPr/>
          <w:p>
            <w:pPr>
              <w:pStyle w:val="Compact"/>
              <w:jc w:val="center"/>
            </w:pPr>
            <w:r>
              <w:t xml:space="preserve">Further Education</w:t>
            </w:r>
          </w:p>
        </w:tc>
        <w:tc>
          <w:tcPr/>
          <w:p>
            <w:pPr>
              <w:pStyle w:val="Compact"/>
              <w:jc w:val="center"/>
            </w:pPr>
            <w:r>
              <w:t xml:space="preserve">Depression</w:t>
            </w:r>
          </w:p>
        </w:tc>
        <w:tc>
          <w:tcPr/>
          <w:p>
            <w:pPr>
              <w:pStyle w:val="Compact"/>
              <w:jc w:val="center"/>
            </w:pPr>
            <w:r>
              <w:t xml:space="preserve">Procrastination</w:t>
            </w:r>
          </w:p>
        </w:tc>
        <w:tc>
          <w:tcPr/>
          <w:p>
            <w:pPr>
              <w:pStyle w:val="Compact"/>
              <w:jc w:val="center"/>
            </w:pPr>
            <w:r>
              <w:t xml:space="preserve">Procrastination x Age</w:t>
            </w:r>
          </w:p>
        </w:tc>
      </w:tr>
      <w:tr>
        <w:tc>
          <w:tcPr/>
          <w:p>
            <w:pPr>
              <w:pStyle w:val="Compact"/>
            </w:pPr>
            <w:r>
              <w:t xml:space="preserve">NC - MCI</w:t>
            </w:r>
          </w:p>
        </w:tc>
        <w:tc>
          <w:tcPr/>
          <w:p>
            <w:pPr>
              <w:pStyle w:val="Compact"/>
              <w:jc w:val="center"/>
            </w:pPr>
            <w:r>
              <w:t xml:space="preserve">0.310*** (0.264 - 0.363)</w:t>
            </w:r>
          </w:p>
        </w:tc>
        <w:tc>
          <w:tcPr/>
          <w:p>
            <w:pPr>
              <w:pStyle w:val="Compact"/>
              <w:jc w:val="center"/>
            </w:pPr>
            <w:r>
              <w:t xml:space="preserve">1.147*** (1.067 - 1.233)</w:t>
            </w:r>
          </w:p>
        </w:tc>
        <w:tc>
          <w:tcPr/>
          <w:p>
            <w:pPr>
              <w:pStyle w:val="Compact"/>
              <w:jc w:val="center"/>
            </w:pPr>
            <w:r>
              <w:t xml:space="preserve">0.921*** (0.882 - 0.962)</w:t>
            </w:r>
          </w:p>
        </w:tc>
        <w:tc>
          <w:tcPr/>
          <w:p>
            <w:pPr>
              <w:pStyle w:val="Compact"/>
              <w:jc w:val="center"/>
            </w:pPr>
            <w:r>
              <w:t xml:space="preserve">1.001*** (1.001 - 1.002)</w:t>
            </w:r>
          </w:p>
        </w:tc>
      </w:tr>
      <w:tr>
        <w:tc>
          <w:tcPr/>
          <w:p>
            <w:pPr>
              <w:pStyle w:val="Compact"/>
            </w:pPr>
            <w:r>
              <w:t xml:space="preserve">NC - Dementia</w:t>
            </w:r>
          </w:p>
        </w:tc>
        <w:tc>
          <w:tcPr/>
          <w:p>
            <w:pPr>
              <w:pStyle w:val="Compact"/>
              <w:jc w:val="center"/>
            </w:pPr>
            <w:r>
              <w:t xml:space="preserve">0.068*** (0.068 - 0.068)</w:t>
            </w:r>
          </w:p>
        </w:tc>
        <w:tc>
          <w:tcPr/>
          <w:p>
            <w:pPr>
              <w:pStyle w:val="Compact"/>
              <w:jc w:val="center"/>
            </w:pPr>
            <w:r>
              <w:t xml:space="preserve">1.150 (0.979 - 1.353)</w:t>
            </w:r>
          </w:p>
        </w:tc>
        <w:tc>
          <w:tcPr/>
          <w:p>
            <w:pPr>
              <w:pStyle w:val="Compact"/>
              <w:jc w:val="center"/>
            </w:pPr>
            <w:r>
              <w:t xml:space="preserve">0.981 (0.888 - 1.084)</w:t>
            </w:r>
          </w:p>
        </w:tc>
        <w:tc>
          <w:tcPr/>
          <w:p>
            <w:pPr>
              <w:pStyle w:val="Compact"/>
              <w:jc w:val="center"/>
            </w:pPr>
            <w:r>
              <w:t xml:space="preserve">1.000 (0.888 - 1.084)</w:t>
            </w:r>
          </w:p>
        </w:tc>
      </w:tr>
      <w:tr>
        <w:tc>
          <w:tcPr/>
          <w:p>
            <w:pPr>
              <w:pStyle w:val="Compact"/>
            </w:pPr>
            <w:r>
              <w:t xml:space="preserve">MCI - NC</w:t>
            </w:r>
          </w:p>
        </w:tc>
        <w:tc>
          <w:tcPr/>
          <w:p>
            <w:pPr>
              <w:pStyle w:val="Compact"/>
              <w:jc w:val="center"/>
            </w:pPr>
            <w:r>
              <w:t xml:space="preserve">3.240*** (2.789 - 3.762)</w:t>
            </w:r>
          </w:p>
        </w:tc>
        <w:tc>
          <w:tcPr/>
          <w:p>
            <w:pPr>
              <w:pStyle w:val="Compact"/>
              <w:jc w:val="center"/>
            </w:pPr>
            <w:r>
              <w:t xml:space="preserve">0.872*** (0.811 - 0.937)</w:t>
            </w:r>
          </w:p>
        </w:tc>
        <w:tc>
          <w:tcPr/>
          <w:p>
            <w:pPr>
              <w:pStyle w:val="Compact"/>
              <w:jc w:val="center"/>
            </w:pPr>
            <w:r>
              <w:t xml:space="preserve">1.085*** (1.039 - 1.134)</w:t>
            </w:r>
          </w:p>
        </w:tc>
        <w:tc>
          <w:tcPr/>
          <w:p>
            <w:pPr>
              <w:pStyle w:val="Compact"/>
              <w:jc w:val="center"/>
            </w:pPr>
            <w:r>
              <w:t xml:space="preserve">0.999*** (0.998 - 0.999)</w:t>
            </w:r>
          </w:p>
        </w:tc>
      </w:tr>
      <w:tr>
        <w:tc>
          <w:tcPr/>
          <w:p>
            <w:pPr>
              <w:pStyle w:val="Compact"/>
            </w:pPr>
            <w:r>
              <w:t xml:space="preserve">MCI - Dementia</w:t>
            </w:r>
          </w:p>
        </w:tc>
        <w:tc>
          <w:tcPr/>
          <w:p>
            <w:pPr>
              <w:pStyle w:val="Compact"/>
              <w:jc w:val="center"/>
            </w:pPr>
            <w:r>
              <w:t xml:space="preserve">0.214*** (0.212 - 0.216)</w:t>
            </w:r>
          </w:p>
        </w:tc>
        <w:tc>
          <w:tcPr/>
          <w:p>
            <w:pPr>
              <w:pStyle w:val="Compact"/>
              <w:jc w:val="center"/>
            </w:pPr>
            <w:r>
              <w:t xml:space="preserve">1.004 (0.852 - 1.184)</w:t>
            </w:r>
          </w:p>
        </w:tc>
        <w:tc>
          <w:tcPr/>
          <w:p>
            <w:pPr>
              <w:pStyle w:val="Compact"/>
              <w:jc w:val="center"/>
            </w:pPr>
            <w:r>
              <w:t xml:space="preserve">1.005 (0.952 - 1.168)</w:t>
            </w:r>
          </w:p>
        </w:tc>
        <w:tc>
          <w:tcPr/>
          <w:p>
            <w:pPr>
              <w:pStyle w:val="Compact"/>
              <w:jc w:val="center"/>
            </w:pPr>
            <w:r>
              <w:t xml:space="preserve">0.999 (0.998 - 1.001)</w:t>
            </w:r>
          </w:p>
        </w:tc>
      </w:tr>
    </w:tbl>
    <w:p>
      <w:pPr>
        <w:pStyle w:val="BodyText"/>
      </w:pPr>
      <w:r>
        <w:t xml:space="preserve">Finally, Figure┬á</w:t>
      </w:r>
      <w:hyperlink w:anchor="fig:2">
        <w:r>
          <w:rPr>
            <w:rStyle w:val="Hyperlink"/>
          </w:rPr>
          <w:t xml:space="preserve">2</w:t>
        </w:r>
      </w:hyperlink>
      <w:r>
        <w:t xml:space="preserve"> </w:t>
      </w:r>
      <w:r>
        <w:t xml:space="preserve">presents the predicted transition probabilities across varying levels of</w:t>
      </w:r>
      <w:r>
        <w:t xml:space="preserve"> </w:t>
      </w:r>
      <w:r>
        <w:t xml:space="preserve">age and procrastination. These estimates illustrate how the interaction</w:t>
      </w:r>
      <w:r>
        <w:t xml:space="preserve"> </w:t>
      </w:r>
      <w:r>
        <w:t xml:space="preserve">between age and procrastination influences the likelihood of progressing</w:t>
      </w:r>
      <w:r>
        <w:t xml:space="preserve"> </w:t>
      </w:r>
      <w:r>
        <w:t xml:space="preserve">between cognitive states over time. Notably, while transition</w:t>
      </w:r>
      <w:r>
        <w:t xml:space="preserve"> </w:t>
      </w:r>
      <w:r>
        <w:t xml:space="preserve">probabilities remain relatively stable at very low levels of</w:t>
      </w:r>
      <w:r>
        <w:t xml:space="preserve"> </w:t>
      </w:r>
      <w:r>
        <w:t xml:space="preserve">procrastination, substantial shifts emerge as both age and</w:t>
      </w:r>
      <w:r>
        <w:t xml:space="preserve"> </w:t>
      </w:r>
      <w:r>
        <w:t xml:space="preserve">procrastination increase. In particular, older individuals with higher</w:t>
      </w:r>
      <w:r>
        <w:t xml:space="preserve"> </w:t>
      </w:r>
      <w:r>
        <w:t xml:space="preserve">procrastination scores show an elevated probability of cognitive decline</w:t>
      </w:r>
      <w:r>
        <w:t xml:space="preserve"> </w:t>
      </w:r>
      <w:r>
        <w:t xml:space="preserve">and a reduced likelihood of cognitive recovery, highlighting the</w:t>
      </w:r>
      <w:r>
        <w:t xml:space="preserve"> </w:t>
      </w:r>
      <w:r>
        <w:t xml:space="preserve">compounded risk posed by these two variables in later life.</w:t>
      </w:r>
    </w:p>
    <w:p>
      <w:pPr>
        <w:pStyle w:val="BodyText"/>
      </w:pPr>
      <w:r>
        <w:t xml:space="preserve">Note.</w:t>
      </w:r>
      <w:r>
        <w:t xml:space="preserve"> </w:t>
      </w:r>
      <w:r>
        <w:t xml:space="preserve">Each curve</w:t>
      </w:r>
      <w:r>
        <w:t xml:space="preserve"> </w:t>
      </w:r>
      <w:r>
        <w:t xml:space="preserve">represents a different age profile, ranging from the minimum (62 years)</w:t>
      </w:r>
      <w:r>
        <w:t xml:space="preserve"> </w:t>
      </w:r>
      <w:r>
        <w:t xml:space="preserve">to the maximum (97 years) of the dataset. Specific ages of interest (70,</w:t>
      </w:r>
      <w:r>
        <w:t xml:space="preserve"> </w:t>
      </w:r>
      <w:r>
        <w:t xml:space="preserve">80, and 90) are highlighted.</w:t>
      </w:r>
      <w:r>
        <w:t xml:space="preserve"> </w:t>
      </w:r>
      <w:bookmarkStart w:id="48" w:name="fig:2"/>
      <w:bookmarkEnd w:id="48"/>
    </w:p>
    <w:p>
      <w:pPr>
        <w:pStyle w:val="BodyText"/>
      </w:pPr>
      <w:r>
        <w:t xml:space="preserve">Predicted transition probabilities by procrastination and</w:t>
      </w:r>
      <w:r>
        <w:t xml:space="preserve"> </w:t>
      </w:r>
      <w:r>
        <w:t xml:space="preserve">age.</w:t>
      </w:r>
    </w:p>
    <w:bookmarkEnd w:id="49"/>
    <w:bookmarkEnd w:id="50"/>
    <w:bookmarkStart w:id="130" w:name="references"/>
    <w:p>
      <w:pPr>
        <w:pStyle w:val="Heading1"/>
      </w:pPr>
      <w:r>
        <w:t xml:space="preserve">References</w:t>
      </w:r>
    </w:p>
    <w:bookmarkStart w:id="129" w:name="refs"/>
    <w:bookmarkStart w:id="52" w:name="ref-Abner2012"/>
    <w:p>
      <w:pPr>
        <w:pStyle w:val="Bibliography"/>
      </w:pPr>
      <w:r>
        <w:t xml:space="preserve">Abner, E. L., Kryscio, R. J., Cooper, G. E., Fardo, D. W., Jicha, G. A., Mendiondo, M. S., Van Eldik, L. J., Wan, L., &amp; Schmitt, F. A. (2012). Mild cognitive impairment: Statistical models of transition using longitudinal clinical data.</w:t>
      </w:r>
      <w:r>
        <w:t xml:space="preserve"> </w:t>
      </w:r>
      <w:r>
        <w:rPr>
          <w:i/>
          <w:iCs/>
        </w:rPr>
        <w:t xml:space="preserve">International Journal of Alzheimer’s Disease</w:t>
      </w:r>
      <w:r>
        <w:t xml:space="preserve">,</w:t>
      </w:r>
      <w:r>
        <w:t xml:space="preserve"> </w:t>
      </w:r>
      <w:r>
        <w:rPr>
          <w:i/>
          <w:iCs/>
        </w:rPr>
        <w:t xml:space="preserve">2012</w:t>
      </w:r>
      <w:r>
        <w:t xml:space="preserve">(1), 291920.</w:t>
      </w:r>
      <w:r>
        <w:t xml:space="preserve"> </w:t>
      </w:r>
      <w:hyperlink r:id="rId51">
        <w:r>
          <w:rPr>
            <w:rStyle w:val="Hyperlink"/>
          </w:rPr>
          <w:t xml:space="preserve">https://doi.org/10.1155/2012/291920</w:t>
        </w:r>
      </w:hyperlink>
    </w:p>
    <w:bookmarkEnd w:id="52"/>
    <w:bookmarkStart w:id="53" w:name="ref-Brandt1988"/>
    <w:p>
      <w:pPr>
        <w:pStyle w:val="Bibliography"/>
      </w:pPr>
      <w:r>
        <w:t xml:space="preserve">Brandt, J., Spencer, M., &amp; Folstein, Marshal. (1988). The telephone interview for cognitive status.</w:t>
      </w:r>
      <w:r>
        <w:t xml:space="preserve"> </w:t>
      </w:r>
      <w:r>
        <w:rPr>
          <w:i/>
          <w:iCs/>
        </w:rPr>
        <w:t xml:space="preserve">Neuropsychiatry Neuropsychol Behav Neurol</w:t>
      </w:r>
      <w:r>
        <w:t xml:space="preserve">,</w:t>
      </w:r>
      <w:r>
        <w:t xml:space="preserve"> </w:t>
      </w:r>
      <w:r>
        <w:rPr>
          <w:i/>
          <w:iCs/>
        </w:rPr>
        <w:t xml:space="preserve">1</w:t>
      </w:r>
      <w:r>
        <w:t xml:space="preserve">(2), 111–117.</w:t>
      </w:r>
    </w:p>
    <w:bookmarkEnd w:id="53"/>
    <w:bookmarkStart w:id="55" w:name="ref-Briggs2018"/>
    <w:p>
      <w:pPr>
        <w:pStyle w:val="Bibliography"/>
      </w:pPr>
      <w:r>
        <w:t xml:space="preserve">Briggs, R., Carey, D., O’Halloran, A. M., Kenny, R. A., &amp; Kennelly, S. P. (2018). Validation of the 8-item centre for epidemiological studies depression scale in a cohort of community-dwelling older people: Data from the irish longitudinal study on ageing (TILDA).</w:t>
      </w:r>
      <w:r>
        <w:t xml:space="preserve"> </w:t>
      </w:r>
      <w:r>
        <w:rPr>
          <w:i/>
          <w:iCs/>
        </w:rPr>
        <w:t xml:space="preserve">European Geriatric Medicine</w:t>
      </w:r>
      <w:r>
        <w:t xml:space="preserve">,</w:t>
      </w:r>
      <w:r>
        <w:t xml:space="preserve"> </w:t>
      </w:r>
      <w:r>
        <w:rPr>
          <w:i/>
          <w:iCs/>
        </w:rPr>
        <w:t xml:space="preserve">9</w:t>
      </w:r>
      <w:r>
        <w:t xml:space="preserve">, 121–126.</w:t>
      </w:r>
      <w:r>
        <w:t xml:space="preserve"> </w:t>
      </w:r>
      <w:hyperlink r:id="rId54">
        <w:r>
          <w:rPr>
            <w:rStyle w:val="Hyperlink"/>
          </w:rPr>
          <w:t xml:space="preserve">https://doi.org/10.1007/s41999-017-0016-0</w:t>
        </w:r>
      </w:hyperlink>
    </w:p>
    <w:bookmarkEnd w:id="55"/>
    <w:bookmarkStart w:id="57" w:name="ref-Cao2020"/>
    <w:p>
      <w:pPr>
        <w:pStyle w:val="Bibliography"/>
      </w:pPr>
      <w:r>
        <w:t xml:space="preserve">Cao, Q., Tan, C.-C., Xu, W., Hu, H., Cao, X.-P., Dong, Q., &amp; Lan Tan, and J.-T. Y. (2020). The prevalence of dementia: A systematic review and meta-analysis.</w:t>
      </w:r>
      <w:r>
        <w:t xml:space="preserve"> </w:t>
      </w:r>
      <w:r>
        <w:rPr>
          <w:i/>
          <w:iCs/>
        </w:rPr>
        <w:t xml:space="preserve">Journal of Alzheimer’s Disease</w:t>
      </w:r>
      <w:r>
        <w:t xml:space="preserve">,</w:t>
      </w:r>
      <w:r>
        <w:t xml:space="preserve"> </w:t>
      </w:r>
      <w:r>
        <w:rPr>
          <w:i/>
          <w:iCs/>
        </w:rPr>
        <w:t xml:space="preserve">73</w:t>
      </w:r>
      <w:r>
        <w:t xml:space="preserve">(3), 1157–1166.</w:t>
      </w:r>
      <w:r>
        <w:t xml:space="preserve"> </w:t>
      </w:r>
      <w:hyperlink r:id="rId56">
        <w:r>
          <w:rPr>
            <w:rStyle w:val="Hyperlink"/>
          </w:rPr>
          <w:t xml:space="preserve">https://doi.org/10.3233/JAD-191092</w:t>
        </w:r>
      </w:hyperlink>
    </w:p>
    <w:bookmarkEnd w:id="57"/>
    <w:bookmarkStart w:id="59" w:name="ref-Chowdhary2022"/>
    <w:p>
      <w:pPr>
        <w:pStyle w:val="Bibliography"/>
      </w:pPr>
      <w:r>
        <w:t xml:space="preserve">Chowdhary, N., Barbui, C., Anstey, K. J., Kivipelto, M., Barbera, M., Peters, R., Zheng, L., Kulmala, J., Stephen, R., Ferri, C. P., et al. (2022). Reducing the risk of cognitive decline and dementia: WHO recommendations.</w:t>
      </w:r>
      <w:r>
        <w:t xml:space="preserve"> </w:t>
      </w:r>
      <w:r>
        <w:rPr>
          <w:i/>
          <w:iCs/>
        </w:rPr>
        <w:t xml:space="preserve">Frontiers in Neurology</w:t>
      </w:r>
      <w:r>
        <w:t xml:space="preserve">,</w:t>
      </w:r>
      <w:r>
        <w:t xml:space="preserve"> </w:t>
      </w:r>
      <w:r>
        <w:rPr>
          <w:i/>
          <w:iCs/>
        </w:rPr>
        <w:t xml:space="preserve">12</w:t>
      </w:r>
      <w:r>
        <w:t xml:space="preserve">, 765584.</w:t>
      </w:r>
      <w:r>
        <w:t xml:space="preserve"> </w:t>
      </w:r>
      <w:hyperlink r:id="rId58">
        <w:r>
          <w:rPr>
            <w:rStyle w:val="Hyperlink"/>
          </w:rPr>
          <w:t xml:space="preserve">https://doi.org/10.3389/fneur.2021.765584</w:t>
        </w:r>
      </w:hyperlink>
    </w:p>
    <w:bookmarkEnd w:id="59"/>
    <w:bookmarkStart w:id="61" w:name="ref-Cooper2015"/>
    <w:p>
      <w:pPr>
        <w:pStyle w:val="Bibliography"/>
      </w:pPr>
      <w:r>
        <w:t xml:space="preserve">Cooper, C., Sommerlad, A., Lyketsos, C. G., &amp; Livingston, G. (2015). Modifiable predictors of dementia in mild cognitive impairment: A systematic review and meta-analysis.</w:t>
      </w:r>
      <w:r>
        <w:t xml:space="preserve"> </w:t>
      </w:r>
      <w:r>
        <w:rPr>
          <w:i/>
          <w:iCs/>
        </w:rPr>
        <w:t xml:space="preserve">American Journal of Psychiatry</w:t>
      </w:r>
      <w:r>
        <w:t xml:space="preserve">,</w:t>
      </w:r>
      <w:r>
        <w:t xml:space="preserve"> </w:t>
      </w:r>
      <w:r>
        <w:rPr>
          <w:i/>
          <w:iCs/>
        </w:rPr>
        <w:t xml:space="preserve">172</w:t>
      </w:r>
      <w:r>
        <w:t xml:space="preserve">(4), 323–334.</w:t>
      </w:r>
      <w:r>
        <w:t xml:space="preserve"> </w:t>
      </w:r>
      <w:hyperlink r:id="rId60">
        <w:r>
          <w:rPr>
            <w:rStyle w:val="Hyperlink"/>
          </w:rPr>
          <w:t xml:space="preserve">https://doi.org/10.1176/appi.ajp.2014.14070878</w:t>
        </w:r>
      </w:hyperlink>
    </w:p>
    <w:bookmarkEnd w:id="61"/>
    <w:bookmarkStart w:id="63" w:name="ref-Crimmins2011"/>
    <w:p>
      <w:pPr>
        <w:pStyle w:val="Bibliography"/>
      </w:pPr>
      <w:r>
        <w:t xml:space="preserve">Crimmins, E. M., Kim, J. K., Langa, K. M., &amp; Weir, D. R. (2011). Assessment of cognition using surveys and neuropsychological assessment: The health and retirement study and the aging, demographics, and memory study.</w:t>
      </w:r>
      <w:r>
        <w:t xml:space="preserve"> </w:t>
      </w:r>
      <w:r>
        <w:rPr>
          <w:i/>
          <w:iCs/>
        </w:rPr>
        <w:t xml:space="preserve">Journals of Gerontology Series B: Psychological Sciences and Social Sciences</w:t>
      </w:r>
      <w:r>
        <w:t xml:space="preserve">,</w:t>
      </w:r>
      <w:r>
        <w:t xml:space="preserve"> </w:t>
      </w:r>
      <w:r>
        <w:rPr>
          <w:i/>
          <w:iCs/>
        </w:rPr>
        <w:t xml:space="preserve">66</w:t>
      </w:r>
      <w:r>
        <w:t xml:space="preserve">(suppl_1), i162–i171.</w:t>
      </w:r>
      <w:r>
        <w:t xml:space="preserve"> </w:t>
      </w:r>
      <w:hyperlink r:id="rId62">
        <w:r>
          <w:rPr>
            <w:rStyle w:val="Hyperlink"/>
          </w:rPr>
          <w:t xml:space="preserve">https://doi.org/10.1093/geronb/gbr048</w:t>
        </w:r>
      </w:hyperlink>
    </w:p>
    <w:bookmarkEnd w:id="63"/>
    <w:bookmarkStart w:id="65" w:name="ref-Donovan2014"/>
    <w:p>
      <w:pPr>
        <w:pStyle w:val="Bibliography"/>
      </w:pPr>
      <w:r>
        <w:t xml:space="preserve">Donovan, N. J., Wadsworth, L. P., Lorius, N., Locascio, J. J., Rentz, D. M., Johnson, K. A., Sperling, R. A., Marshall, G. A., Initiative, A. D. N., et al. (2014). Regional cortical thinning predicts worsening apathy and hallucinations across the alzheimer disease spectrum.</w:t>
      </w:r>
      <w:r>
        <w:t xml:space="preserve"> </w:t>
      </w:r>
      <w:r>
        <w:rPr>
          <w:i/>
          <w:iCs/>
        </w:rPr>
        <w:t xml:space="preserve">The American Journal of Geriatric Psychiatry</w:t>
      </w:r>
      <w:r>
        <w:t xml:space="preserve">,</w:t>
      </w:r>
      <w:r>
        <w:t xml:space="preserve"> </w:t>
      </w:r>
      <w:r>
        <w:rPr>
          <w:i/>
          <w:iCs/>
        </w:rPr>
        <w:t xml:space="preserve">22</w:t>
      </w:r>
      <w:r>
        <w:t xml:space="preserve">(11), 1168–1179.</w:t>
      </w:r>
      <w:r>
        <w:t xml:space="preserve"> </w:t>
      </w:r>
      <w:hyperlink r:id="rId64">
        <w:r>
          <w:rPr>
            <w:rStyle w:val="Hyperlink"/>
          </w:rPr>
          <w:t xml:space="preserve">https://doi.org/10.1016/j.jagp.2013.03.006</w:t>
        </w:r>
      </w:hyperlink>
    </w:p>
    <w:bookmarkEnd w:id="65"/>
    <w:bookmarkStart w:id="67" w:name="ref-Fahed2021"/>
    <w:p>
      <w:pPr>
        <w:pStyle w:val="Bibliography"/>
      </w:pPr>
      <w:r>
        <w:t xml:space="preserve">Fahed, M., &amp; Steffens, D. C. (2021). Apathy: Neurobiology, assessment and treatment.</w:t>
      </w:r>
      <w:r>
        <w:t xml:space="preserve"> </w:t>
      </w:r>
      <w:r>
        <w:rPr>
          <w:i/>
          <w:iCs/>
        </w:rPr>
        <w:t xml:space="preserve">Clinical Psychopharmacology and Neuroscience</w:t>
      </w:r>
      <w:r>
        <w:t xml:space="preserve">,</w:t>
      </w:r>
      <w:r>
        <w:t xml:space="preserve"> </w:t>
      </w:r>
      <w:r>
        <w:rPr>
          <w:i/>
          <w:iCs/>
        </w:rPr>
        <w:t xml:space="preserve">19</w:t>
      </w:r>
      <w:r>
        <w:t xml:space="preserve">(2), 181.</w:t>
      </w:r>
      <w:r>
        <w:t xml:space="preserve"> </w:t>
      </w:r>
      <w:hyperlink r:id="rId66">
        <w:r>
          <w:rPr>
            <w:rStyle w:val="Hyperlink"/>
          </w:rPr>
          <w:t xml:space="preserve">https://doi.org/10.9758/cpn.2021.19.2.181</w:t>
        </w:r>
      </w:hyperlink>
    </w:p>
    <w:bookmarkEnd w:id="67"/>
    <w:bookmarkStart w:id="69" w:name="ref-Fisher2018"/>
    <w:p>
      <w:pPr>
        <w:pStyle w:val="Bibliography"/>
      </w:pPr>
      <w:r>
        <w:t xml:space="preserve">Fisher, G. G., &amp; Ryan, L. H. (2018). Overview of the health and retirement study and introduction to the special issue.</w:t>
      </w:r>
      <w:r>
        <w:t xml:space="preserve"> </w:t>
      </w:r>
      <w:r>
        <w:rPr>
          <w:i/>
          <w:iCs/>
        </w:rPr>
        <w:t xml:space="preserve">Work, Aging and Retirement</w:t>
      </w:r>
      <w:r>
        <w:t xml:space="preserve">,</w:t>
      </w:r>
      <w:r>
        <w:t xml:space="preserve"> </w:t>
      </w:r>
      <w:r>
        <w:rPr>
          <w:i/>
          <w:iCs/>
        </w:rPr>
        <w:t xml:space="preserve">4</w:t>
      </w:r>
      <w:r>
        <w:t xml:space="preserve">(1), 1–9.</w:t>
      </w:r>
      <w:r>
        <w:t xml:space="preserve"> </w:t>
      </w:r>
      <w:hyperlink r:id="rId68">
        <w:r>
          <w:rPr>
            <w:rStyle w:val="Hyperlink"/>
          </w:rPr>
          <w:t xml:space="preserve">https://doi.org/10.1093/workar/wax032</w:t>
        </w:r>
      </w:hyperlink>
    </w:p>
    <w:bookmarkEnd w:id="69"/>
    <w:bookmarkStart w:id="71" w:name="ref-Fong2009"/>
    <w:p>
      <w:pPr>
        <w:pStyle w:val="Bibliography"/>
      </w:pPr>
      <w:r>
        <w:t xml:space="preserve">Fong, T. G., Fearing, M. A., Jones, R. N., Shi, P., Marcantonio, E. R., Rudolph, J. L., Yang, F. M., Kiely, D. K., &amp; Inouye, S. K. (2009). Telephone interview for cognitive status: Creating a crosswalk with the mini-mental state examination.</w:t>
      </w:r>
      <w:r>
        <w:t xml:space="preserve"> </w:t>
      </w:r>
      <w:r>
        <w:rPr>
          <w:i/>
          <w:iCs/>
        </w:rPr>
        <w:t xml:space="preserve">Alzheimer’s &amp; Dementia</w:t>
      </w:r>
      <w:r>
        <w:t xml:space="preserve">,</w:t>
      </w:r>
      <w:r>
        <w:t xml:space="preserve"> </w:t>
      </w:r>
      <w:r>
        <w:rPr>
          <w:i/>
          <w:iCs/>
        </w:rPr>
        <w:t xml:space="preserve">5</w:t>
      </w:r>
      <w:r>
        <w:t xml:space="preserve">(6), 492–497.</w:t>
      </w:r>
      <w:r>
        <w:t xml:space="preserve"> </w:t>
      </w:r>
      <w:hyperlink r:id="rId70">
        <w:r>
          <w:rPr>
            <w:rStyle w:val="Hyperlink"/>
          </w:rPr>
          <w:t xml:space="preserve">https://doi.org/10.1016/j.jalz.2009.02.007</w:t>
        </w:r>
      </w:hyperlink>
    </w:p>
    <w:bookmarkEnd w:id="71"/>
    <w:bookmarkStart w:id="73" w:name="ref-Freedman2024"/>
    <w:p>
      <w:pPr>
        <w:pStyle w:val="Bibliography"/>
      </w:pPr>
      <w:r>
        <w:t xml:space="preserve">Freedman, V. A., &amp; Cornman, J. C. (2024). Dementia prevalence, incidence, and mortality trends among US adults ages 72 and older, 2011–2021.</w:t>
      </w:r>
      <w:r>
        <w:t xml:space="preserve"> </w:t>
      </w:r>
      <w:r>
        <w:rPr>
          <w:i/>
          <w:iCs/>
        </w:rPr>
        <w:t xml:space="preserve">The Journals of Gerontology, Series A: Biological Sciences and Medical Sciences</w:t>
      </w:r>
      <w:r>
        <w:t xml:space="preserve">,</w:t>
      </w:r>
      <w:r>
        <w:t xml:space="preserve"> </w:t>
      </w:r>
      <w:r>
        <w:rPr>
          <w:i/>
          <w:iCs/>
        </w:rPr>
        <w:t xml:space="preserve">79</w:t>
      </w:r>
      <w:r>
        <w:t xml:space="preserve">(Supplement_1), S22–S31.</w:t>
      </w:r>
      <w:r>
        <w:t xml:space="preserve"> </w:t>
      </w:r>
      <w:hyperlink r:id="rId72">
        <w:r>
          <w:rPr>
            <w:rStyle w:val="Hyperlink"/>
          </w:rPr>
          <w:t xml:space="preserve">https://doi.org/10.1093/gerona/glae105</w:t>
        </w:r>
      </w:hyperlink>
    </w:p>
    <w:bookmarkEnd w:id="73"/>
    <w:bookmarkStart w:id="75" w:name="ref-Fresnais2023"/>
    <w:p>
      <w:pPr>
        <w:pStyle w:val="Bibliography"/>
      </w:pPr>
      <w:r>
        <w:t xml:space="preserve">Fresnais, D., Humble, M. B., Bejerot, S., Meehan, A. D., &amp; Fure, B. (2023). Apathy as a predictor for conversion from mild cognitive impairment to dementia: A systematic review and meta-analysis of longitudinal studies.</w:t>
      </w:r>
      <w:r>
        <w:t xml:space="preserve"> </w:t>
      </w:r>
      <w:r>
        <w:rPr>
          <w:i/>
          <w:iCs/>
        </w:rPr>
        <w:t xml:space="preserve">Journal of Geriatric Psychiatry and Neurology</w:t>
      </w:r>
      <w:r>
        <w:t xml:space="preserve">,</w:t>
      </w:r>
      <w:r>
        <w:t xml:space="preserve"> </w:t>
      </w:r>
      <w:r>
        <w:rPr>
          <w:i/>
          <w:iCs/>
        </w:rPr>
        <w:t xml:space="preserve">36</w:t>
      </w:r>
      <w:r>
        <w:t xml:space="preserve">(1), 3–17.</w:t>
      </w:r>
      <w:r>
        <w:t xml:space="preserve"> </w:t>
      </w:r>
      <w:hyperlink r:id="rId74">
        <w:r>
          <w:rPr>
            <w:rStyle w:val="Hyperlink"/>
          </w:rPr>
          <w:t xml:space="preserve">https://doi.org/10.1177/08919887221093361</w:t>
        </w:r>
      </w:hyperlink>
    </w:p>
    <w:bookmarkEnd w:id="75"/>
    <w:bookmarkStart w:id="76" w:name="ref-Friden2020"/>
    <w:p>
      <w:pPr>
        <w:pStyle w:val="Bibliography"/>
      </w:pPr>
      <w:r>
        <w:t xml:space="preserve">Fridén, I. (2020).</w:t>
      </w:r>
      <w:r>
        <w:t xml:space="preserve"> </w:t>
      </w:r>
      <w:r>
        <w:rPr>
          <w:i/>
          <w:iCs/>
        </w:rPr>
        <w:t xml:space="preserve">Procrastination as a form of self-regulation failure: A review of the cognitive and neural underpinnings</w:t>
      </w:r>
      <w:r>
        <w:t xml:space="preserve">.</w:t>
      </w:r>
    </w:p>
    <w:bookmarkEnd w:id="76"/>
    <w:bookmarkStart w:id="78" w:name="ref-Gauthier2006"/>
    <w:p>
      <w:pPr>
        <w:pStyle w:val="Bibliography"/>
      </w:pPr>
      <w:r>
        <w:t xml:space="preserve">Gauthier, S., Reisberg, B., Zaudig, M., Petersen, R. C., Ritchie, K., Broich, K., Belleville, S., Brodaty, H., Bennett, D., Chertkow, H., Cummings, J. L., de Leon, M., Feldman, H., Ganguli, M., Hampel, H., Scheltens, P., Tierney, M. C., Whitehouse, P., &amp; Winblad, B. (2006). Mild cognitive impairment.</w:t>
      </w:r>
      <w:r>
        <w:t xml:space="preserve"> </w:t>
      </w:r>
      <w:r>
        <w:rPr>
          <w:i/>
          <w:iCs/>
        </w:rPr>
        <w:t xml:space="preserve">The Lancet</w:t>
      </w:r>
      <w:r>
        <w:t xml:space="preserve">,</w:t>
      </w:r>
      <w:r>
        <w:t xml:space="preserve"> </w:t>
      </w:r>
      <w:r>
        <w:rPr>
          <w:i/>
          <w:iCs/>
        </w:rPr>
        <w:t xml:space="preserve">367</w:t>
      </w:r>
      <w:r>
        <w:t xml:space="preserve">(9518), 1262–1270.</w:t>
      </w:r>
      <w:r>
        <w:t xml:space="preserve"> </w:t>
      </w:r>
      <w:hyperlink r:id="rId77">
        <w:r>
          <w:rPr>
            <w:rStyle w:val="Hyperlink"/>
          </w:rPr>
          <w:t xml:space="preserve">https://doi.org/10.1016/S0140-6736(06)68542-5</w:t>
        </w:r>
      </w:hyperlink>
    </w:p>
    <w:bookmarkEnd w:id="78"/>
    <w:bookmarkStart w:id="80" w:name="ref-Gustavson2015"/>
    <w:p>
      <w:pPr>
        <w:pStyle w:val="Bibliography"/>
      </w:pPr>
      <w:r>
        <w:t xml:space="preserve">Gustavson, D. E., Miyake, A., Hewitt, J. K., &amp; Friedman, N. P. (2015). Understanding the cognitive and genetic underpinnings of procrastination: Evidence for shared genetic influences with goal management and executive function abilities.</w:t>
      </w:r>
      <w:r>
        <w:t xml:space="preserve"> </w:t>
      </w:r>
      <w:r>
        <w:rPr>
          <w:i/>
          <w:iCs/>
        </w:rPr>
        <w:t xml:space="preserve">Journal of Experimental Psychology: General</w:t>
      </w:r>
      <w:r>
        <w:t xml:space="preserve">,</w:t>
      </w:r>
      <w:r>
        <w:t xml:space="preserve"> </w:t>
      </w:r>
      <w:r>
        <w:rPr>
          <w:i/>
          <w:iCs/>
        </w:rPr>
        <w:t xml:space="preserve">144</w:t>
      </w:r>
      <w:r>
        <w:t xml:space="preserve">(6), 1063.</w:t>
      </w:r>
      <w:r>
        <w:t xml:space="preserve"> </w:t>
      </w:r>
      <w:hyperlink r:id="rId79">
        <w:r>
          <w:rPr>
            <w:rStyle w:val="Hyperlink"/>
          </w:rPr>
          <w:t xml:space="preserve">https://doi.org/10.1037/xge0000110</w:t>
        </w:r>
      </w:hyperlink>
    </w:p>
    <w:bookmarkEnd w:id="80"/>
    <w:bookmarkStart w:id="82" w:name="ref-HRS2017"/>
    <w:p>
      <w:pPr>
        <w:pStyle w:val="Bibliography"/>
      </w:pPr>
      <w:r>
        <w:t xml:space="preserve">Health and Retirement Study. (2017).</w:t>
      </w:r>
      <w:r>
        <w:t xml:space="preserve"> </w:t>
      </w:r>
      <w:r>
        <w:rPr>
          <w:i/>
          <w:iCs/>
        </w:rPr>
        <w:t xml:space="preserve">Sample sizes and response rates</w:t>
      </w:r>
      <w:r>
        <w:t xml:space="preserve">.</w:t>
      </w:r>
      <w:r>
        <w:t xml:space="preserve"> </w:t>
      </w:r>
      <w:hyperlink r:id="rId81">
        <w:r>
          <w:rPr>
            <w:rStyle w:val="Hyperlink"/>
          </w:rPr>
          <w:t xml:space="preserve">https://hrs.isr.umich.edu/sites/default/files/biblio/ResponseRates_2017.pdf</w:t>
        </w:r>
      </w:hyperlink>
    </w:p>
    <w:bookmarkEnd w:id="82"/>
    <w:bookmarkStart w:id="84" w:name="ref-Joseph2021"/>
    <w:p>
      <w:pPr>
        <w:pStyle w:val="Bibliography"/>
      </w:pPr>
      <w:r>
        <w:t xml:space="preserve">Joseph, S., Knezevic, D., Zomorrodi, R., Blumberger, D. M., Daskalakis, Z. J., Mulsant, B. H., Pollock, B. G., Voineskos, A., Wang, W., Rajji, T. K., et al. (2021). Dorsolateral prefrontal cortex excitability abnormalities in alzheimer’s dementia: Findings from transcranial magnetic stimulation and electroencephalography study.</w:t>
      </w:r>
      <w:r>
        <w:t xml:space="preserve"> </w:t>
      </w:r>
      <w:r>
        <w:rPr>
          <w:i/>
          <w:iCs/>
        </w:rPr>
        <w:t xml:space="preserve">International Journal of Psychophysiology</w:t>
      </w:r>
      <w:r>
        <w:t xml:space="preserve">,</w:t>
      </w:r>
      <w:r>
        <w:t xml:space="preserve"> </w:t>
      </w:r>
      <w:r>
        <w:rPr>
          <w:i/>
          <w:iCs/>
        </w:rPr>
        <w:t xml:space="preserve">169</w:t>
      </w:r>
      <w:r>
        <w:t xml:space="preserve">, 55–62.</w:t>
      </w:r>
      <w:r>
        <w:t xml:space="preserve"> </w:t>
      </w:r>
      <w:hyperlink r:id="rId83">
        <w:r>
          <w:rPr>
            <w:rStyle w:val="Hyperlink"/>
          </w:rPr>
          <w:t xml:space="preserve">https://doi.org/10.1016/j.ijpsycho.2021.08.008</w:t>
        </w:r>
      </w:hyperlink>
    </w:p>
    <w:bookmarkEnd w:id="84"/>
    <w:bookmarkStart w:id="86" w:name="ref-Kaufer2000"/>
    <w:p>
      <w:pPr>
        <w:pStyle w:val="Bibliography"/>
      </w:pPr>
      <w:r>
        <w:t xml:space="preserve">Kaufer, D. I., Cummings, J. L., Ketchel, P., Smith, V., MacMillan, A., Shelley, T., Lopez, O. L., &amp; DeKosky, S. T. (2000). Validation of the NPI-q, a brief clinical form of the neuropsychiatric inventory.</w:t>
      </w:r>
      <w:r>
        <w:t xml:space="preserve"> </w:t>
      </w:r>
      <w:r>
        <w:rPr>
          <w:i/>
          <w:iCs/>
        </w:rPr>
        <w:t xml:space="preserve">The Journal of Neuropsychiatry and Clinical Neurosciences</w:t>
      </w:r>
      <w:r>
        <w:t xml:space="preserve">,</w:t>
      </w:r>
      <w:r>
        <w:t xml:space="preserve"> </w:t>
      </w:r>
      <w:r>
        <w:rPr>
          <w:i/>
          <w:iCs/>
        </w:rPr>
        <w:t xml:space="preserve">12</w:t>
      </w:r>
      <w:r>
        <w:t xml:space="preserve">(2), 233–239.</w:t>
      </w:r>
      <w:r>
        <w:t xml:space="preserve"> </w:t>
      </w:r>
      <w:hyperlink r:id="rId85">
        <w:r>
          <w:rPr>
            <w:rStyle w:val="Hyperlink"/>
          </w:rPr>
          <w:t xml:space="preserve">https://doi.org/10.1176/jnp.12.2.233</w:t>
        </w:r>
      </w:hyperlink>
    </w:p>
    <w:bookmarkEnd w:id="86"/>
    <w:bookmarkStart w:id="88" w:name="ref-Kawagoe2017"/>
    <w:p>
      <w:pPr>
        <w:pStyle w:val="Bibliography"/>
      </w:pPr>
      <w:r>
        <w:t xml:space="preserve">Kawagoe, T., Onoda, K., &amp; Yamaguchi, S. (2017). Apathy and executive function in healthy elderly—resting state fMRI study.</w:t>
      </w:r>
      <w:r>
        <w:t xml:space="preserve"> </w:t>
      </w:r>
      <w:r>
        <w:rPr>
          <w:i/>
          <w:iCs/>
        </w:rPr>
        <w:t xml:space="preserve">Frontiers in Aging Neuroscience</w:t>
      </w:r>
      <w:r>
        <w:t xml:space="preserve">,</w:t>
      </w:r>
      <w:r>
        <w:t xml:space="preserve"> </w:t>
      </w:r>
      <w:r>
        <w:rPr>
          <w:i/>
          <w:iCs/>
        </w:rPr>
        <w:t xml:space="preserve">9</w:t>
      </w:r>
      <w:r>
        <w:t xml:space="preserve">, 124.</w:t>
      </w:r>
      <w:r>
        <w:t xml:space="preserve"> </w:t>
      </w:r>
      <w:hyperlink r:id="rId87">
        <w:r>
          <w:rPr>
            <w:rStyle w:val="Hyperlink"/>
          </w:rPr>
          <w:t xml:space="preserve">https://doi.org/10.3389/fnagi.2017.00124</w:t>
        </w:r>
      </w:hyperlink>
    </w:p>
    <w:bookmarkEnd w:id="88"/>
    <w:bookmarkStart w:id="90" w:name="ref-Kirova2015"/>
    <w:p>
      <w:pPr>
        <w:pStyle w:val="Bibliography"/>
      </w:pPr>
      <w:r>
        <w:t xml:space="preserve">Kirova, A. M., Bays, R. B., &amp; Lagalwar, S. (2015). Working memory and executive function decline across normal aging, mild cognitive impairment, and alzheimer’s disease.</w:t>
      </w:r>
      <w:r>
        <w:t xml:space="preserve"> </w:t>
      </w:r>
      <w:r>
        <w:rPr>
          <w:i/>
          <w:iCs/>
        </w:rPr>
        <w:t xml:space="preserve">BioMed Research International</w:t>
      </w:r>
      <w:r>
        <w:t xml:space="preserve">,</w:t>
      </w:r>
      <w:r>
        <w:t xml:space="preserve"> </w:t>
      </w:r>
      <w:r>
        <w:rPr>
          <w:i/>
          <w:iCs/>
        </w:rPr>
        <w:t xml:space="preserve">2015</w:t>
      </w:r>
      <w:r>
        <w:t xml:space="preserve">(1), 748212.</w:t>
      </w:r>
      <w:r>
        <w:t xml:space="preserve"> </w:t>
      </w:r>
      <w:hyperlink r:id="rId89">
        <w:r>
          <w:rPr>
            <w:rStyle w:val="Hyperlink"/>
          </w:rPr>
          <w:t xml:space="preserve">https://doi.org/10.1155/2015/748212</w:t>
        </w:r>
      </w:hyperlink>
    </w:p>
    <w:bookmarkEnd w:id="90"/>
    <w:bookmarkStart w:id="92" w:name="ref-Livingston2024"/>
    <w:p>
      <w:pPr>
        <w:pStyle w:val="Bibliography"/>
      </w:pPr>
      <w:r>
        <w:t xml:space="preserve">Livingston, G., Huntley, J., Liu, K. Y., Costafreda, S. G., Selbæk, G., Alladi, S., Ames, D., Banerjee, S., Burns, A., Brayne, C., Fox, N. C., Ferri, C. P., Gitlin, L. N., Howard, R., Kales, H. C., Kivimäki, M., Larson, E. B., Nakasujja, N., Rockwood, K., … Mukadam, N. (2024). Dementia prevention, intervention, and care: 2024 report of the</w:t>
      </w:r>
      <w:r>
        <w:t xml:space="preserve"> </w:t>
      </w:r>
      <w:r>
        <w:t xml:space="preserve">Lancet</w:t>
      </w:r>
      <w:r>
        <w:t xml:space="preserve"> </w:t>
      </w:r>
      <w:r>
        <w:t xml:space="preserve">standing</w:t>
      </w:r>
      <w:r>
        <w:t xml:space="preserve"> </w:t>
      </w:r>
      <w:r>
        <w:t xml:space="preserve">Commission</w:t>
      </w:r>
      <w:r>
        <w:t xml:space="preserve">.</w:t>
      </w:r>
      <w:r>
        <w:t xml:space="preserve"> </w:t>
      </w:r>
      <w:r>
        <w:rPr>
          <w:i/>
          <w:iCs/>
        </w:rPr>
        <w:t xml:space="preserve">The Lancet</w:t>
      </w:r>
      <w:r>
        <w:t xml:space="preserve">,</w:t>
      </w:r>
      <w:r>
        <w:t xml:space="preserve"> </w:t>
      </w:r>
      <w:r>
        <w:rPr>
          <w:i/>
          <w:iCs/>
        </w:rPr>
        <w:t xml:space="preserve">404</w:t>
      </w:r>
      <w:r>
        <w:t xml:space="preserve">(10452), 572–628.</w:t>
      </w:r>
      <w:r>
        <w:t xml:space="preserve"> </w:t>
      </w:r>
      <w:hyperlink r:id="rId91">
        <w:r>
          <w:rPr>
            <w:rStyle w:val="Hyperlink"/>
          </w:rPr>
          <w:t xml:space="preserve">https://doi.org/10.1016/S0140-6736(24)01296-0</w:t>
        </w:r>
      </w:hyperlink>
    </w:p>
    <w:bookmarkEnd w:id="92"/>
    <w:bookmarkStart w:id="94" w:name="ref-Marin1991"/>
    <w:p>
      <w:pPr>
        <w:pStyle w:val="Bibliography"/>
      </w:pPr>
      <w:r>
        <w:t xml:space="preserve">Marin, R. S., Biedrzycki, R. C., &amp; Firinciogullari, S. (1991). Reliability and validity of the apathy evaluation scale.</w:t>
      </w:r>
      <w:r>
        <w:t xml:space="preserve"> </w:t>
      </w:r>
      <w:r>
        <w:rPr>
          <w:i/>
          <w:iCs/>
        </w:rPr>
        <w:t xml:space="preserve">Psychiatry Research</w:t>
      </w:r>
      <w:r>
        <w:t xml:space="preserve">,</w:t>
      </w:r>
      <w:r>
        <w:t xml:space="preserve"> </w:t>
      </w:r>
      <w:r>
        <w:rPr>
          <w:i/>
          <w:iCs/>
        </w:rPr>
        <w:t xml:space="preserve">38</w:t>
      </w:r>
      <w:r>
        <w:t xml:space="preserve">(2), 143–162.</w:t>
      </w:r>
      <w:r>
        <w:t xml:space="preserve"> </w:t>
      </w:r>
      <w:hyperlink r:id="rId93">
        <w:r>
          <w:rPr>
            <w:rStyle w:val="Hyperlink"/>
          </w:rPr>
          <w:t xml:space="preserve">https://doi.org/10.1016/0165-1781(91)90040-V</w:t>
        </w:r>
      </w:hyperlink>
    </w:p>
    <w:bookmarkEnd w:id="94"/>
    <w:bookmarkStart w:id="96" w:name="ref-Marshall2013"/>
    <w:p>
      <w:pPr>
        <w:pStyle w:val="Bibliography"/>
      </w:pPr>
      <w:r>
        <w:t xml:space="preserve">Marshall, G. A., Donovan, N. J., Lorius, N., Gidicsin, C. M., Maye, J., Pepin, L. C., Becker, J. A., Amariglio, R. E., Rentz, D. M., Sperling, R. A., et al. (2013). Apathy is associated with increased amyloid burden in mild cognitive impairment.</w:t>
      </w:r>
      <w:r>
        <w:t xml:space="preserve"> </w:t>
      </w:r>
      <w:r>
        <w:rPr>
          <w:i/>
          <w:iCs/>
        </w:rPr>
        <w:t xml:space="preserve">The Journal of Neuropsychiatry and Clinical Neurosciences</w:t>
      </w:r>
      <w:r>
        <w:t xml:space="preserve">,</w:t>
      </w:r>
      <w:r>
        <w:t xml:space="preserve"> </w:t>
      </w:r>
      <w:r>
        <w:rPr>
          <w:i/>
          <w:iCs/>
        </w:rPr>
        <w:t xml:space="preserve">25</w:t>
      </w:r>
      <w:r>
        <w:t xml:space="preserve">(4), 302–307.</w:t>
      </w:r>
      <w:r>
        <w:t xml:space="preserve"> </w:t>
      </w:r>
      <w:hyperlink r:id="rId95">
        <w:r>
          <w:rPr>
            <w:rStyle w:val="Hyperlink"/>
          </w:rPr>
          <w:t xml:space="preserve">https://doi.org/10.1176/appi.neuropsych.12060156</w:t>
        </w:r>
      </w:hyperlink>
    </w:p>
    <w:bookmarkEnd w:id="96"/>
    <w:bookmarkStart w:id="98" w:name="ref-Monaghan2024a"/>
    <w:p>
      <w:pPr>
        <w:pStyle w:val="Bibliography"/>
      </w:pPr>
      <w:r>
        <w:t xml:space="preserve">Monaghan, C., Avila-Palencia, I., Han, S. D., &amp; McHugh Power, J. (2024). Procrastination, depressive symptomatology, and loneliness in later life.</w:t>
      </w:r>
      <w:r>
        <w:t xml:space="preserve"> </w:t>
      </w:r>
      <w:r>
        <w:rPr>
          <w:i/>
          <w:iCs/>
        </w:rPr>
        <w:t xml:space="preserve">Aging &amp; Mental Health</w:t>
      </w:r>
      <w:r>
        <w:t xml:space="preserve">, 1–8.</w:t>
      </w:r>
      <w:r>
        <w:t xml:space="preserve"> </w:t>
      </w:r>
      <w:hyperlink r:id="rId97">
        <w:r>
          <w:rPr>
            <w:rStyle w:val="Hyperlink"/>
          </w:rPr>
          <w:t xml:space="preserve">https://doi.org/10.1080/13607863.2024.2345781</w:t>
        </w:r>
      </w:hyperlink>
    </w:p>
    <w:bookmarkEnd w:id="98"/>
    <w:bookmarkStart w:id="100" w:name="ref-Nichols2022"/>
    <w:p>
      <w:pPr>
        <w:pStyle w:val="Bibliography"/>
      </w:pPr>
      <w:r>
        <w:t xml:space="preserve">Nichols, E., Steinmetz, J. D., Vollset, S. E., Fukutaki, K., Chalek, J., Abd-Allah, F., Abdoli, A., Abualhasan, A., Abu-Gharbieh, E., Akram, T. T., et al. (2022). Estimation of the global prevalence of dementia in 2019 and forecasted prevalence in 2050: An analysis for the global burden of disease study 2019.</w:t>
      </w:r>
      <w:r>
        <w:t xml:space="preserve"> </w:t>
      </w:r>
      <w:r>
        <w:rPr>
          <w:i/>
          <w:iCs/>
        </w:rPr>
        <w:t xml:space="preserve">The Lancet Public Health</w:t>
      </w:r>
      <w:r>
        <w:t xml:space="preserve">,</w:t>
      </w:r>
      <w:r>
        <w:t xml:space="preserve"> </w:t>
      </w:r>
      <w:r>
        <w:rPr>
          <w:i/>
          <w:iCs/>
        </w:rPr>
        <w:t xml:space="preserve">7</w:t>
      </w:r>
      <w:r>
        <w:t xml:space="preserve">(2), e105–e125.</w:t>
      </w:r>
      <w:r>
        <w:t xml:space="preserve"> </w:t>
      </w:r>
      <w:hyperlink r:id="rId99">
        <w:r>
          <w:rPr>
            <w:rStyle w:val="Hyperlink"/>
          </w:rPr>
          <w:t xml:space="preserve">https://doi.org/10.1016/S2468-2667(21)00249-8</w:t>
        </w:r>
      </w:hyperlink>
    </w:p>
    <w:bookmarkEnd w:id="100"/>
    <w:bookmarkStart w:id="102" w:name="ref-Prince2013"/>
    <w:p>
      <w:pPr>
        <w:pStyle w:val="Bibliography"/>
      </w:pPr>
      <w:r>
        <w:t xml:space="preserve">Prince, M., Bryce, R., Albanese, E., Wimo, A., Ribeiro, W., &amp; Ferri, C. P. (2013). The global prevalence of dementia: A systematic review and meta analysis.</w:t>
      </w:r>
      <w:r>
        <w:t xml:space="preserve"> </w:t>
      </w:r>
      <w:r>
        <w:rPr>
          <w:i/>
          <w:iCs/>
        </w:rPr>
        <w:t xml:space="preserve">Alzheimer’s &amp; Dementia</w:t>
      </w:r>
      <w:r>
        <w:t xml:space="preserve">,</w:t>
      </w:r>
      <w:r>
        <w:t xml:space="preserve"> </w:t>
      </w:r>
      <w:r>
        <w:rPr>
          <w:i/>
          <w:iCs/>
        </w:rPr>
        <w:t xml:space="preserve">9</w:t>
      </w:r>
      <w:r>
        <w:t xml:space="preserve">(1), 63–75.</w:t>
      </w:r>
      <w:r>
        <w:t xml:space="preserve"> </w:t>
      </w:r>
      <w:hyperlink r:id="rId101">
        <w:r>
          <w:rPr>
            <w:rStyle w:val="Hyperlink"/>
          </w:rPr>
          <w:t xml:space="preserve">https://doi.org/10.1016/j.jalz.2012.11.007</w:t>
        </w:r>
      </w:hyperlink>
    </w:p>
    <w:bookmarkEnd w:id="102"/>
    <w:bookmarkStart w:id="104" w:name="ref-R2025"/>
    <w:p>
      <w:pPr>
        <w:pStyle w:val="Bibliography"/>
      </w:pPr>
      <w:r>
        <w:t xml:space="preserve">R Core Team. (2025).</w:t>
      </w:r>
      <w:r>
        <w:t xml:space="preserve"> </w:t>
      </w:r>
      <w:r>
        <w:rPr>
          <w:i/>
          <w:iCs/>
        </w:rPr>
        <w:t xml:space="preserve">R: A language and environment for statistical computing</w:t>
      </w:r>
      <w:r>
        <w:t xml:space="preserve">. R Foundation for Statistical Computing.</w:t>
      </w:r>
      <w:r>
        <w:t xml:space="preserve"> </w:t>
      </w:r>
      <w:hyperlink r:id="rId103">
        <w:r>
          <w:rPr>
            <w:rStyle w:val="Hyperlink"/>
          </w:rPr>
          <w:t xml:space="preserve">https://www.R-project.org/</w:t>
        </w:r>
      </w:hyperlink>
    </w:p>
    <w:bookmarkEnd w:id="104"/>
    <w:bookmarkStart w:id="106" w:name="ref-Richard2012"/>
    <w:p>
      <w:pPr>
        <w:pStyle w:val="Bibliography"/>
      </w:pPr>
      <w:r>
        <w:t xml:space="preserve">Richard, E., Schmand, B., Eikelenboom, P., Yang, S., Ligthart, S., Moll van Charante, E., Van Gool, W., &amp; Initiative, A. D. N. (2012). Symptoms of apathy are associated with progression from mild cognitive impairment to alzheimer’s disease in non-depressed subjects.</w:t>
      </w:r>
      <w:r>
        <w:t xml:space="preserve"> </w:t>
      </w:r>
      <w:r>
        <w:rPr>
          <w:i/>
          <w:iCs/>
        </w:rPr>
        <w:t xml:space="preserve">Dementia and Geriatric Cognitive Disorders</w:t>
      </w:r>
      <w:r>
        <w:t xml:space="preserve">,</w:t>
      </w:r>
      <w:r>
        <w:t xml:space="preserve"> </w:t>
      </w:r>
      <w:r>
        <w:rPr>
          <w:i/>
          <w:iCs/>
        </w:rPr>
        <w:t xml:space="preserve">33</w:t>
      </w:r>
      <w:r>
        <w:t xml:space="preserve">(2-3), 204–209.</w:t>
      </w:r>
      <w:r>
        <w:t xml:space="preserve"> </w:t>
      </w:r>
      <w:hyperlink r:id="rId105">
        <w:r>
          <w:rPr>
            <w:rStyle w:val="Hyperlink"/>
          </w:rPr>
          <w:t xml:space="preserve">https://doi.org/10.1159/000338239</w:t>
        </w:r>
      </w:hyperlink>
    </w:p>
    <w:bookmarkEnd w:id="106"/>
    <w:bookmarkStart w:id="108" w:name="ref-Ruthirakuhan2019"/>
    <w:p>
      <w:pPr>
        <w:pStyle w:val="Bibliography"/>
      </w:pPr>
      <w:r>
        <w:t xml:space="preserve">Ruthirakuhan, M., Herrmann, N., Vieira, D., Gallagher, D., &amp; Lanctôt, K. L. (2019). The roles of apathy and depression in predicting alzheimer disease: A longitudinal analysis in older adults with mild cognitive impairment.</w:t>
      </w:r>
      <w:r>
        <w:t xml:space="preserve"> </w:t>
      </w:r>
      <w:r>
        <w:rPr>
          <w:i/>
          <w:iCs/>
        </w:rPr>
        <w:t xml:space="preserve">The American Journal of Geriatric Psychiatry</w:t>
      </w:r>
      <w:r>
        <w:t xml:space="preserve">,</w:t>
      </w:r>
      <w:r>
        <w:t xml:space="preserve"> </w:t>
      </w:r>
      <w:r>
        <w:rPr>
          <w:i/>
          <w:iCs/>
        </w:rPr>
        <w:t xml:space="preserve">27</w:t>
      </w:r>
      <w:r>
        <w:t xml:space="preserve">(8), 873–882.</w:t>
      </w:r>
      <w:r>
        <w:t xml:space="preserve"> </w:t>
      </w:r>
      <w:hyperlink r:id="rId107">
        <w:r>
          <w:rPr>
            <w:rStyle w:val="Hyperlink"/>
          </w:rPr>
          <w:t xml:space="preserve">https://doi.org/10.1016/j.jagp.2019.02.003</w:t>
        </w:r>
      </w:hyperlink>
    </w:p>
    <w:bookmarkEnd w:id="108"/>
    <w:bookmarkStart w:id="110" w:name="ref-Salem2023"/>
    <w:p>
      <w:pPr>
        <w:pStyle w:val="Bibliography"/>
      </w:pPr>
      <w:r>
        <w:t xml:space="preserve">Salem, H., Suchting, R., Gonzales, M. M., Seshadri, S., &amp; Teixeira, A. L. (2023). Apathy as a predictor of conversion from mild cognitive impairment to alzheimer’s disease: A texas alzheimer’s research and care consortium (TARCC) cohort-based analysis.</w:t>
      </w:r>
      <w:r>
        <w:t xml:space="preserve"> </w:t>
      </w:r>
      <w:r>
        <w:rPr>
          <w:i/>
          <w:iCs/>
        </w:rPr>
        <w:t xml:space="preserve">Journal of Alzheimer’s Disease</w:t>
      </w:r>
      <w:r>
        <w:t xml:space="preserve">,</w:t>
      </w:r>
      <w:r>
        <w:t xml:space="preserve"> </w:t>
      </w:r>
      <w:r>
        <w:rPr>
          <w:i/>
          <w:iCs/>
        </w:rPr>
        <w:t xml:space="preserve">92</w:t>
      </w:r>
      <w:r>
        <w:t xml:space="preserve">(1), 129–139.</w:t>
      </w:r>
      <w:r>
        <w:t xml:space="preserve"> </w:t>
      </w:r>
      <w:hyperlink r:id="rId109">
        <w:r>
          <w:rPr>
            <w:rStyle w:val="Hyperlink"/>
          </w:rPr>
          <w:t xml:space="preserve">https://doi.org/10.3233/JAD-220826</w:t>
        </w:r>
      </w:hyperlink>
    </w:p>
    <w:bookmarkEnd w:id="110"/>
    <w:bookmarkStart w:id="112" w:name="ref-Shigemizu2020"/>
    <w:p>
      <w:pPr>
        <w:pStyle w:val="Bibliography"/>
      </w:pPr>
      <w:r>
        <w:t xml:space="preserve">Shigemizu, D., Akiyama, S., Higaki, S., Sugimoto, T., Sakurai, T., Boroevich, K. A., Sharma, A., Tsunoda, T., Ochiya, T., Niida, S., et al. (2020). Prognosis prediction model for conversion from mild cognitive impairment to alzheimer’s disease created by integrative analysis of multi-omics data.</w:t>
      </w:r>
      <w:r>
        <w:t xml:space="preserve"> </w:t>
      </w:r>
      <w:r>
        <w:rPr>
          <w:i/>
          <w:iCs/>
        </w:rPr>
        <w:t xml:space="preserve">Alzheimer’s Research &amp; Therapy</w:t>
      </w:r>
      <w:r>
        <w:t xml:space="preserve">,</w:t>
      </w:r>
      <w:r>
        <w:t xml:space="preserve"> </w:t>
      </w:r>
      <w:r>
        <w:rPr>
          <w:i/>
          <w:iCs/>
        </w:rPr>
        <w:t xml:space="preserve">12</w:t>
      </w:r>
      <w:r>
        <w:t xml:space="preserve">, 1–12.</w:t>
      </w:r>
      <w:r>
        <w:t xml:space="preserve"> </w:t>
      </w:r>
      <w:hyperlink r:id="rId111">
        <w:r>
          <w:rPr>
            <w:rStyle w:val="Hyperlink"/>
          </w:rPr>
          <w:t xml:space="preserve">https://doi.org/10.1186/s13195-020-00716-0</w:t>
        </w:r>
      </w:hyperlink>
    </w:p>
    <w:bookmarkEnd w:id="112"/>
    <w:bookmarkStart w:id="114" w:name="ref-Steel2007"/>
    <w:p>
      <w:pPr>
        <w:pStyle w:val="Bibliography"/>
      </w:pPr>
      <w:r>
        <w:t xml:space="preserve">Steel, P. (2007). The nature of procrastination: A meta-analytic and theoretical review of quintessential self-regulatory failure.</w:t>
      </w:r>
      <w:r>
        <w:t xml:space="preserve"> </w:t>
      </w:r>
      <w:r>
        <w:rPr>
          <w:i/>
          <w:iCs/>
        </w:rPr>
        <w:t xml:space="preserve">Psychological Bulletin</w:t>
      </w:r>
      <w:r>
        <w:t xml:space="preserve">,</w:t>
      </w:r>
      <w:r>
        <w:t xml:space="preserve"> </w:t>
      </w:r>
      <w:r>
        <w:rPr>
          <w:i/>
          <w:iCs/>
        </w:rPr>
        <w:t xml:space="preserve">3</w:t>
      </w:r>
      <w:r>
        <w:t xml:space="preserve">(1).</w:t>
      </w:r>
      <w:r>
        <w:t xml:space="preserve"> </w:t>
      </w:r>
      <w:hyperlink r:id="rId113">
        <w:r>
          <w:rPr>
            <w:rStyle w:val="Hyperlink"/>
          </w:rPr>
          <w:t xml:space="preserve">https://doi.org/10.1037/0033-2909.133.1.65</w:t>
        </w:r>
        <w:r>
          <w:rPr>
            <w:rStyle w:val="Hyperlink"/>
          </w:rPr>
          <w:t xml:space="preserve"> </w:t>
        </w:r>
      </w:hyperlink>
    </w:p>
    <w:bookmarkEnd w:id="114"/>
    <w:bookmarkStart w:id="116" w:name="ref-steel2010"/>
    <w:p>
      <w:pPr>
        <w:pStyle w:val="Bibliography"/>
      </w:pPr>
      <w:r>
        <w:t xml:space="preserve">Steel, P. (2010). Arousal, avoidant and decisional procrastinators: Do they exist?</w:t>
      </w:r>
      <w:r>
        <w:t xml:space="preserve"> </w:t>
      </w:r>
      <w:r>
        <w:rPr>
          <w:i/>
          <w:iCs/>
        </w:rPr>
        <w:t xml:space="preserve">Personality and Individual Differences</w:t>
      </w:r>
      <w:r>
        <w:t xml:space="preserve">,</w:t>
      </w:r>
      <w:r>
        <w:t xml:space="preserve"> </w:t>
      </w:r>
      <w:r>
        <w:rPr>
          <w:i/>
          <w:iCs/>
        </w:rPr>
        <w:t xml:space="preserve">48</w:t>
      </w:r>
      <w:r>
        <w:t xml:space="preserve">(8), 926–934.</w:t>
      </w:r>
      <w:r>
        <w:t xml:space="preserve"> </w:t>
      </w:r>
      <w:hyperlink r:id="rId115">
        <w:r>
          <w:rPr>
            <w:rStyle w:val="Hyperlink"/>
          </w:rPr>
          <w:t xml:space="preserve">https://doi.org/10.1016/j.paid.2010.02.025</w:t>
        </w:r>
      </w:hyperlink>
    </w:p>
    <w:bookmarkEnd w:id="116"/>
    <w:bookmarkStart w:id="118" w:name="ref-Stopford2012"/>
    <w:p>
      <w:pPr>
        <w:pStyle w:val="Bibliography"/>
      </w:pPr>
      <w:r>
        <w:t xml:space="preserve">Stopford, C. L., Thompson, J. C., Neary, D., Richardson, A. M., &amp; Snowden, J. S. (2012). Working memory, attention, and executive function in alzheimer’s disease and frontotemporal dementia.</w:t>
      </w:r>
      <w:r>
        <w:t xml:space="preserve"> </w:t>
      </w:r>
      <w:r>
        <w:rPr>
          <w:i/>
          <w:iCs/>
        </w:rPr>
        <w:t xml:space="preserve">Cortex</w:t>
      </w:r>
      <w:r>
        <w:t xml:space="preserve">,</w:t>
      </w:r>
      <w:r>
        <w:t xml:space="preserve"> </w:t>
      </w:r>
      <w:r>
        <w:rPr>
          <w:i/>
          <w:iCs/>
        </w:rPr>
        <w:t xml:space="preserve">48</w:t>
      </w:r>
      <w:r>
        <w:t xml:space="preserve">(4), 429–446.</w:t>
      </w:r>
      <w:r>
        <w:t xml:space="preserve"> </w:t>
      </w:r>
      <w:hyperlink r:id="rId117">
        <w:r>
          <w:rPr>
            <w:rStyle w:val="Hyperlink"/>
          </w:rPr>
          <w:t xml:space="preserve">https://doi.org/10.1016/j.cortex.2010.12.002</w:t>
        </w:r>
      </w:hyperlink>
    </w:p>
    <w:bookmarkEnd w:id="118"/>
    <w:bookmarkStart w:id="120" w:name="ref-Tschanz2006"/>
    <w:p>
      <w:pPr>
        <w:pStyle w:val="Bibliography"/>
      </w:pPr>
      <w:r>
        <w:t xml:space="preserve">Tschanz, J., Welsh-Bohmer, K., Lyketsos, C., Corcoran, C., Green, R. C., Hayden, K., Norton, M. C., Zandi, P., Toone, L., West, N., et al. (2006). Conversion to dementia from mild cognitive disorder: The cache county study.</w:t>
      </w:r>
      <w:r>
        <w:t xml:space="preserve"> </w:t>
      </w:r>
      <w:r>
        <w:rPr>
          <w:i/>
          <w:iCs/>
        </w:rPr>
        <w:t xml:space="preserve">Neurology</w:t>
      </w:r>
      <w:r>
        <w:t xml:space="preserve">,</w:t>
      </w:r>
      <w:r>
        <w:t xml:space="preserve"> </w:t>
      </w:r>
      <w:r>
        <w:rPr>
          <w:i/>
          <w:iCs/>
        </w:rPr>
        <w:t xml:space="preserve">67</w:t>
      </w:r>
      <w:r>
        <w:t xml:space="preserve">(2), 229–234.</w:t>
      </w:r>
      <w:r>
        <w:t xml:space="preserve"> </w:t>
      </w:r>
      <w:hyperlink r:id="rId119">
        <w:r>
          <w:rPr>
            <w:rStyle w:val="Hyperlink"/>
          </w:rPr>
          <w:t xml:space="preserve">https://doi.org/10.1212/01.wnl.0000224748.48011.84</w:t>
        </w:r>
      </w:hyperlink>
    </w:p>
    <w:bookmarkEnd w:id="120"/>
    <w:bookmarkStart w:id="122" w:name="ref-Venables2022"/>
    <w:p>
      <w:pPr>
        <w:pStyle w:val="Bibliography"/>
      </w:pPr>
      <w:r>
        <w:t xml:space="preserve">Venables, W. N., &amp; Ripley, B. D. (2002).</w:t>
      </w:r>
      <w:r>
        <w:t xml:space="preserve"> </w:t>
      </w:r>
      <w:r>
        <w:rPr>
          <w:i/>
          <w:iCs/>
        </w:rPr>
        <w:t xml:space="preserve">Modern applied statistics with s-PLUS</w:t>
      </w:r>
      <w:r>
        <w:t xml:space="preserve"> </w:t>
      </w:r>
      <w:r>
        <w:t xml:space="preserve">(Fourth). Springer.</w:t>
      </w:r>
      <w:r>
        <w:t xml:space="preserve"> </w:t>
      </w:r>
      <w:hyperlink r:id="rId121">
        <w:r>
          <w:rPr>
            <w:rStyle w:val="Hyperlink"/>
          </w:rPr>
          <w:t xml:space="preserve">https://www.stats.ox.ac.uk/pub/MASS4/</w:t>
        </w:r>
      </w:hyperlink>
    </w:p>
    <w:bookmarkEnd w:id="122"/>
    <w:bookmarkStart w:id="124" w:name="ref-Yu2013"/>
    <w:p>
      <w:pPr>
        <w:pStyle w:val="Bibliography"/>
      </w:pPr>
      <w:r>
        <w:t xml:space="preserve">Yu, H., Yang, S., Gao, J., Zhou, L., Liang, R., &amp; Qu, C. (2013). Multi-state markov model in outcome of mild cognitive impairments among community elderly residents in mainland china.</w:t>
      </w:r>
      <w:r>
        <w:t xml:space="preserve"> </w:t>
      </w:r>
      <w:r>
        <w:rPr>
          <w:i/>
          <w:iCs/>
        </w:rPr>
        <w:t xml:space="preserve">International Psychogeriatrics</w:t>
      </w:r>
      <w:r>
        <w:t xml:space="preserve">,</w:t>
      </w:r>
      <w:r>
        <w:t xml:space="preserve"> </w:t>
      </w:r>
      <w:r>
        <w:rPr>
          <w:i/>
          <w:iCs/>
        </w:rPr>
        <w:t xml:space="preserve">25</w:t>
      </w:r>
      <w:r>
        <w:t xml:space="preserve">(5), 797–804.</w:t>
      </w:r>
      <w:r>
        <w:t xml:space="preserve"> </w:t>
      </w:r>
      <w:hyperlink r:id="rId123">
        <w:r>
          <w:rPr>
            <w:rStyle w:val="Hyperlink"/>
          </w:rPr>
          <w:t xml:space="preserve">https://doi.org/10.1017/S1041610212002220</w:t>
        </w:r>
      </w:hyperlink>
    </w:p>
    <w:bookmarkEnd w:id="124"/>
    <w:bookmarkStart w:id="126" w:name="ref-Zhang2019"/>
    <w:p>
      <w:pPr>
        <w:pStyle w:val="Bibliography"/>
      </w:pPr>
      <w:r>
        <w:t xml:space="preserve">Zhang, S., Liu, P., &amp; Feng, T. (2019). To do it now or later: The cognitive mechanisms and neural substrates underlying procrastination.</w:t>
      </w:r>
      <w:r>
        <w:t xml:space="preserve"> </w:t>
      </w:r>
      <w:r>
        <w:rPr>
          <w:i/>
          <w:iCs/>
        </w:rPr>
        <w:t xml:space="preserve">Wiley Interdisciplinary Reviews: Cognitive Science</w:t>
      </w:r>
      <w:r>
        <w:t xml:space="preserve">,</w:t>
      </w:r>
      <w:r>
        <w:t xml:space="preserve"> </w:t>
      </w:r>
      <w:r>
        <w:rPr>
          <w:i/>
          <w:iCs/>
        </w:rPr>
        <w:t xml:space="preserve">10</w:t>
      </w:r>
      <w:r>
        <w:t xml:space="preserve">(4), e1492.</w:t>
      </w:r>
      <w:r>
        <w:t xml:space="preserve"> </w:t>
      </w:r>
      <w:hyperlink r:id="rId125">
        <w:r>
          <w:rPr>
            <w:rStyle w:val="Hyperlink"/>
          </w:rPr>
          <w:t xml:space="preserve">https://doi.org/10.1002/wcs.1492</w:t>
        </w:r>
      </w:hyperlink>
    </w:p>
    <w:bookmarkEnd w:id="126"/>
    <w:bookmarkStart w:id="128" w:name="ref-Zhang2010"/>
    <w:p>
      <w:pPr>
        <w:pStyle w:val="Bibliography"/>
      </w:pPr>
      <w:r>
        <w:t xml:space="preserve">Zhang, Y. F., Zhang, Q. F., &amp; Yu, R. H. (2010). Markov property of markov chains and its test.</w:t>
      </w:r>
      <w:r>
        <w:t xml:space="preserve"> </w:t>
      </w:r>
      <w:r>
        <w:rPr>
          <w:i/>
          <w:iCs/>
        </w:rPr>
        <w:t xml:space="preserve">2010 International Conference on Machine Learning and Cybernetics</w:t>
      </w:r>
      <w:r>
        <w:t xml:space="preserve">,</w:t>
      </w:r>
      <w:r>
        <w:t xml:space="preserve"> </w:t>
      </w:r>
      <w:r>
        <w:rPr>
          <w:i/>
          <w:iCs/>
        </w:rPr>
        <w:t xml:space="preserve">4</w:t>
      </w:r>
      <w:r>
        <w:t xml:space="preserve">, 1864–1867.</w:t>
      </w:r>
      <w:r>
        <w:t xml:space="preserve"> </w:t>
      </w:r>
      <w:hyperlink r:id="rId127">
        <w:r>
          <w:rPr>
            <w:rStyle w:val="Hyperlink"/>
          </w:rPr>
          <w:t xml:space="preserve">https://doi.org/10.1109/ICMLC.2010.5580952</w:t>
        </w:r>
      </w:hyperlink>
    </w:p>
    <w:bookmarkEnd w:id="128"/>
    <w:bookmarkEnd w:id="129"/>
    <w:bookmarkEnd w:id="13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125" Target="https://doi.org/10.1002/wcs.1492" TargetMode="External" /><Relationship Type="http://schemas.openxmlformats.org/officeDocument/2006/relationships/hyperlink" Id="rId54" Target="https://doi.org/10.1007/s41999-017-0016-0" TargetMode="External" /><Relationship Type="http://schemas.openxmlformats.org/officeDocument/2006/relationships/hyperlink" Id="rId93" Target="https://doi.org/10.1016/0165-1781(91)90040-V" TargetMode="External" /><Relationship Type="http://schemas.openxmlformats.org/officeDocument/2006/relationships/hyperlink" Id="rId77" Target="https://doi.org/10.1016/S0140-6736(06)68542-5" TargetMode="External" /><Relationship Type="http://schemas.openxmlformats.org/officeDocument/2006/relationships/hyperlink" Id="rId91" Target="https://doi.org/10.1016/S0140-6736(24)01296-0" TargetMode="External" /><Relationship Type="http://schemas.openxmlformats.org/officeDocument/2006/relationships/hyperlink" Id="rId99" Target="https://doi.org/10.1016/S2468-2667(21)00249-8" TargetMode="External" /><Relationship Type="http://schemas.openxmlformats.org/officeDocument/2006/relationships/hyperlink" Id="rId117" Target="https://doi.org/10.1016/j.cortex.2010.12.002" TargetMode="External" /><Relationship Type="http://schemas.openxmlformats.org/officeDocument/2006/relationships/hyperlink" Id="rId83" Target="https://doi.org/10.1016/j.ijpsycho.2021.08.008" TargetMode="External" /><Relationship Type="http://schemas.openxmlformats.org/officeDocument/2006/relationships/hyperlink" Id="rId64" Target="https://doi.org/10.1016/j.jagp.2013.03.006" TargetMode="External" /><Relationship Type="http://schemas.openxmlformats.org/officeDocument/2006/relationships/hyperlink" Id="rId107" Target="https://doi.org/10.1016/j.jagp.2019.02.003" TargetMode="External" /><Relationship Type="http://schemas.openxmlformats.org/officeDocument/2006/relationships/hyperlink" Id="rId70" Target="https://doi.org/10.1016/j.jalz.2009.02.007" TargetMode="External" /><Relationship Type="http://schemas.openxmlformats.org/officeDocument/2006/relationships/hyperlink" Id="rId101" Target="https://doi.org/10.1016/j.jalz.2012.11.007" TargetMode="External" /><Relationship Type="http://schemas.openxmlformats.org/officeDocument/2006/relationships/hyperlink" Id="rId115" Target="https://doi.org/10.1016/j.paid.2010.02.025" TargetMode="External" /><Relationship Type="http://schemas.openxmlformats.org/officeDocument/2006/relationships/hyperlink" Id="rId123" Target="https://doi.org/10.1017/S1041610212002220" TargetMode="External" /><Relationship Type="http://schemas.openxmlformats.org/officeDocument/2006/relationships/hyperlink" Id="rId113" Target="https://doi.org/10.1037/0033-2909.133.1.65 " TargetMode="External" /><Relationship Type="http://schemas.openxmlformats.org/officeDocument/2006/relationships/hyperlink" Id="rId79" Target="https://doi.org/10.1037/xge0000110" TargetMode="External" /><Relationship Type="http://schemas.openxmlformats.org/officeDocument/2006/relationships/hyperlink" Id="rId97" Target="https://doi.org/10.1080/13607863.2024.2345781" TargetMode="External" /><Relationship Type="http://schemas.openxmlformats.org/officeDocument/2006/relationships/hyperlink" Id="rId72" Target="https://doi.org/10.1093/gerona/glae105" TargetMode="External" /><Relationship Type="http://schemas.openxmlformats.org/officeDocument/2006/relationships/hyperlink" Id="rId62" Target="https://doi.org/10.1093/geronb/gbr048" TargetMode="External" /><Relationship Type="http://schemas.openxmlformats.org/officeDocument/2006/relationships/hyperlink" Id="rId68" Target="https://doi.org/10.1093/workar/wax032" TargetMode="External" /><Relationship Type="http://schemas.openxmlformats.org/officeDocument/2006/relationships/hyperlink" Id="rId127" Target="https://doi.org/10.1109/ICMLC.2010.5580952" TargetMode="External" /><Relationship Type="http://schemas.openxmlformats.org/officeDocument/2006/relationships/hyperlink" Id="rId51" Target="https://doi.org/10.1155/2012/291920" TargetMode="External" /><Relationship Type="http://schemas.openxmlformats.org/officeDocument/2006/relationships/hyperlink" Id="rId89" Target="https://doi.org/10.1155/2015/748212" TargetMode="External" /><Relationship Type="http://schemas.openxmlformats.org/officeDocument/2006/relationships/hyperlink" Id="rId105" Target="https://doi.org/10.1159/000338239" TargetMode="External" /><Relationship Type="http://schemas.openxmlformats.org/officeDocument/2006/relationships/hyperlink" Id="rId60" Target="https://doi.org/10.1176/appi.ajp.2014.14070878" TargetMode="External" /><Relationship Type="http://schemas.openxmlformats.org/officeDocument/2006/relationships/hyperlink" Id="rId95" Target="https://doi.org/10.1176/appi.neuropsych.12060156" TargetMode="External" /><Relationship Type="http://schemas.openxmlformats.org/officeDocument/2006/relationships/hyperlink" Id="rId85" Target="https://doi.org/10.1176/jnp.12.2.233" TargetMode="External" /><Relationship Type="http://schemas.openxmlformats.org/officeDocument/2006/relationships/hyperlink" Id="rId74" Target="https://doi.org/10.1177/08919887221093361" TargetMode="External" /><Relationship Type="http://schemas.openxmlformats.org/officeDocument/2006/relationships/hyperlink" Id="rId111" Target="https://doi.org/10.1186/s13195-020-00716-0" TargetMode="External" /><Relationship Type="http://schemas.openxmlformats.org/officeDocument/2006/relationships/hyperlink" Id="rId119" Target="https://doi.org/10.1212/01.wnl.0000224748.48011.84" TargetMode="External" /><Relationship Type="http://schemas.openxmlformats.org/officeDocument/2006/relationships/hyperlink" Id="rId56" Target="https://doi.org/10.3233/JAD-191092" TargetMode="External" /><Relationship Type="http://schemas.openxmlformats.org/officeDocument/2006/relationships/hyperlink" Id="rId109" Target="https://doi.org/10.3233/JAD-220826" TargetMode="External" /><Relationship Type="http://schemas.openxmlformats.org/officeDocument/2006/relationships/hyperlink" Id="rId87" Target="https://doi.org/10.3389/fnagi.2017.00124" TargetMode="External" /><Relationship Type="http://schemas.openxmlformats.org/officeDocument/2006/relationships/hyperlink" Id="rId58" Target="https://doi.org/10.3389/fneur.2021.765584" TargetMode="External" /><Relationship Type="http://schemas.openxmlformats.org/officeDocument/2006/relationships/hyperlink" Id="rId66" Target="https://doi.org/10.9758/cpn.2021.19.2.181" TargetMode="External" /><Relationship Type="http://schemas.openxmlformats.org/officeDocument/2006/relationships/hyperlink" Id="rId131" Target="https://github.com/C-Monaghan/crisp-clam" TargetMode="External" /><Relationship Type="http://schemas.openxmlformats.org/officeDocument/2006/relationships/hyperlink" Id="rId81"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103" Target="https://www.R-project.org/" TargetMode="External" /><Relationship Type="http://schemas.openxmlformats.org/officeDocument/2006/relationships/hyperlink" Id="rId121" Target="https://www.stats.ox.ac.uk/pub/MASS4/" TargetMode="External" /><Relationship Type="http://schemas.openxmlformats.org/officeDocument/2006/relationships/hyperlink" Id="rId34" Target="mailto:cormacmonaghan@protonmail.com" TargetMode="External" /></Relationships>
</file>

<file path=word/_rels/footnotes.xml.rels><?xml version="1.0" encoding="UTF-8"?><Relationships xmlns="http://schemas.openxmlformats.org/package/2006/relationships"><Relationship Type="http://schemas.openxmlformats.org/officeDocument/2006/relationships/hyperlink" Id="rId125" Target="https://doi.org/10.1002/wcs.1492" TargetMode="External" /><Relationship Type="http://schemas.openxmlformats.org/officeDocument/2006/relationships/hyperlink" Id="rId54" Target="https://doi.org/10.1007/s41999-017-0016-0" TargetMode="External" /><Relationship Type="http://schemas.openxmlformats.org/officeDocument/2006/relationships/hyperlink" Id="rId93" Target="https://doi.org/10.1016/0165-1781(91)90040-V" TargetMode="External" /><Relationship Type="http://schemas.openxmlformats.org/officeDocument/2006/relationships/hyperlink" Id="rId77" Target="https://doi.org/10.1016/S0140-6736(06)68542-5" TargetMode="External" /><Relationship Type="http://schemas.openxmlformats.org/officeDocument/2006/relationships/hyperlink" Id="rId91" Target="https://doi.org/10.1016/S0140-6736(24)01296-0" TargetMode="External" /><Relationship Type="http://schemas.openxmlformats.org/officeDocument/2006/relationships/hyperlink" Id="rId99" Target="https://doi.org/10.1016/S2468-2667(21)00249-8" TargetMode="External" /><Relationship Type="http://schemas.openxmlformats.org/officeDocument/2006/relationships/hyperlink" Id="rId117" Target="https://doi.org/10.1016/j.cortex.2010.12.002" TargetMode="External" /><Relationship Type="http://schemas.openxmlformats.org/officeDocument/2006/relationships/hyperlink" Id="rId83" Target="https://doi.org/10.1016/j.ijpsycho.2021.08.008" TargetMode="External" /><Relationship Type="http://schemas.openxmlformats.org/officeDocument/2006/relationships/hyperlink" Id="rId64" Target="https://doi.org/10.1016/j.jagp.2013.03.006" TargetMode="External" /><Relationship Type="http://schemas.openxmlformats.org/officeDocument/2006/relationships/hyperlink" Id="rId107" Target="https://doi.org/10.1016/j.jagp.2019.02.003" TargetMode="External" /><Relationship Type="http://schemas.openxmlformats.org/officeDocument/2006/relationships/hyperlink" Id="rId70" Target="https://doi.org/10.1016/j.jalz.2009.02.007" TargetMode="External" /><Relationship Type="http://schemas.openxmlformats.org/officeDocument/2006/relationships/hyperlink" Id="rId101" Target="https://doi.org/10.1016/j.jalz.2012.11.007" TargetMode="External" /><Relationship Type="http://schemas.openxmlformats.org/officeDocument/2006/relationships/hyperlink" Id="rId115" Target="https://doi.org/10.1016/j.paid.2010.02.025" TargetMode="External" /><Relationship Type="http://schemas.openxmlformats.org/officeDocument/2006/relationships/hyperlink" Id="rId123" Target="https://doi.org/10.1017/S1041610212002220" TargetMode="External" /><Relationship Type="http://schemas.openxmlformats.org/officeDocument/2006/relationships/hyperlink" Id="rId113" Target="https://doi.org/10.1037/0033-2909.133.1.65 " TargetMode="External" /><Relationship Type="http://schemas.openxmlformats.org/officeDocument/2006/relationships/hyperlink" Id="rId79" Target="https://doi.org/10.1037/xge0000110" TargetMode="External" /><Relationship Type="http://schemas.openxmlformats.org/officeDocument/2006/relationships/hyperlink" Id="rId97" Target="https://doi.org/10.1080/13607863.2024.2345781" TargetMode="External" /><Relationship Type="http://schemas.openxmlformats.org/officeDocument/2006/relationships/hyperlink" Id="rId72" Target="https://doi.org/10.1093/gerona/glae105" TargetMode="External" /><Relationship Type="http://schemas.openxmlformats.org/officeDocument/2006/relationships/hyperlink" Id="rId62" Target="https://doi.org/10.1093/geronb/gbr048" TargetMode="External" /><Relationship Type="http://schemas.openxmlformats.org/officeDocument/2006/relationships/hyperlink" Id="rId68" Target="https://doi.org/10.1093/workar/wax032" TargetMode="External" /><Relationship Type="http://schemas.openxmlformats.org/officeDocument/2006/relationships/hyperlink" Id="rId127" Target="https://doi.org/10.1109/ICMLC.2010.5580952" TargetMode="External" /><Relationship Type="http://schemas.openxmlformats.org/officeDocument/2006/relationships/hyperlink" Id="rId51" Target="https://doi.org/10.1155/2012/291920" TargetMode="External" /><Relationship Type="http://schemas.openxmlformats.org/officeDocument/2006/relationships/hyperlink" Id="rId89" Target="https://doi.org/10.1155/2015/748212" TargetMode="External" /><Relationship Type="http://schemas.openxmlformats.org/officeDocument/2006/relationships/hyperlink" Id="rId105" Target="https://doi.org/10.1159/000338239" TargetMode="External" /><Relationship Type="http://schemas.openxmlformats.org/officeDocument/2006/relationships/hyperlink" Id="rId60" Target="https://doi.org/10.1176/appi.ajp.2014.14070878" TargetMode="External" /><Relationship Type="http://schemas.openxmlformats.org/officeDocument/2006/relationships/hyperlink" Id="rId95" Target="https://doi.org/10.1176/appi.neuropsych.12060156" TargetMode="External" /><Relationship Type="http://schemas.openxmlformats.org/officeDocument/2006/relationships/hyperlink" Id="rId85" Target="https://doi.org/10.1176/jnp.12.2.233" TargetMode="External" /><Relationship Type="http://schemas.openxmlformats.org/officeDocument/2006/relationships/hyperlink" Id="rId74" Target="https://doi.org/10.1177/08919887221093361" TargetMode="External" /><Relationship Type="http://schemas.openxmlformats.org/officeDocument/2006/relationships/hyperlink" Id="rId111" Target="https://doi.org/10.1186/s13195-020-00716-0" TargetMode="External" /><Relationship Type="http://schemas.openxmlformats.org/officeDocument/2006/relationships/hyperlink" Id="rId119" Target="https://doi.org/10.1212/01.wnl.0000224748.48011.84" TargetMode="External" /><Relationship Type="http://schemas.openxmlformats.org/officeDocument/2006/relationships/hyperlink" Id="rId56" Target="https://doi.org/10.3233/JAD-191092" TargetMode="External" /><Relationship Type="http://schemas.openxmlformats.org/officeDocument/2006/relationships/hyperlink" Id="rId109" Target="https://doi.org/10.3233/JAD-220826" TargetMode="External" /><Relationship Type="http://schemas.openxmlformats.org/officeDocument/2006/relationships/hyperlink" Id="rId87" Target="https://doi.org/10.3389/fnagi.2017.00124" TargetMode="External" /><Relationship Type="http://schemas.openxmlformats.org/officeDocument/2006/relationships/hyperlink" Id="rId58" Target="https://doi.org/10.3389/fneur.2021.765584" TargetMode="External" /><Relationship Type="http://schemas.openxmlformats.org/officeDocument/2006/relationships/hyperlink" Id="rId66" Target="https://doi.org/10.9758/cpn.2021.19.2.181" TargetMode="External" /><Relationship Type="http://schemas.openxmlformats.org/officeDocument/2006/relationships/hyperlink" Id="rId131" Target="https://github.com/C-Monaghan/crisp-clam" TargetMode="External" /><Relationship Type="http://schemas.openxmlformats.org/officeDocument/2006/relationships/hyperlink" Id="rId81"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103" Target="https://www.R-project.org/" TargetMode="External" /><Relationship Type="http://schemas.openxmlformats.org/officeDocument/2006/relationships/hyperlink" Id="rId121" Target="https://www.stats.ox.ac.uk/pub/MASS4/" TargetMode="External" /><Relationship Type="http://schemas.openxmlformats.org/officeDocument/2006/relationships/hyperlink" Id="rId34" Target="mailto:cormacmonaghan@proton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PROCRASTINATION AND DEMENTIA</dc:description>
  <cp:keywords/>
  <dcterms:created xsi:type="dcterms:W3CDTF">2025-07-02T15:59:54Z</dcterms:created>
  <dcterms:modified xsi:type="dcterms:W3CDTF">2025-07-02T15:59:54Z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uthor">
    <vt:lpwstr/>
  </property>
  <property fmtid="{D5CDD505-2E9C-101B-9397-08002B2CF9AE}" pid="5" name="apatitle">
    <vt:lpwstr>PROCRASTINATION AND DEMENTIA</vt:lpwstr>
  </property>
  <property fmtid="{D5CDD505-2E9C-101B-9397-08002B2CF9AE}" pid="6" name="apatitledisplay">
    <vt:lpwstr>Procrastination and Dementia</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ode-repo">
    <vt:lpwstr>Access the code, data, and analysis at https://github.com/C-Monaghan/crisp-clam</vt:lpwstr>
  </property>
  <property fmtid="{D5CDD505-2E9C-101B-9397-08002B2CF9AE}" pid="13" name="correspondence-prefix">
    <vt:lpwstr>Correspondence concerning this article should be addressed to</vt:lpwstr>
  </property>
  <property fmtid="{D5CDD505-2E9C-101B-9397-08002B2CF9AE}" pid="14" name="csl">
    <vt:lpwstr>csl/apa.csl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no-ampersand-parenthetical">
    <vt:lpwstr>False</vt:lpwstr>
  </property>
  <property fmtid="{D5CDD505-2E9C-101B-9397-08002B2CF9AE}" pid="25" name="oneaffiliation">
    <vt:lpwstr>False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impact-statement">
    <vt:lpwstr>False</vt:lpwstr>
  </property>
  <property fmtid="{D5CDD505-2E9C-101B-9397-08002B2CF9AE}" pid="45" name="suppress-keywords">
    <vt:lpwstr>False</vt:lpwstr>
  </property>
  <property fmtid="{D5CDD505-2E9C-101B-9397-08002B2CF9AE}" pid="46" name="suppress-orcid">
    <vt:lpwstr>False</vt:lpwstr>
  </property>
  <property fmtid="{D5CDD505-2E9C-101B-9397-08002B2CF9AE}" pid="47" name="suppress-short-title">
    <vt:lpwstr>False</vt:lpwstr>
  </property>
  <property fmtid="{D5CDD505-2E9C-101B-9397-08002B2CF9AE}" pid="48" name="suppress-status-change-paragraph">
    <vt:lpwstr>False</vt:lpwstr>
  </property>
  <property fmtid="{D5CDD505-2E9C-101B-9397-08002B2CF9AE}" pid="49" name="suppress-title">
    <vt:lpwstr>False</vt:lpwstr>
  </property>
  <property fmtid="{D5CDD505-2E9C-101B-9397-08002B2CF9AE}" pid="50" name="suppress-title-introduction">
    <vt:lpwstr>False</vt:lpwstr>
  </property>
  <property fmtid="{D5CDD505-2E9C-101B-9397-08002B2CF9AE}" pid="51" name="suppress-title-page">
    <vt:lpwstr>False</vt:lpwstr>
  </property>
  <property fmtid="{D5CDD505-2E9C-101B-9397-08002B2CF9AE}" pid="52" name="suppress-title-page-number">
    <vt:lpwstr>False</vt:lpwstr>
  </property>
  <property fmtid="{D5CDD505-2E9C-101B-9397-08002B2CF9AE}" pid="53" name="tbl-cap-location">
    <vt:lpwstr>top</vt:lpwstr>
  </property>
  <property fmtid="{D5CDD505-2E9C-101B-9397-08002B2CF9AE}" pid="54" name="toc-title">
    <vt:lpwstr>Table of contents</vt:lpwstr>
  </property>
  <property fmtid="{D5CDD505-2E9C-101B-9397-08002B2CF9AE}" pid="55" name="zerocitations">
    <vt:lpwstr>False</vt:lpwstr>
  </property>
</Properties>
</file>