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Procrastination and Dementia</w:t>
      </w:r>
    </w:p>
    <w:p>
      <w:pPr>
        <w:pStyle w:val="Author"/>
      </w:pPr>
      <w:r>
        <w:t xml:space="preserve">Cormac Monaghan</w:t>
      </w:r>
    </w:p>
    <w:p>
      <w:pPr>
        <w:pStyle w:val="Author"/>
      </w:pPr>
      <w:r>
        <w:t xml:space="preserve">Rafael de Andrade Moral</w:t>
      </w:r>
    </w:p>
    <w:p>
      <w:pPr>
        <w:pStyle w:val="Author"/>
      </w:pPr>
      <w:r>
        <w:t xml:space="preserve">Joanna McHugh Power</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Start w:id="52" w:name="references"/>
    <w:p>
      <w:pPr>
        <w:pStyle w:val="Heading1"/>
      </w:pPr>
      <w:r>
        <w:t xml:space="preserve">References</w:t>
      </w:r>
    </w:p>
    <w:bookmarkStart w:id="51" w:name="refs"/>
    <w:bookmarkStart w:id="20"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20"/>
    <w:bookmarkStart w:id="21"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21"/>
    <w:bookmarkStart w:id="23"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22">
        <w:r>
          <w:rPr>
            <w:rStyle w:val="Hyperlink"/>
          </w:rPr>
          <w:t xml:space="preserve">https://doi.org/10.3233/JAD-191092</w:t>
        </w:r>
      </w:hyperlink>
    </w:p>
    <w:bookmarkEnd w:id="23"/>
    <w:bookmarkStart w:id="25"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24">
        <w:r>
          <w:rPr>
            <w:rStyle w:val="Hyperlink"/>
          </w:rPr>
          <w:t xml:space="preserve">https://doi.org/10.3389/fneur.2021.765584</w:t>
        </w:r>
      </w:hyperlink>
    </w:p>
    <w:bookmarkEnd w:id="25"/>
    <w:bookmarkStart w:id="26"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26"/>
    <w:bookmarkStart w:id="27"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27"/>
    <w:bookmarkStart w:id="28"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28"/>
    <w:bookmarkStart w:id="29"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29"/>
    <w:bookmarkStart w:id="30"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30"/>
    <w:bookmarkStart w:id="31"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31"/>
    <w:bookmarkStart w:id="32"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32"/>
    <w:bookmarkStart w:id="33"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33"/>
    <w:bookmarkStart w:id="34"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34"/>
    <w:bookmarkStart w:id="35"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35"/>
    <w:bookmarkStart w:id="37"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36">
        <w:r>
          <w:rPr>
            <w:rStyle w:val="Hyperlink"/>
          </w:rPr>
          <w:t xml:space="preserve">https://doi.org/10.1016/j.jalz.2012.11.007</w:t>
        </w:r>
      </w:hyperlink>
    </w:p>
    <w:bookmarkEnd w:id="37"/>
    <w:bookmarkStart w:id="38"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38"/>
    <w:bookmarkStart w:id="39"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39"/>
    <w:bookmarkStart w:id="40"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40"/>
    <w:bookmarkStart w:id="41"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41"/>
    <w:bookmarkStart w:id="43"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42">
        <w:r>
          <w:rPr>
            <w:rStyle w:val="Hyperlink"/>
          </w:rPr>
          <w:t xml:space="preserve">https://doi.org/10.1002/alz.12448</w:t>
        </w:r>
      </w:hyperlink>
    </w:p>
    <w:bookmarkEnd w:id="43"/>
    <w:bookmarkStart w:id="44"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44"/>
    <w:bookmarkStart w:id="45"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45"/>
    <w:bookmarkStart w:id="46"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46"/>
    <w:bookmarkStart w:id="47"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47"/>
    <w:bookmarkStart w:id="48"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48"/>
    <w:bookmarkStart w:id="49"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49"/>
    <w:bookmarkStart w:id="50"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50"/>
    <w:bookmarkEnd w:id="51"/>
    <w:bookmarkEnd w:id="5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2/alz.12448" TargetMode="External" /><Relationship Type="http://schemas.openxmlformats.org/officeDocument/2006/relationships/hyperlink" Id="rId36" Target="https://doi.org/10.1016/j.jalz.2012.11.007" TargetMode="External" /><Relationship Type="http://schemas.openxmlformats.org/officeDocument/2006/relationships/hyperlink" Id="rId22" Target="https://doi.org/10.3233/JAD-191092" TargetMode="External" /><Relationship Type="http://schemas.openxmlformats.org/officeDocument/2006/relationships/hyperlink" Id="rId24" Target="https://doi.org/10.3389/fneur.2021.765584" TargetMode="External" /><Relationship Type="http://schemas.openxmlformats.org/officeDocument/2006/relationships/hyperlink" Id="rId53" Target="https://github.com/C-Monaghan/crisp-clam"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alz.12448" TargetMode="External" /><Relationship Type="http://schemas.openxmlformats.org/officeDocument/2006/relationships/hyperlink" Id="rId36" Target="https://doi.org/10.1016/j.jalz.2012.11.007" TargetMode="External" /><Relationship Type="http://schemas.openxmlformats.org/officeDocument/2006/relationships/hyperlink" Id="rId22" Target="https://doi.org/10.3233/JAD-191092" TargetMode="External" /><Relationship Type="http://schemas.openxmlformats.org/officeDocument/2006/relationships/hyperlink" Id="rId24" Target="https://doi.org/10.3389/fneur.2021.765584" TargetMode="External" /><Relationship Type="http://schemas.openxmlformats.org/officeDocument/2006/relationships/hyperlink" Id="rId53" Target="https://github.com/C-Monaghan/crisp-cl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Procrastination and Dementia</dc:title>
  <dc:creator>Cormac Monaghan; Rafael de Andrade Moral; Joanna McHugh Power</dc:creator>
  <cp:keywords/>
  <dcterms:created xsi:type="dcterms:W3CDTF">2025-03-28T18:43:45Z</dcterms:created>
  <dcterms:modified xsi:type="dcterms:W3CDTF">2025-03-28T18:43:45Z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ode-repo">
    <vt:lpwstr>Access the code, data, and analysis at https://github.com/C-Monaghan/crisp-clam</vt:lpwstr>
  </property>
  <property fmtid="{D5CDD505-2E9C-101B-9397-08002B2CF9AE}" pid="9" name="correspondence-prefix">
    <vt:lpwstr>Correspondence concerning this article should be addressed to</vt:lpwstr>
  </property>
  <property fmtid="{D5CDD505-2E9C-101B-9397-08002B2CF9AE}" pid="10" name="csl">
    <vt:lpwstr>csl/apa.csl</vt:lpwstr>
  </property>
  <property fmtid="{D5CDD505-2E9C-101B-9397-08002B2CF9AE}" pid="11" name="date-format">
    <vt:lpwstr>full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link-citations">
    <vt:lpwstr>True</vt:lpwstr>
  </property>
  <property fmtid="{D5CDD505-2E9C-101B-9397-08002B2CF9AE}" pid="18" name="revealjs-plugins">
    <vt:lpwstr/>
  </property>
  <property fmtid="{D5CDD505-2E9C-101B-9397-08002B2CF9AE}" pid="19" name="toc-title">
    <vt:lpwstr>Table of contents</vt:lpwstr>
  </property>
</Properties>
</file>