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Becoming more than what you are</w:t>
      </w:r>
    </w:p>
    <w:p>
      <w:pPr>
        <w:pStyle w:val="Subtitle"/>
      </w:pPr>
      <w:r>
        <w:t xml:space="preserve">A study of inner peace</w:t>
      </w:r>
    </w:p>
    <w:p>
      <w:pPr>
        <w:pStyle w:val="Author"/>
      </w:pPr>
      <w:r>
        <w:t xml:space="preserve">Master Shifu</w:t>
      </w:r>
    </w:p>
    <w:p>
      <w:pPr>
        <w:pStyle w:val="Author"/>
      </w:pPr>
      <w:r>
        <w:t xml:space="preserve">Master Oogway</w:t>
      </w:r>
    </w:p>
    <w:p>
      <w:pPr>
        <w:pStyle w:val="Date"/>
      </w:pPr>
      <w:r>
        <w:t xml:space="preserve">Thursday, November 6, 2025</w:t>
      </w:r>
    </w:p>
    <w:p>
      <w:pPr>
        <w:pStyle w:val="AbstractTitle"/>
      </w:pPr>
      <w:r>
        <w:t xml:space="preserve">Abstract</w:t>
      </w:r>
    </w:p>
    <w:p>
      <w:pPr>
        <w:pStyle w:val="Abstract"/>
      </w:pPr>
      <w:r>
        <w:t xml:space="preserve">Lorem ipsum dolor sit amet, consectetur adipiscing elit. Maecenas rutrum quis nisi et aliquet. Quisque vitae erat vitae metus malesuada vehicula. Nullam aliquam condimentum facilisis. Vestibulum eget nisl mattis velit sagittis feugiat. Phasellus eget magna eu lacus iaculis pharetra. Proin lobortis nibh non magna congue, ac finibus eros hendrerit. Sed vehicula lacus risus, a varius velit iaculis ut. Pellentesque habitant morbi tristique senectus et netus et malesuada fames ac turpis egestas. Vestibulum iaculis, mauris ut sodales ultricies, nulla purus convallis metus, pulvinar aliquet purus ex sed ipsum. Nulla ac dignissim risus. Maecenas nec convallis odio, eu maximus nunc. Interdum et malesuada fames ac ante ipsum primis in faucibus. Ut tristique sit amet eros ut pulvinar. Curabitur elementum interdum tempor. Cras quis nulla orci. Fusce feugiat tortor ac mauris mollis, sit amet iaculis sem pellentesque. Aliquam et ex arcu. Nullam egestas malesuada tincidunt. Pellentesque lorem nulla, feugiat commodo dictum a, dignissim ac dui. Donec ullamcorper orci eros, tincidunt pulvinar lorem consectetur eget.</w:t>
      </w:r>
    </w:p>
    <w:bookmarkStart w:id="32" w:name="section"/>
    <w:p>
      <w:pPr>
        <w:pStyle w:val="Heading1"/>
      </w:pPr>
      <w:r>
        <w:t xml:space="preserve">Section</w:t>
      </w:r>
    </w:p>
    <w:p>
      <w:pPr>
        <w:pStyle w:val="FirstParagraph"/>
      </w:pPr>
      <w:r>
        <w:t xml:space="preserve">Lorem ipsum dolor sit amet, consectetur adipiscing elit. Maecenas rutrum quis nisi et aliquet. Quisque vitae erat vitae metus malesuada vehicula. Nullam aliquam condimentum facilisis. Vestibulum eget nisl mattis velit sagittis feugiat. Phasellus eget magna eu lacus iaculis pharetra. Proin lobortis nibh non magna congue, ac finibus eros hendrerit. Sed vehicula lacus risus, a varius velit iaculis ut. Pellentesque habitant morbi tristique senectus et netus et malesuada fames ac turpis egestas.</w:t>
      </w:r>
    </w:p>
    <w:p>
      <w:pPr>
        <w:pStyle w:val="BodyText"/>
      </w:pPr>
      <w:r>
        <w:t xml:space="preserve">Vestibulum iaculis, mauris ut sodales ultricies, nulla purus convallis metus</w:t>
      </w:r>
      <w:r>
        <w:t xml:space="preserve"> </w:t>
      </w:r>
      <w:r>
        <w:t xml:space="preserve">(Monaghan et al., 2024)</w:t>
      </w:r>
      <w:r>
        <w:t xml:space="preserve">, pulvinar aliquet purus ex sed ipsum. Nulla ac dignissim risus. Maecenas nec convallis odio, eu maximus nunc. Interdum et malesuada fames ac ante ipsum primis in faucibus. Ut tristique sit amet eros ut pulvinar. Curabitur elementum interdum tempor. Cras quis nulla orci. Fusce feugiat tortor ac mauris mollis, sit amet iaculis sem pellentesque. Aliquam et ex arcu. Nullam egestas malesuada tincidunt. Pellentesque lorem nulla, feugiat commodo dictum a, dignissim ac dui. Donec ullamcorper orci eros, tincidunt pulvinar lorem consectetur eget.</w:t>
      </w:r>
    </w:p>
    <w:bookmarkStart w:id="31" w:name="subsection"/>
    <w:p>
      <w:pPr>
        <w:pStyle w:val="Heading2"/>
      </w:pPr>
      <w:r>
        <w:t xml:space="preserve">Subsection</w:t>
      </w:r>
    </w:p>
    <w:p>
      <w:pPr>
        <w:pStyle w:val="FirstParagraph"/>
      </w:pPr>
      <w:r>
        <w:t xml:space="preserve">Lorem ipsum dolor sit amet, consectetur adipiscing elit. Maecenas rutrum</w:t>
      </w:r>
      <w:r>
        <w:t xml:space="preserve"> </w:t>
      </w:r>
      <w:r>
        <w:t xml:space="preserve">(Monaghan et al., 2025)</w:t>
      </w:r>
      <w:r>
        <w:t xml:space="preserve"> </w:t>
      </w:r>
      <w:r>
        <w:t xml:space="preserve">quis nisi et aliquet. Quisque vitae erat vitae metus malesuada vehicula. Nullam aliquam condimentum facilisis. Vestibulum eget nisl mattis velit sagittis feugiat. Phasellus eget magna eu lacus iaculis pharetra. Proin lobortis nibh non magna congue, ac finibus eros hendrerit. Sed vehicula lacus risus, a varius velit iaculis ut. Pellentesque habitant morbi tristique senectus et netus et malesuada fames ac turpis egestas.</w:t>
      </w:r>
    </w:p>
    <w:bookmarkStart w:id="30" w:name="subsubsection"/>
    <w:p>
      <w:pPr>
        <w:pStyle w:val="Heading3"/>
      </w:pPr>
      <w:r>
        <w:t xml:space="preserve">Subsubsection</w:t>
      </w:r>
    </w:p>
    <w:p>
      <w:pPr>
        <w:pStyle w:val="FirstParagraph"/>
      </w:pPr>
      <w:r>
        <w:t xml:space="preserve">Lorem ipsum dolor sit amet, consectetur</w:t>
      </w:r>
      <w:r>
        <w:t xml:space="preserve"> </w:t>
      </w:r>
      <w:r>
        <w:t xml:space="preserve">(Monaghan et al., 2024, 2025)</w:t>
      </w:r>
      <w:r>
        <w:t xml:space="preserve"> </w:t>
      </w:r>
      <w:r>
        <w:t xml:space="preserve">adipiscing elit. Maecenas rutrum quis nisi et aliquet. Quisque vitae erat vitae metus malesuada vehicula. Nullam aliquam condimentum facilisis. Vestibulum eget nisl mattis velit sagittis feugiat. Phasellus eget magna eu lacus iaculis pharetra. Proin lobortis nibh non magna congue, ac finibus eros hendrerit. Sed vehicula lacus risus, a varius velit iaculis ut. Pellentesque habitant morbi tristique senectus et netus et malesuada fames ac turpis egestas.</w:t>
      </w:r>
    </w:p>
    <w:tbl>
      <w:tblPr>
        <w:tblStyle w:val="Table"/>
        <w:tblW w:type="pct" w:w="5000"/>
        <w:tblLayout w:type="fixed"/>
        <w:tblLook w:firstRow="0" w:lastRow="0" w:firstColumn="0" w:lastColumn="0" w:noHBand="0" w:noVBand="0" w:val="0000"/>
      </w:tblPr>
      <w:tblGrid>
        <w:gridCol w:w="7920"/>
      </w:tblGrid>
      <w:tr>
        <w:tc>
          <w:tcPr/>
          <w:bookmarkStart w:id="20" w:name="tbl-cars"/>
          <w:p>
            <w:pPr>
              <w:jc w:val="center"/>
            </w:pPr>
            <w:pPr>
              <w:jc w:val="left"/>
              <w:spacing w:before="200"/>
              <w:pStyle w:val="ImageCaption"/>
            </w:pPr>
            <w:r>
              <w:t xml:space="preserve">Table 1: Example of a table.</w:t>
            </w:r>
          </w:p>
          <w:tbl>
            <w:tblPr>
              <w:tblStyle w:val="Table"/>
              <w:tblW w:type="pct" w:w="2292"/>
              <w:tblLayout w:type="fixed"/>
              <w:tblLook w:firstRow="1" w:lastRow="0" w:firstColumn="0" w:lastColumn="0" w:noHBand="0" w:noVBand="0" w:val="0020"/>
            </w:tblPr>
            <w:tblGrid>
              <w:gridCol w:w="770"/>
              <w:gridCol w:w="660"/>
              <w:gridCol w:w="770"/>
              <w:gridCol w:w="660"/>
              <w:gridCol w:w="770"/>
            </w:tblGrid>
            <w:tr>
              <w:trPr>
                <w:tblHeader w:val="on"/>
              </w:trPr>
              <w:tc>
                <w:tcPr/>
                <w:p>
                  <w:pPr>
                    <w:pStyle w:val="Compact"/>
                    <w:jc w:val="center"/>
                  </w:pPr>
                  <w:r>
                    <w:t xml:space="preserve">mpg</w:t>
                  </w:r>
                </w:p>
              </w:tc>
              <w:tc>
                <w:tcPr/>
                <w:p>
                  <w:pPr>
                    <w:pStyle w:val="Compact"/>
                    <w:jc w:val="center"/>
                  </w:pPr>
                  <w:r>
                    <w:t xml:space="preserve">cyl</w:t>
                  </w:r>
                </w:p>
              </w:tc>
              <w:tc>
                <w:tcPr/>
                <w:p>
                  <w:pPr>
                    <w:pStyle w:val="Compact"/>
                    <w:jc w:val="center"/>
                  </w:pPr>
                  <w:r>
                    <w:t xml:space="preserve">disp</w:t>
                  </w:r>
                </w:p>
              </w:tc>
              <w:tc>
                <w:tcPr/>
                <w:p>
                  <w:pPr>
                    <w:pStyle w:val="Compact"/>
                    <w:jc w:val="center"/>
                  </w:pPr>
                  <w:r>
                    <w:t xml:space="preserve">hp</w:t>
                  </w:r>
                </w:p>
              </w:tc>
              <w:tc>
                <w:tcPr/>
                <w:p>
                  <w:pPr>
                    <w:pStyle w:val="Compact"/>
                    <w:jc w:val="center"/>
                  </w:pPr>
                  <w:r>
                    <w:t xml:space="preserve">drat</w:t>
                  </w:r>
                </w:p>
              </w:tc>
            </w:tr>
            <w:tr>
              <w:tc>
                <w:tcPr/>
                <w:p>
                  <w:pPr>
                    <w:pStyle w:val="Compact"/>
                    <w:jc w:val="center"/>
                  </w:pPr>
                  <w:r>
                    <w:t xml:space="preserve">21.0</w:t>
                  </w:r>
                </w:p>
              </w:tc>
              <w:tc>
                <w:tcPr/>
                <w:p>
                  <w:pPr>
                    <w:pStyle w:val="Compact"/>
                    <w:jc w:val="center"/>
                  </w:pPr>
                  <w:r>
                    <w:t xml:space="preserve">6</w:t>
                  </w:r>
                </w:p>
              </w:tc>
              <w:tc>
                <w:tcPr/>
                <w:p>
                  <w:pPr>
                    <w:pStyle w:val="Compact"/>
                    <w:jc w:val="center"/>
                  </w:pPr>
                  <w:r>
                    <w:t xml:space="preserve">160</w:t>
                  </w:r>
                </w:p>
              </w:tc>
              <w:tc>
                <w:tcPr/>
                <w:p>
                  <w:pPr>
                    <w:pStyle w:val="Compact"/>
                    <w:jc w:val="center"/>
                  </w:pPr>
                  <w:r>
                    <w:t xml:space="preserve">110</w:t>
                  </w:r>
                </w:p>
              </w:tc>
              <w:tc>
                <w:tcPr/>
                <w:p>
                  <w:pPr>
                    <w:pStyle w:val="Compact"/>
                    <w:jc w:val="center"/>
                  </w:pPr>
                  <w:r>
                    <w:t xml:space="preserve">3.90</w:t>
                  </w:r>
                </w:p>
              </w:tc>
            </w:tr>
            <w:tr>
              <w:tc>
                <w:tcPr/>
                <w:p>
                  <w:pPr>
                    <w:pStyle w:val="Compact"/>
                    <w:jc w:val="center"/>
                  </w:pPr>
                  <w:r>
                    <w:t xml:space="preserve">21.0</w:t>
                  </w:r>
                </w:p>
              </w:tc>
              <w:tc>
                <w:tcPr/>
                <w:p>
                  <w:pPr>
                    <w:pStyle w:val="Compact"/>
                    <w:jc w:val="center"/>
                  </w:pPr>
                  <w:r>
                    <w:t xml:space="preserve">6</w:t>
                  </w:r>
                </w:p>
              </w:tc>
              <w:tc>
                <w:tcPr/>
                <w:p>
                  <w:pPr>
                    <w:pStyle w:val="Compact"/>
                    <w:jc w:val="center"/>
                  </w:pPr>
                  <w:r>
                    <w:t xml:space="preserve">160</w:t>
                  </w:r>
                </w:p>
              </w:tc>
              <w:tc>
                <w:tcPr/>
                <w:p>
                  <w:pPr>
                    <w:pStyle w:val="Compact"/>
                    <w:jc w:val="center"/>
                  </w:pPr>
                  <w:r>
                    <w:t xml:space="preserve">110</w:t>
                  </w:r>
                </w:p>
              </w:tc>
              <w:tc>
                <w:tcPr/>
                <w:p>
                  <w:pPr>
                    <w:pStyle w:val="Compact"/>
                    <w:jc w:val="center"/>
                  </w:pPr>
                  <w:r>
                    <w:t xml:space="preserve">3.90</w:t>
                  </w:r>
                </w:p>
              </w:tc>
            </w:tr>
            <w:tr>
              <w:tc>
                <w:tcPr/>
                <w:p>
                  <w:pPr>
                    <w:pStyle w:val="Compact"/>
                    <w:jc w:val="center"/>
                  </w:pPr>
                  <w:r>
                    <w:t xml:space="preserve">22.8</w:t>
                  </w:r>
                </w:p>
              </w:tc>
              <w:tc>
                <w:tcPr/>
                <w:p>
                  <w:pPr>
                    <w:pStyle w:val="Compact"/>
                    <w:jc w:val="center"/>
                  </w:pPr>
                  <w:r>
                    <w:t xml:space="preserve">4</w:t>
                  </w:r>
                </w:p>
              </w:tc>
              <w:tc>
                <w:tcPr/>
                <w:p>
                  <w:pPr>
                    <w:pStyle w:val="Compact"/>
                    <w:jc w:val="center"/>
                  </w:pPr>
                  <w:r>
                    <w:t xml:space="preserve">108</w:t>
                  </w:r>
                </w:p>
              </w:tc>
              <w:tc>
                <w:tcPr/>
                <w:p>
                  <w:pPr>
                    <w:pStyle w:val="Compact"/>
                    <w:jc w:val="center"/>
                  </w:pPr>
                  <w:r>
                    <w:t xml:space="preserve">93</w:t>
                  </w:r>
                </w:p>
              </w:tc>
              <w:tc>
                <w:tcPr/>
                <w:p>
                  <w:pPr>
                    <w:pStyle w:val="Compact"/>
                    <w:jc w:val="center"/>
                  </w:pPr>
                  <w:r>
                    <w:t xml:space="preserve">3.85</w:t>
                  </w:r>
                </w:p>
              </w:tc>
            </w:tr>
            <w:tr>
              <w:tc>
                <w:tcPr/>
                <w:p>
                  <w:pPr>
                    <w:pStyle w:val="Compact"/>
                    <w:jc w:val="center"/>
                  </w:pPr>
                  <w:r>
                    <w:t xml:space="preserve">21.4</w:t>
                  </w:r>
                </w:p>
              </w:tc>
              <w:tc>
                <w:tcPr/>
                <w:p>
                  <w:pPr>
                    <w:pStyle w:val="Compact"/>
                    <w:jc w:val="center"/>
                  </w:pPr>
                  <w:r>
                    <w:t xml:space="preserve">6</w:t>
                  </w:r>
                </w:p>
              </w:tc>
              <w:tc>
                <w:tcPr/>
                <w:p>
                  <w:pPr>
                    <w:pStyle w:val="Compact"/>
                    <w:jc w:val="center"/>
                  </w:pPr>
                  <w:r>
                    <w:t xml:space="preserve">258</w:t>
                  </w:r>
                </w:p>
              </w:tc>
              <w:tc>
                <w:tcPr/>
                <w:p>
                  <w:pPr>
                    <w:pStyle w:val="Compact"/>
                    <w:jc w:val="center"/>
                  </w:pPr>
                  <w:r>
                    <w:t xml:space="preserve">110</w:t>
                  </w:r>
                </w:p>
              </w:tc>
              <w:tc>
                <w:tcPr/>
                <w:p>
                  <w:pPr>
                    <w:pStyle w:val="Compact"/>
                    <w:jc w:val="center"/>
                  </w:pPr>
                  <w:r>
                    <w:t xml:space="preserve">3.08</w:t>
                  </w:r>
                </w:p>
              </w:tc>
            </w:tr>
          </w:tbl>
          <w:bookmarkEnd w:id="20"/>
          <w:p/>
        </w:tc>
      </w:tr>
    </w:tbl>
    <w:tbl>
      <w:tblPr>
        <w:tblStyle w:val="Table"/>
        <w:tblW w:type="pct" w:w="5000"/>
        <w:tblLayout w:type="fixed"/>
        <w:tblLook w:firstRow="0" w:lastRow="0" w:firstColumn="0" w:lastColumn="0" w:noHBand="0" w:noVBand="0" w:val="0000"/>
      </w:tblPr>
      <w:tblGrid>
        <w:gridCol w:w="7920"/>
      </w:tblGrid>
      <w:tr>
        <w:tc>
          <w:tcPr/>
          <w:bookmarkStart w:id="24" w:name="fig-cars"/>
          <w:p>
            <w:pPr>
              <w:pStyle w:val="Compact"/>
              <w:jc w:val="center"/>
            </w:pPr>
            <w:r>
              <w:drawing>
                <wp:inline>
                  <wp:extent cx="4587290" cy="3669832"/>
                  <wp:effectExtent b="0" l="0" r="0" t="0"/>
                  <wp:docPr descr="" title="" id="22" name="Picture"/>
                  <a:graphic>
                    <a:graphicData uri="http://schemas.openxmlformats.org/drawingml/2006/picture">
                      <pic:pic>
                        <pic:nvPicPr>
                          <pic:cNvPr descr="template_files/figure-docx/fig-cars-1.png" id="23" name="Picture"/>
                          <pic:cNvPicPr>
                            <a:picLocks noChangeArrowheads="1" noChangeAspect="1"/>
                          </pic:cNvPicPr>
                        </pic:nvPicPr>
                        <pic:blipFill>
                          <a:blip r:embed="rId21"/>
                          <a:stretch>
                            <a:fillRect/>
                          </a:stretch>
                        </pic:blipFill>
                        <pic:spPr bwMode="auto">
                          <a:xfrm>
                            <a:off x="0" y="0"/>
                            <a:ext cx="4587290" cy="366983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Miles per gallon vs. Horsepower</w:t>
            </w:r>
          </w:p>
          <w:bookmarkEnd w:id="24"/>
        </w:tc>
      </w:tr>
    </w:tbl>
    <w:p>
      <w:r>
        <w:br w:type="page"/>
      </w:r>
    </w:p>
    <w:bookmarkStart w:id="29" w:name="refs"/>
    <w:bookmarkStart w:id="26" w:name="ref-monaghan2024"/>
    <w:p>
      <w:pPr>
        <w:pStyle w:val="Bibliography"/>
      </w:pPr>
      <w:r>
        <w:t xml:space="preserve">Monaghan, C., Avila-Palencia, I., Han, S. D., &amp; McHugh Power, J. (2024). Procrastination, depressive symptomatology, and loneliness in later life.</w:t>
      </w:r>
      <w:r>
        <w:t xml:space="preserve"> </w:t>
      </w:r>
      <w:r>
        <w:rPr>
          <w:i/>
          <w:iCs/>
        </w:rPr>
        <w:t xml:space="preserve">Aging &amp; Mental Health</w:t>
      </w:r>
      <w:r>
        <w:t xml:space="preserve">,</w:t>
      </w:r>
      <w:r>
        <w:t xml:space="preserve"> </w:t>
      </w:r>
      <w:r>
        <w:rPr>
          <w:i/>
          <w:iCs/>
        </w:rPr>
        <w:t xml:space="preserve">28</w:t>
      </w:r>
      <w:r>
        <w:t xml:space="preserve">(9), 1270–1277.</w:t>
      </w:r>
      <w:r>
        <w:t xml:space="preserve"> </w:t>
      </w:r>
      <w:hyperlink r:id="rId25">
        <w:r>
          <w:rPr>
            <w:rStyle w:val="Hyperlink"/>
          </w:rPr>
          <w:t xml:space="preserve">https://doi.org/10.1080/13607863.2024.2345781</w:t>
        </w:r>
      </w:hyperlink>
    </w:p>
    <w:bookmarkEnd w:id="26"/>
    <w:bookmarkStart w:id="28" w:name="ref-monaghan2025"/>
    <w:p>
      <w:pPr>
        <w:pStyle w:val="Bibliography"/>
      </w:pPr>
      <w:r>
        <w:t xml:space="preserve">Monaghan, C., de Andrade Moral, R., &amp; Power, J. M. (2025). Procrastination and preventive health-care in the older</w:t>
      </w:r>
      <w:r>
        <w:t xml:space="preserve"> </w:t>
      </w:r>
      <w:r>
        <w:t xml:space="preserve">U</w:t>
      </w:r>
      <w:r>
        <w:t xml:space="preserve">.</w:t>
      </w:r>
      <w:r>
        <w:t xml:space="preserve">S</w:t>
      </w:r>
      <w:r>
        <w:t xml:space="preserve">. population.</w:t>
      </w:r>
      <w:r>
        <w:t xml:space="preserve"> </w:t>
      </w:r>
      <w:r>
        <w:rPr>
          <w:i/>
          <w:iCs/>
        </w:rPr>
        <w:t xml:space="preserve">Preventive Medicine</w:t>
      </w:r>
      <w:r>
        <w:t xml:space="preserve">,</w:t>
      </w:r>
      <w:r>
        <w:t xml:space="preserve"> </w:t>
      </w:r>
      <w:r>
        <w:rPr>
          <w:i/>
          <w:iCs/>
        </w:rPr>
        <w:t xml:space="preserve">190</w:t>
      </w:r>
      <w:r>
        <w:t xml:space="preserve">, 108185.</w:t>
      </w:r>
      <w:r>
        <w:t xml:space="preserve"> </w:t>
      </w:r>
      <w:hyperlink r:id="rId27">
        <w:r>
          <w:rPr>
            <w:rStyle w:val="Hyperlink"/>
          </w:rPr>
          <w:t xml:space="preserve">https://doi.org/10.1016/j.ypmed.2024.108185</w:t>
        </w:r>
      </w:hyperlink>
    </w:p>
    <w:bookmarkEnd w:id="28"/>
    <w:bookmarkEnd w:id="29"/>
    <w:bookmarkEnd w:id="30"/>
    <w:bookmarkEnd w:id="31"/>
    <w:bookmarkEnd w:id="32"/>
    <w:sectPr w:rsidR="00122113">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FAFE9ABA"/>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399C72B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134E0EF6"/>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503C8C3E"/>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62D6470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C46E51F6"/>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9B5E0786"/>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51895C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9D9284A6"/>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01418F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302EAA8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697265735" w:numId="1">
    <w:abstractNumId w:val="10"/>
  </w:num>
  <w:num w16cid:durableId="1621572318" w:numId="2">
    <w:abstractNumId w:val="0"/>
  </w:num>
  <w:num w16cid:durableId="1698038869" w:numId="3">
    <w:abstractNumId w:val="1"/>
  </w:num>
  <w:num w16cid:durableId="1816601568" w:numId="4">
    <w:abstractNumId w:val="2"/>
  </w:num>
  <w:num w16cid:durableId="1549143319" w:numId="5">
    <w:abstractNumId w:val="3"/>
  </w:num>
  <w:num w16cid:durableId="1923370611" w:numId="6">
    <w:abstractNumId w:val="8"/>
  </w:num>
  <w:num w16cid:durableId="1712731999" w:numId="7">
    <w:abstractNumId w:val="4"/>
  </w:num>
  <w:num w16cid:durableId="1199927662" w:numId="8">
    <w:abstractNumId w:val="5"/>
  </w:num>
  <w:num w16cid:durableId="368116615" w:numId="9">
    <w:abstractNumId w:val="6"/>
  </w:num>
  <w:num w16cid:durableId="1819230131" w:numId="10">
    <w:abstractNumId w:val="7"/>
  </w:num>
  <w:num w16cid:durableId="666782604" w:numId="11">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6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263"/>
    <w:rsid w:val="00122113"/>
    <w:rsid w:val="002B3BF5"/>
    <w:rsid w:val="004B30E0"/>
    <w:rsid w:val="00625F96"/>
    <w:rsid w:val="00826221"/>
    <w:rsid w:val="00826F97"/>
    <w:rsid w:val="008B7E24"/>
    <w:rsid w:val="00950616"/>
    <w:rsid w:val="009D318A"/>
    <w:rsid w:val="00A3361E"/>
    <w:rsid w:val="00A42B21"/>
    <w:rsid w:val="00CA66A9"/>
    <w:rsid w:val="00D0162A"/>
    <w:rsid w:val="00F1135C"/>
    <w:rsid w:val="00F63C83"/>
    <w:rsid w:val="00F83263"/>
    <w:rsid w:val="00FC1E37"/>
    <w:rsid w:val="00FD04D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A66A9"/>
    <w:pPr>
      <w:spacing w:after="0" w:line="432" w:lineRule="auto"/>
    </w:pPr>
    <w:rPr>
      <w:rFonts w:ascii="Times New Roman" w:hAnsi="Times New Roman"/>
    </w:rPr>
  </w:style>
  <w:style w:styleId="Heading1" w:type="paragraph">
    <w:name w:val="heading 1"/>
    <w:basedOn w:val="Normal"/>
    <w:next w:val="BodyText"/>
    <w:uiPriority w:val="9"/>
    <w:qFormat/>
    <w:rsid w:val="00CA66A9"/>
    <w:pPr>
      <w:keepNext/>
      <w:keepLines/>
      <w:spacing w:before="480"/>
      <w:jc w:val="center"/>
      <w:outlineLvl w:val="0"/>
    </w:pPr>
    <w:rPr>
      <w:rFonts w:cstheme="majorBidi" w:eastAsiaTheme="majorEastAsia"/>
      <w:b/>
      <w:bCs/>
      <w:color w:themeColor="text1" w:val="000000"/>
      <w:szCs w:val="32"/>
    </w:rPr>
  </w:style>
  <w:style w:styleId="Heading2" w:type="paragraph">
    <w:name w:val="heading 2"/>
    <w:basedOn w:val="Normal"/>
    <w:next w:val="BodyText"/>
    <w:uiPriority w:val="9"/>
    <w:unhideWhenUsed/>
    <w:qFormat/>
    <w:rsid w:val="004B30E0"/>
    <w:pPr>
      <w:keepNext/>
      <w:keepLines/>
      <w:spacing w:before="240"/>
      <w:outlineLvl w:val="1"/>
    </w:pPr>
    <w:rPr>
      <w:rFonts w:cstheme="majorBidi" w:eastAsiaTheme="majorEastAsia"/>
      <w:b/>
      <w:bCs/>
      <w:szCs w:val="28"/>
    </w:rPr>
  </w:style>
  <w:style w:styleId="Heading3" w:type="paragraph">
    <w:name w:val="heading 3"/>
    <w:basedOn w:val="Normal"/>
    <w:next w:val="BodyText"/>
    <w:uiPriority w:val="9"/>
    <w:unhideWhenUsed/>
    <w:qFormat/>
    <w:rsid w:val="004B30E0"/>
    <w:pPr>
      <w:keepNext/>
      <w:keepLines/>
      <w:outlineLvl w:val="2"/>
    </w:pPr>
    <w:rPr>
      <w:rFonts w:cstheme="majorBidi" w:eastAsiaTheme="majorEastAsia"/>
      <w:b/>
      <w:bCs/>
      <w:i/>
    </w:rPr>
  </w:style>
  <w:style w:styleId="Heading4" w:type="paragraph">
    <w:name w:val="heading 4"/>
    <w:basedOn w:val="Normal"/>
    <w:next w:val="BodyText"/>
    <w:uiPriority w:val="9"/>
    <w:unhideWhenUsed/>
    <w:qFormat/>
    <w:rsid w:val="004B30E0"/>
    <w:pPr>
      <w:keepNext/>
      <w:keepLines/>
      <w:ind w:left="720"/>
      <w:outlineLvl w:val="3"/>
    </w:pPr>
    <w:rPr>
      <w:rFonts w:cstheme="majorBidi" w:eastAsiaTheme="majorEastAsia"/>
      <w:b/>
      <w:bCs/>
    </w:rPr>
  </w:style>
  <w:style w:styleId="Heading5" w:type="paragraph">
    <w:name w:val="heading 5"/>
    <w:basedOn w:val="Normal"/>
    <w:next w:val="BodyText"/>
    <w:uiPriority w:val="9"/>
    <w:unhideWhenUsed/>
    <w:qFormat/>
    <w:rsid w:val="004B30E0"/>
    <w:pPr>
      <w:keepNext/>
      <w:keepLines/>
      <w:ind w:left="720"/>
      <w:outlineLvl w:val="4"/>
    </w:pPr>
    <w:rPr>
      <w:rFonts w:cstheme="majorBidi" w:eastAsiaTheme="majorEastAsia"/>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F1135C"/>
    <w:pPr>
      <w:ind w:firstLine="720"/>
    </w:pPr>
  </w:style>
  <w:style w:customStyle="1" w:styleId="FirstParagraph" w:type="paragraph">
    <w:name w:val="First Paragraph"/>
    <w:basedOn w:val="BodyText"/>
    <w:next w:val="BodyText"/>
    <w:qFormat/>
    <w:rsid w:val="00F1135C"/>
    <w:pPr>
      <w:ind w:firstLine="0"/>
    </w:pPr>
  </w:style>
  <w:style w:customStyle="1" w:styleId="Compact" w:type="paragraph">
    <w:name w:val="Compact"/>
    <w:basedOn w:val="BodyText"/>
    <w:qFormat/>
    <w:pPr>
      <w:spacing w:after="36" w:before="36"/>
    </w:pPr>
  </w:style>
  <w:style w:styleId="Title" w:type="paragraph">
    <w:name w:val="Title"/>
    <w:basedOn w:val="Normal"/>
    <w:next w:val="BodyText"/>
    <w:qFormat/>
    <w:rsid w:val="00CA66A9"/>
    <w:pPr>
      <w:keepNext/>
      <w:keepLines/>
      <w:jc w:val="center"/>
    </w:pPr>
    <w:rPr>
      <w:rFonts w:cstheme="majorBidi" w:eastAsiaTheme="majorEastAsia"/>
      <w:b/>
      <w:bCs/>
      <w:color w:themeColor="text1" w:val="000000"/>
      <w:szCs w:val="36"/>
    </w:rPr>
  </w:style>
  <w:style w:styleId="Subtitle" w:type="paragraph">
    <w:name w:val="Subtitle"/>
    <w:basedOn w:val="Title"/>
    <w:next w:val="BodyText"/>
    <w:qFormat/>
    <w:rsid w:val="00CA66A9"/>
    <w:rPr>
      <w:szCs w:val="30"/>
    </w:rPr>
  </w:style>
  <w:style w:customStyle="1" w:styleId="Author" w:type="paragraph">
    <w:name w:val="Author"/>
    <w:next w:val="BodyText"/>
    <w:qFormat/>
    <w:rsid w:val="00CA66A9"/>
    <w:pPr>
      <w:keepNext/>
      <w:keepLines/>
      <w:spacing w:after="0" w:line="432" w:lineRule="auto"/>
      <w:jc w:val="center"/>
    </w:pPr>
    <w:rPr>
      <w:rFonts w:ascii="Times New Roman" w:hAnsi="Times New Roman"/>
    </w:rPr>
  </w:style>
  <w:style w:styleId="Date" w:type="paragraph">
    <w:name w:val="Date"/>
    <w:next w:val="BodyText"/>
    <w:qFormat/>
    <w:rsid w:val="00CA66A9"/>
    <w:pPr>
      <w:keepNext/>
      <w:keepLines/>
      <w:spacing w:after="0" w:line="432" w:lineRule="auto"/>
      <w:jc w:val="center"/>
    </w:pPr>
    <w:rPr>
      <w:rFonts w:ascii="Times New Roman" w:hAnsi="Times New Roman"/>
    </w:rPr>
  </w:style>
  <w:style w:customStyle="1" w:styleId="Abstract" w:type="paragraph">
    <w:name w:val="Abstract"/>
    <w:basedOn w:val="Normal"/>
    <w:next w:val="BodyText"/>
    <w:qFormat/>
    <w:rsid w:val="00CA66A9"/>
    <w:pPr>
      <w:keepNext/>
      <w:keepLines/>
      <w:spacing w:after="300" w:before="300"/>
      <w:ind w:left="720" w:right="720"/>
    </w:pPr>
    <w:rPr>
      <w:sz w:val="20"/>
      <w:szCs w:val="20"/>
    </w:rPr>
  </w:style>
  <w:style w:styleId="Bibliography" w:type="paragraph">
    <w:name w:val="Bibliography"/>
    <w:basedOn w:val="Normal"/>
    <w:qFormat/>
    <w:rsid w:val="004B30E0"/>
    <w:pPr>
      <w:ind w:hanging="720" w:left="720"/>
    </w:p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4B30E0"/>
    <w:rPr>
      <w:color w:val="auto"/>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BodyTextChar" w:type="character">
    <w:name w:val="Body Text Char"/>
    <w:basedOn w:val="DefaultParagraphFont"/>
    <w:link w:val="BodyText"/>
    <w:rsid w:val="00F1135C"/>
    <w:rPr>
      <w:rFonts w:ascii="Times New Roman" w:hAnsi="Times New Roman"/>
    </w:rPr>
  </w:style>
  <w:style w:customStyle="1" w:styleId="SourceCode" w:type="paragraph">
    <w:name w:val="Source Code"/>
    <w:basedOn w:val="Normal"/>
    <w:link w:val="VerbatimChar"/>
    <w:rsid w:val="00122113"/>
    <w:pPr>
      <w:widowControl w:val="0"/>
      <w:shd w:color="auto" w:fill="F8F8F8" w:val="clear"/>
      <w:wordWrap w:val="0"/>
      <w:spacing w:after="480" w:before="240" w:line="240" w:lineRule="auto"/>
      <w:contextualSpacing/>
    </w:pPr>
    <w:rPr>
      <w:rFonts w:ascii="Consolas" w:hAnsi="Consolas"/>
      <w:sz w:val="22"/>
    </w:rPr>
  </w:style>
  <w:style w:customStyle="1" w:styleId="FunctionTok" w:type="character">
    <w:name w:val="FunctionTok"/>
    <w:basedOn w:val="VerbatimChar"/>
    <w:rsid w:val="00122113"/>
    <w:rPr>
      <w:rFonts w:ascii="Consolas" w:hAnsi="Consolas"/>
      <w:i/>
      <w:color w:val="000000"/>
      <w:sz w:val="22"/>
      <w:shd w:color="auto" w:fill="F8F8F8" w:val="clear"/>
    </w:rPr>
  </w:style>
  <w:style w:customStyle="1" w:styleId="NormalTok" w:type="character">
    <w:name w:val="NormalTok"/>
    <w:basedOn w:val="VerbatimChar"/>
    <w:rsid w:val="00122113"/>
    <w:rPr>
      <w:rFonts w:ascii="Consolas" w:hAnsi="Consolas"/>
      <w:i/>
      <w:sz w:val="22"/>
      <w:shd w:color="auto" w:fill="F8F8F8" w:val="clear"/>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27" Target="https://doi.org/10.1016/j.ypmed.2024.108185" TargetMode="External" /><Relationship Type="http://schemas.openxmlformats.org/officeDocument/2006/relationships/hyperlink" Id="rId25" Target="https://doi.org/10.1080/13607863.2024.2345781" TargetMode="External" /><Relationship Type="http://schemas.openxmlformats.org/officeDocument/2006/relationships/hyperlink" Id="rId33" Target="https://kungfupanda.fandom.com/wiki/Dragon_Scroll" TargetMode="External" /></Relationships>
</file>

<file path=word/_rels/footnotes.xml.rels><?xml version="1.0" encoding="UTF-8"?><Relationships xmlns="http://schemas.openxmlformats.org/package/2006/relationships"><Relationship Type="http://schemas.openxmlformats.org/officeDocument/2006/relationships/hyperlink" Id="rId27" Target="https://doi.org/10.1016/j.ypmed.2024.108185" TargetMode="External" /><Relationship Type="http://schemas.openxmlformats.org/officeDocument/2006/relationships/hyperlink" Id="rId25" Target="https://doi.org/10.1080/13607863.2024.2345781" TargetMode="External" /><Relationship Type="http://schemas.openxmlformats.org/officeDocument/2006/relationships/hyperlink" Id="rId33" Target="https://kungfupanda.fandom.com/wiki/Dragon_Scrol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123</Words>
  <Characters>704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Becoming more than what you are</dc:title>
  <dc:creator>Master Shifu; Master Oogway</dc:creator>
  <cp:keywords>Peace, Tranquility, Mars</cp:keywords>
  <dcterms:created xsi:type="dcterms:W3CDTF">2025-11-06T19:46:15Z</dcterms:created>
  <dcterms:modified xsi:type="dcterms:W3CDTF">2025-11-06T19:46:15Z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Lorem ipsum dolor sit amet, consectetur adipiscing elit. Maecenas rutrum quis nisi et aliquet. Quisque vitae erat vitae metus malesuada vehicula. Nullam aliquam condimentum facilisis. Vestibulum eget nisl mattis velit sagittis feugiat. Phasellus eget magna eu lacus iaculis pharetra. Proin lobortis nibh non magna congue, ac finibus eros hendrerit. Sed vehicula lacus risus, a varius velit iaculis ut. Pellentesque habitant morbi tristique senectus et netus et malesuada fames ac turpis egestas. Vestibulum iaculis, mauris ut sodales ultricies, nulla purus convallis metus, pulvinar aliquet purus ex sed ipsum. Nulla ac dignissim risus. Maecenas nec convallis odio, eu maximus nunc. Interdum et malesuada fames ac ante ipsum primis in faucibus. Ut tristique sit amet eros ut pulvinar. Curabitur elementum interdum tempor. Cras quis nulla orci. Fusce feugiat tortor ac mauris mollis, sit amet iaculis sem pellentesque. Aliquam et ex arcu. Nullam egestas malesuada tincidunt. Pellentesque lorem nulla, feugiat commodo dictum a, dignissim ac dui. Donec ullamcorper orci eros, tincidunt pulvinar lorem consectetur eget.</vt:lpwstr>
  </property>
  <property fmtid="{D5CDD505-2E9C-101B-9397-08002B2CF9AE}" pid="3" name="additional-info">
    <vt:lpwstr>Data Availability: All data and replication code are publicly available at …</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meta/references.bib</vt:lpwstr>
  </property>
  <property fmtid="{D5CDD505-2E9C-101B-9397-08002B2CF9AE}" pid="8" name="by-affiliation">
    <vt:lpwstr/>
  </property>
  <property fmtid="{D5CDD505-2E9C-101B-9397-08002B2CF9AE}" pid="9" name="by-author">
    <vt:lpwstr/>
  </property>
  <property fmtid="{D5CDD505-2E9C-101B-9397-08002B2CF9AE}" pid="10" name="code-repo">
    <vt:lpwstr>Access the dragon scroll at https://kungfupanda.fandom.com/wiki/Dragon_Scroll</vt:lpwstr>
  </property>
  <property fmtid="{D5CDD505-2E9C-101B-9397-08002B2CF9AE}" pid="11" name="correspondence-prefix">
    <vt:lpwstr>Corresponding author</vt:lpwstr>
  </property>
  <property fmtid="{D5CDD505-2E9C-101B-9397-08002B2CF9AE}" pid="12" name="csl">
    <vt:lpwstr>meta/apa.csl</vt:lpwstr>
  </property>
  <property fmtid="{D5CDD505-2E9C-101B-9397-08002B2CF9AE}" pid="13" name="date">
    <vt:lpwstr>Thursday, November 6, 2025</vt:lpwstr>
  </property>
  <property fmtid="{D5CDD505-2E9C-101B-9397-08002B2CF9AE}" pid="14" name="date-format">
    <vt:lpwstr>full</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nitr">
    <vt:lpwstr/>
  </property>
  <property fmtid="{D5CDD505-2E9C-101B-9397-08002B2CF9AE}" pid="19" name="labels">
    <vt:lpwstr/>
  </property>
  <property fmtid="{D5CDD505-2E9C-101B-9397-08002B2CF9AE}" pid="20" name="published">
    <vt:lpwstr>This manuscript is a preprint and is currently under review at Tranquility</vt:lpwstr>
  </property>
  <property fmtid="{D5CDD505-2E9C-101B-9397-08002B2CF9AE}" pid="21" name="revealjs-plugins">
    <vt:lpwstr/>
  </property>
  <property fmtid="{D5CDD505-2E9C-101B-9397-08002B2CF9AE}" pid="22" name="short-title">
    <vt:lpwstr>Inner Peace</vt:lpwstr>
  </property>
  <property fmtid="{D5CDD505-2E9C-101B-9397-08002B2CF9AE}" pid="23" name="subtitle">
    <vt:lpwstr>A study of inner peace</vt:lpwstr>
  </property>
  <property fmtid="{D5CDD505-2E9C-101B-9397-08002B2CF9AE}" pid="24" name="toc-title">
    <vt:lpwstr>Table of contents</vt:lpwstr>
  </property>
</Properties>
</file>