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57D70" w14:textId="77777777" w:rsidR="00D605FA" w:rsidRDefault="00D605FA">
      <w:pPr>
        <w:spacing w:before="2400" w:after="60"/>
      </w:pPr>
    </w:p>
    <w:p w14:paraId="51857D71" w14:textId="77777777" w:rsidR="00D605FA" w:rsidRDefault="00000000">
      <w:pPr>
        <w:spacing w:after="80"/>
        <w:jc w:val="center"/>
      </w:pPr>
      <w:r>
        <w:rPr>
          <w:b/>
          <w:bCs/>
          <w:color w:val="0D2B55"/>
          <w:sz w:val="60"/>
          <w:szCs w:val="60"/>
        </w:rPr>
        <w:t>INVESTMENT POLICY STATEMENT</w:t>
      </w:r>
    </w:p>
    <w:p w14:paraId="51857D72" w14:textId="77777777" w:rsidR="00D605FA" w:rsidRDefault="00000000">
      <w:pPr>
        <w:spacing w:after="80"/>
        <w:jc w:val="center"/>
      </w:pPr>
      <w:r>
        <w:rPr>
          <w:color w:val="2E6BA8"/>
          <w:sz w:val="30"/>
          <w:szCs w:val="30"/>
        </w:rPr>
        <w:t>£5,000 Managed Portfolio  |  Moderate Risk  |  10-Year Horizon</w:t>
      </w:r>
    </w:p>
    <w:p w14:paraId="51857D73" w14:textId="77777777" w:rsidR="00D605FA" w:rsidRDefault="00000000">
      <w:pPr>
        <w:spacing w:after="400"/>
        <w:jc w:val="center"/>
      </w:pPr>
      <w:r>
        <w:rPr>
          <w:i/>
          <w:iCs/>
          <w:color w:val="444444"/>
          <w:sz w:val="24"/>
          <w:szCs w:val="24"/>
        </w:rPr>
        <w:t>Cameron Murdoch Portfolio Management  |  Established March 2026</w:t>
      </w:r>
    </w:p>
    <w:p w14:paraId="51857D74" w14:textId="77777777" w:rsidR="00D605FA" w:rsidRDefault="00000000">
      <w:pPr>
        <w:pBdr>
          <w:top w:val="single" w:sz="4" w:space="0" w:color="2E6BA8"/>
          <w:bottom w:val="single" w:sz="4" w:space="0" w:color="2E6BA8"/>
        </w:pBdr>
        <w:spacing w:after="80"/>
        <w:jc w:val="center"/>
      </w:pPr>
      <w:r>
        <w:rPr>
          <w:b/>
          <w:bCs/>
          <w:color w:val="1B3A6B"/>
          <w:sz w:val="20"/>
          <w:szCs w:val="20"/>
        </w:rPr>
        <w:t>DOCUMENT VERSION 1.0  |  EFFECTIVE DATE: 9 MARCH 2026  |  REVIEW DATE: 9 JUNE 2026</w:t>
      </w:r>
    </w:p>
    <w:p w14:paraId="51857D75" w14:textId="77777777" w:rsidR="00D605FA" w:rsidRDefault="00000000">
      <w:r>
        <w:br w:type="page"/>
      </w:r>
    </w:p>
    <w:p w14:paraId="51857D76" w14:textId="77777777" w:rsidR="00D605FA" w:rsidRDefault="00000000">
      <w:pPr>
        <w:spacing w:after="320"/>
      </w:pPr>
      <w:r>
        <w:rPr>
          <w:b/>
          <w:bCs/>
          <w:color w:val="0D2B55"/>
          <w:sz w:val="32"/>
          <w:szCs w:val="32"/>
        </w:rPr>
        <w:lastRenderedPageBreak/>
        <w:t>TABLE OF CONTENTS</w:t>
      </w:r>
    </w:p>
    <w:sdt>
      <w:sdtPr>
        <w:alias w:val="Table of Contents"/>
        <w:id w:val="166133184"/>
      </w:sdtPr>
      <w:sdtContent>
        <w:p w14:paraId="51857D77" w14:textId="77777777" w:rsidR="00D605FA" w:rsidRDefault="00000000">
          <w:r>
            <w:fldChar w:fldCharType="begin"/>
          </w:r>
          <w:r>
            <w:instrText>TOC \h \o "1-3"</w:instrText>
          </w:r>
          <w:r>
            <w:fldChar w:fldCharType="separate"/>
          </w:r>
        </w:p>
        <w:p w14:paraId="51857D78" w14:textId="77777777" w:rsidR="00D605FA" w:rsidRDefault="00000000">
          <w:r>
            <w:fldChar w:fldCharType="end"/>
          </w:r>
        </w:p>
      </w:sdtContent>
    </w:sdt>
    <w:p w14:paraId="51857D79" w14:textId="77777777" w:rsidR="00D605FA" w:rsidRDefault="00000000">
      <w:pPr>
        <w:pStyle w:val="Heading1"/>
        <w:pageBreakBefore/>
        <w:pBdr>
          <w:bottom w:val="single" w:sz="8" w:space="4" w:color="2E6BA8"/>
        </w:pBdr>
      </w:pPr>
      <w:r>
        <w:lastRenderedPageBreak/>
        <w:t>1. Executive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D605FA" w14:paraId="51857D7D"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0D2B55"/>
          </w:tcPr>
          <w:p w14:paraId="51857D7A" w14:textId="77777777" w:rsidR="00D605FA" w:rsidRDefault="00D605FA"/>
        </w:tc>
        <w:tc>
          <w:tcPr>
            <w:tcW w:w="9160" w:type="dxa"/>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200" w:type="dxa"/>
            </w:tcMar>
          </w:tcPr>
          <w:p w14:paraId="51857D7B" w14:textId="77777777" w:rsidR="00D605FA" w:rsidRDefault="00000000">
            <w:r>
              <w:rPr>
                <w:b/>
                <w:bCs/>
                <w:color w:val="0D2B55"/>
              </w:rPr>
              <w:t>Portfolio at a Glance</w:t>
            </w:r>
          </w:p>
          <w:p w14:paraId="51857D7C" w14:textId="77777777" w:rsidR="00D605FA" w:rsidRDefault="00000000">
            <w:pPr>
              <w:spacing w:before="60"/>
            </w:pPr>
            <w:r>
              <w:rPr>
                <w:color w:val="444444"/>
                <w:sz w:val="21"/>
                <w:szCs w:val="21"/>
              </w:rPr>
              <w:t>Client capital of £5,000 deployed over a 10-year closed period (2026-2036) with a moderate risk profile. The strategy prioritises risk-adjusted total return through high-conviction individual securities across five sectors - technology, clean energy, healthcare, transport and agriculture - deliberately avoiding single-cycle concentration risk. No heavy ETF bias. Target: to deliver materially above CPI + 5% annualised through disciplined stock selection, emerging theme conviction, and systematic daily analytics.</w:t>
            </w:r>
          </w:p>
        </w:tc>
      </w:tr>
    </w:tbl>
    <w:p w14:paraId="51857D7E" w14:textId="77777777" w:rsidR="00D605FA" w:rsidRDefault="00D605F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605FA" w14:paraId="51857D82" w14:textId="77777777">
        <w:tblPrEx>
          <w:tblCellMar>
            <w:top w:w="0" w:type="dxa"/>
            <w:bottom w:w="0" w:type="dxa"/>
          </w:tblCellMar>
        </w:tblPrEx>
        <w:tc>
          <w:tcPr>
            <w:tcW w:w="3120" w:type="dxa"/>
            <w:tcBorders>
              <w:top w:val="single" w:sz="1" w:space="0" w:color="C0D0E0"/>
              <w:left w:val="single" w:sz="1" w:space="0" w:color="C0D0E0"/>
              <w:bottom w:val="single" w:sz="1" w:space="0" w:color="C0D0E0"/>
              <w:right w:val="single" w:sz="1" w:space="0" w:color="C0D0E0"/>
            </w:tcBorders>
            <w:shd w:val="clear" w:color="auto" w:fill="0D2B55"/>
            <w:tcMar>
              <w:top w:w="100" w:type="dxa"/>
              <w:left w:w="160" w:type="dxa"/>
              <w:bottom w:w="60" w:type="dxa"/>
              <w:right w:w="160" w:type="dxa"/>
            </w:tcMar>
          </w:tcPr>
          <w:p w14:paraId="51857D7F" w14:textId="77777777" w:rsidR="00D605FA" w:rsidRDefault="00000000">
            <w:pPr>
              <w:jc w:val="center"/>
            </w:pPr>
            <w:r>
              <w:rPr>
                <w:b/>
                <w:bCs/>
                <w:color w:val="FFFFFF"/>
                <w:sz w:val="19"/>
                <w:szCs w:val="19"/>
              </w:rPr>
              <w:t>PORTFOLIO CAPITAL</w:t>
            </w:r>
          </w:p>
        </w:tc>
        <w:tc>
          <w:tcPr>
            <w:tcW w:w="3120" w:type="dxa"/>
            <w:tcBorders>
              <w:top w:val="single" w:sz="1" w:space="0" w:color="C0D0E0"/>
              <w:left w:val="single" w:sz="1" w:space="0" w:color="C0D0E0"/>
              <w:bottom w:val="single" w:sz="1" w:space="0" w:color="C0D0E0"/>
              <w:right w:val="single" w:sz="1" w:space="0" w:color="C0D0E0"/>
            </w:tcBorders>
            <w:shd w:val="clear" w:color="auto" w:fill="0D2B55"/>
            <w:tcMar>
              <w:top w:w="100" w:type="dxa"/>
              <w:left w:w="160" w:type="dxa"/>
              <w:bottom w:w="60" w:type="dxa"/>
              <w:right w:w="160" w:type="dxa"/>
            </w:tcMar>
          </w:tcPr>
          <w:p w14:paraId="51857D80" w14:textId="77777777" w:rsidR="00D605FA" w:rsidRDefault="00000000">
            <w:pPr>
              <w:jc w:val="center"/>
            </w:pPr>
            <w:r>
              <w:rPr>
                <w:b/>
                <w:bCs/>
                <w:color w:val="FFFFFF"/>
                <w:sz w:val="19"/>
                <w:szCs w:val="19"/>
              </w:rPr>
              <w:t>RISK PROFILE</w:t>
            </w:r>
          </w:p>
        </w:tc>
        <w:tc>
          <w:tcPr>
            <w:tcW w:w="3120" w:type="dxa"/>
            <w:tcBorders>
              <w:top w:val="single" w:sz="1" w:space="0" w:color="C0D0E0"/>
              <w:left w:val="single" w:sz="1" w:space="0" w:color="C0D0E0"/>
              <w:bottom w:val="single" w:sz="1" w:space="0" w:color="C0D0E0"/>
              <w:right w:val="single" w:sz="1" w:space="0" w:color="C0D0E0"/>
            </w:tcBorders>
            <w:shd w:val="clear" w:color="auto" w:fill="0D2B55"/>
            <w:tcMar>
              <w:top w:w="100" w:type="dxa"/>
              <w:left w:w="160" w:type="dxa"/>
              <w:bottom w:w="60" w:type="dxa"/>
              <w:right w:w="160" w:type="dxa"/>
            </w:tcMar>
          </w:tcPr>
          <w:p w14:paraId="51857D81" w14:textId="77777777" w:rsidR="00D605FA" w:rsidRDefault="00000000">
            <w:pPr>
              <w:jc w:val="center"/>
            </w:pPr>
            <w:r>
              <w:rPr>
                <w:b/>
                <w:bCs/>
                <w:color w:val="FFFFFF"/>
                <w:sz w:val="19"/>
                <w:szCs w:val="19"/>
              </w:rPr>
              <w:t>INVESTMENT HORIZON</w:t>
            </w:r>
          </w:p>
        </w:tc>
      </w:tr>
      <w:tr w:rsidR="00D605FA" w14:paraId="51857D86" w14:textId="77777777">
        <w:tblPrEx>
          <w:tblCellMar>
            <w:top w:w="0" w:type="dxa"/>
            <w:bottom w:w="0" w:type="dxa"/>
          </w:tblCellMar>
        </w:tblPrEx>
        <w:tc>
          <w:tcPr>
            <w:tcW w:w="3120" w:type="dxa"/>
            <w:tcBorders>
              <w:top w:val="single" w:sz="1" w:space="0" w:color="C0D0E0"/>
              <w:left w:val="single" w:sz="1" w:space="0" w:color="C0D0E0"/>
              <w:bottom w:val="single" w:sz="1" w:space="0" w:color="C0D0E0"/>
              <w:right w:val="single" w:sz="1" w:space="0" w:color="C0D0E0"/>
            </w:tcBorders>
            <w:shd w:val="clear" w:color="auto" w:fill="D6E4F0"/>
            <w:tcMar>
              <w:top w:w="100" w:type="dxa"/>
              <w:left w:w="160" w:type="dxa"/>
              <w:bottom w:w="100" w:type="dxa"/>
              <w:right w:w="160" w:type="dxa"/>
            </w:tcMar>
          </w:tcPr>
          <w:p w14:paraId="51857D83" w14:textId="77777777" w:rsidR="00D605FA" w:rsidRDefault="00000000">
            <w:pPr>
              <w:jc w:val="center"/>
            </w:pPr>
            <w:r>
              <w:rPr>
                <w:b/>
                <w:bCs/>
                <w:color w:val="0D2B55"/>
                <w:sz w:val="24"/>
                <w:szCs w:val="24"/>
              </w:rPr>
              <w:t>£5,000</w:t>
            </w:r>
          </w:p>
        </w:tc>
        <w:tc>
          <w:tcPr>
            <w:tcW w:w="3120" w:type="dxa"/>
            <w:tcBorders>
              <w:top w:val="single" w:sz="1" w:space="0" w:color="C0D0E0"/>
              <w:left w:val="single" w:sz="1" w:space="0" w:color="C0D0E0"/>
              <w:bottom w:val="single" w:sz="1" w:space="0" w:color="C0D0E0"/>
              <w:right w:val="single" w:sz="1" w:space="0" w:color="C0D0E0"/>
            </w:tcBorders>
            <w:shd w:val="clear" w:color="auto" w:fill="D6E4F0"/>
            <w:tcMar>
              <w:top w:w="100" w:type="dxa"/>
              <w:left w:w="160" w:type="dxa"/>
              <w:bottom w:w="100" w:type="dxa"/>
              <w:right w:w="160" w:type="dxa"/>
            </w:tcMar>
          </w:tcPr>
          <w:p w14:paraId="51857D84" w14:textId="77777777" w:rsidR="00D605FA" w:rsidRDefault="00000000">
            <w:pPr>
              <w:jc w:val="center"/>
            </w:pPr>
            <w:r>
              <w:rPr>
                <w:b/>
                <w:bCs/>
                <w:color w:val="0D2B55"/>
                <w:sz w:val="24"/>
                <w:szCs w:val="24"/>
              </w:rPr>
              <w:t>Moderate (Assumed)</w:t>
            </w:r>
          </w:p>
        </w:tc>
        <w:tc>
          <w:tcPr>
            <w:tcW w:w="3120" w:type="dxa"/>
            <w:tcBorders>
              <w:top w:val="single" w:sz="1" w:space="0" w:color="C0D0E0"/>
              <w:left w:val="single" w:sz="1" w:space="0" w:color="C0D0E0"/>
              <w:bottom w:val="single" w:sz="1" w:space="0" w:color="C0D0E0"/>
              <w:right w:val="single" w:sz="1" w:space="0" w:color="C0D0E0"/>
            </w:tcBorders>
            <w:shd w:val="clear" w:color="auto" w:fill="D6E4F0"/>
            <w:tcMar>
              <w:top w:w="100" w:type="dxa"/>
              <w:left w:w="160" w:type="dxa"/>
              <w:bottom w:w="100" w:type="dxa"/>
              <w:right w:w="160" w:type="dxa"/>
            </w:tcMar>
          </w:tcPr>
          <w:p w14:paraId="51857D85" w14:textId="77777777" w:rsidR="00D605FA" w:rsidRDefault="00000000">
            <w:pPr>
              <w:jc w:val="center"/>
            </w:pPr>
            <w:r>
              <w:rPr>
                <w:b/>
                <w:bCs/>
                <w:color w:val="0D2B55"/>
                <w:sz w:val="24"/>
                <w:szCs w:val="24"/>
              </w:rPr>
              <w:t>10 Years (2026–2036)</w:t>
            </w:r>
          </w:p>
        </w:tc>
      </w:tr>
      <w:tr w:rsidR="00D605FA" w14:paraId="51857D8A" w14:textId="77777777">
        <w:tblPrEx>
          <w:tblCellMar>
            <w:top w:w="0" w:type="dxa"/>
            <w:bottom w:w="0" w:type="dxa"/>
          </w:tblCellMar>
        </w:tblPrEx>
        <w:tc>
          <w:tcPr>
            <w:tcW w:w="3120" w:type="dxa"/>
            <w:tcBorders>
              <w:top w:val="single" w:sz="1" w:space="0" w:color="C0D0E0"/>
              <w:left w:val="single" w:sz="1" w:space="0" w:color="C0D0E0"/>
              <w:bottom w:val="single" w:sz="1" w:space="0" w:color="C0D0E0"/>
              <w:right w:val="single" w:sz="1" w:space="0" w:color="C0D0E0"/>
            </w:tcBorders>
            <w:shd w:val="clear" w:color="auto" w:fill="0D2B55"/>
            <w:tcMar>
              <w:top w:w="100" w:type="dxa"/>
              <w:left w:w="160" w:type="dxa"/>
              <w:bottom w:w="60" w:type="dxa"/>
              <w:right w:w="160" w:type="dxa"/>
            </w:tcMar>
          </w:tcPr>
          <w:p w14:paraId="51857D87" w14:textId="77777777" w:rsidR="00D605FA" w:rsidRDefault="00000000">
            <w:pPr>
              <w:jc w:val="center"/>
            </w:pPr>
            <w:r>
              <w:rPr>
                <w:b/>
                <w:bCs/>
                <w:color w:val="FFFFFF"/>
                <w:sz w:val="19"/>
                <w:szCs w:val="19"/>
              </w:rPr>
              <w:t>PORTFOLIO STRUCTURE</w:t>
            </w:r>
          </w:p>
        </w:tc>
        <w:tc>
          <w:tcPr>
            <w:tcW w:w="3120" w:type="dxa"/>
            <w:tcBorders>
              <w:top w:val="single" w:sz="1" w:space="0" w:color="C0D0E0"/>
              <w:left w:val="single" w:sz="1" w:space="0" w:color="C0D0E0"/>
              <w:bottom w:val="single" w:sz="1" w:space="0" w:color="C0D0E0"/>
              <w:right w:val="single" w:sz="1" w:space="0" w:color="C0D0E0"/>
            </w:tcBorders>
            <w:shd w:val="clear" w:color="auto" w:fill="0D2B55"/>
            <w:tcMar>
              <w:top w:w="100" w:type="dxa"/>
              <w:left w:w="160" w:type="dxa"/>
              <w:bottom w:w="60" w:type="dxa"/>
              <w:right w:w="160" w:type="dxa"/>
            </w:tcMar>
          </w:tcPr>
          <w:p w14:paraId="51857D88" w14:textId="77777777" w:rsidR="00D605FA" w:rsidRDefault="00000000">
            <w:pPr>
              <w:jc w:val="center"/>
            </w:pPr>
            <w:r>
              <w:rPr>
                <w:b/>
                <w:bCs/>
                <w:color w:val="FFFFFF"/>
                <w:sz w:val="19"/>
                <w:szCs w:val="19"/>
              </w:rPr>
              <w:t>TARGET RETURN (p.a.)</w:t>
            </w:r>
          </w:p>
        </w:tc>
        <w:tc>
          <w:tcPr>
            <w:tcW w:w="3120" w:type="dxa"/>
            <w:tcBorders>
              <w:top w:val="single" w:sz="1" w:space="0" w:color="C0D0E0"/>
              <w:left w:val="single" w:sz="1" w:space="0" w:color="C0D0E0"/>
              <w:bottom w:val="single" w:sz="1" w:space="0" w:color="C0D0E0"/>
              <w:right w:val="single" w:sz="1" w:space="0" w:color="C0D0E0"/>
            </w:tcBorders>
            <w:shd w:val="clear" w:color="auto" w:fill="0D2B55"/>
            <w:tcMar>
              <w:top w:w="100" w:type="dxa"/>
              <w:left w:w="160" w:type="dxa"/>
              <w:bottom w:w="60" w:type="dxa"/>
              <w:right w:w="160" w:type="dxa"/>
            </w:tcMar>
          </w:tcPr>
          <w:p w14:paraId="51857D89" w14:textId="77777777" w:rsidR="00D605FA" w:rsidRDefault="00000000">
            <w:pPr>
              <w:jc w:val="center"/>
            </w:pPr>
            <w:r>
              <w:rPr>
                <w:b/>
                <w:bCs/>
                <w:color w:val="FFFFFF"/>
                <w:sz w:val="19"/>
                <w:szCs w:val="19"/>
              </w:rPr>
              <w:t>REBALANCING</w:t>
            </w:r>
          </w:p>
        </w:tc>
      </w:tr>
      <w:tr w:rsidR="00D605FA" w14:paraId="51857D8E" w14:textId="77777777">
        <w:tblPrEx>
          <w:tblCellMar>
            <w:top w:w="0" w:type="dxa"/>
            <w:bottom w:w="0" w:type="dxa"/>
          </w:tblCellMar>
        </w:tblPrEx>
        <w:tc>
          <w:tcPr>
            <w:tcW w:w="3120" w:type="dxa"/>
            <w:tcBorders>
              <w:top w:val="single" w:sz="1" w:space="0" w:color="C0D0E0"/>
              <w:left w:val="single" w:sz="1" w:space="0" w:color="C0D0E0"/>
              <w:bottom w:val="single" w:sz="1" w:space="0" w:color="C0D0E0"/>
              <w:right w:val="single" w:sz="1" w:space="0" w:color="C0D0E0"/>
            </w:tcBorders>
            <w:shd w:val="clear" w:color="auto" w:fill="D6E4F0"/>
            <w:tcMar>
              <w:top w:w="100" w:type="dxa"/>
              <w:left w:w="160" w:type="dxa"/>
              <w:bottom w:w="100" w:type="dxa"/>
              <w:right w:w="160" w:type="dxa"/>
            </w:tcMar>
          </w:tcPr>
          <w:p w14:paraId="51857D8B" w14:textId="77777777" w:rsidR="00D605FA" w:rsidRDefault="00000000">
            <w:pPr>
              <w:jc w:val="center"/>
            </w:pPr>
            <w:r>
              <w:rPr>
                <w:b/>
                <w:bCs/>
                <w:color w:val="2E6BA8"/>
              </w:rPr>
              <w:t>Equities / FI / Commodities</w:t>
            </w:r>
          </w:p>
        </w:tc>
        <w:tc>
          <w:tcPr>
            <w:tcW w:w="3120" w:type="dxa"/>
            <w:tcBorders>
              <w:top w:val="single" w:sz="1" w:space="0" w:color="C0D0E0"/>
              <w:left w:val="single" w:sz="1" w:space="0" w:color="C0D0E0"/>
              <w:bottom w:val="single" w:sz="1" w:space="0" w:color="C0D0E0"/>
              <w:right w:val="single" w:sz="1" w:space="0" w:color="C0D0E0"/>
            </w:tcBorders>
            <w:shd w:val="clear" w:color="auto" w:fill="D6E4F0"/>
            <w:tcMar>
              <w:top w:w="100" w:type="dxa"/>
              <w:left w:w="160" w:type="dxa"/>
              <w:bottom w:w="100" w:type="dxa"/>
              <w:right w:w="160" w:type="dxa"/>
            </w:tcMar>
          </w:tcPr>
          <w:p w14:paraId="51857D8C" w14:textId="77777777" w:rsidR="00D605FA" w:rsidRDefault="00000000">
            <w:pPr>
              <w:jc w:val="center"/>
            </w:pPr>
            <w:r>
              <w:rPr>
                <w:b/>
                <w:bCs/>
                <w:color w:val="2E6BA8"/>
              </w:rPr>
              <w:t>CPI + 5–7% (8–10% nominal)</w:t>
            </w:r>
          </w:p>
        </w:tc>
        <w:tc>
          <w:tcPr>
            <w:tcW w:w="3120" w:type="dxa"/>
            <w:tcBorders>
              <w:top w:val="single" w:sz="1" w:space="0" w:color="C0D0E0"/>
              <w:left w:val="single" w:sz="1" w:space="0" w:color="C0D0E0"/>
              <w:bottom w:val="single" w:sz="1" w:space="0" w:color="C0D0E0"/>
              <w:right w:val="single" w:sz="1" w:space="0" w:color="C0D0E0"/>
            </w:tcBorders>
            <w:shd w:val="clear" w:color="auto" w:fill="D6E4F0"/>
            <w:tcMar>
              <w:top w:w="100" w:type="dxa"/>
              <w:left w:w="160" w:type="dxa"/>
              <w:bottom w:w="100" w:type="dxa"/>
              <w:right w:w="160" w:type="dxa"/>
            </w:tcMar>
          </w:tcPr>
          <w:p w14:paraId="51857D8D" w14:textId="77777777" w:rsidR="00D605FA" w:rsidRDefault="00000000">
            <w:pPr>
              <w:jc w:val="center"/>
            </w:pPr>
            <w:r>
              <w:rPr>
                <w:b/>
                <w:bCs/>
                <w:color w:val="2E6BA8"/>
              </w:rPr>
              <w:t>Quarterly + Event-Driven</w:t>
            </w:r>
          </w:p>
        </w:tc>
      </w:tr>
    </w:tbl>
    <w:p w14:paraId="51857D8F" w14:textId="77777777" w:rsidR="00D605FA" w:rsidRDefault="00D605FA">
      <w:pPr>
        <w:spacing w:before="60" w:after="60"/>
      </w:pPr>
    </w:p>
    <w:p w14:paraId="51857D90" w14:textId="77777777" w:rsidR="00D605FA" w:rsidRDefault="00000000">
      <w:pPr>
        <w:spacing w:before="80" w:after="80"/>
      </w:pPr>
      <w:r>
        <w:rPr>
          <w:color w:val="1A1A1A"/>
        </w:rPr>
        <w:t>This IPS governs all investment decisions for this portfolio. It is a living document, reviewed quarterly and updated whenever risk profile, client circumstances, or market regime materially change.</w:t>
      </w:r>
    </w:p>
    <w:p w14:paraId="51857D91" w14:textId="77777777" w:rsidR="00D605FA" w:rsidRDefault="00000000">
      <w:pPr>
        <w:pStyle w:val="Heading1"/>
        <w:pageBreakBefore/>
        <w:pBdr>
          <w:bottom w:val="single" w:sz="8" w:space="4" w:color="2E6BA8"/>
        </w:pBdr>
      </w:pPr>
      <w:r>
        <w:lastRenderedPageBreak/>
        <w:t>2. Investment Mandate &amp; Constraints</w:t>
      </w:r>
    </w:p>
    <w:p w14:paraId="51857D92" w14:textId="77777777" w:rsidR="00D605FA" w:rsidRDefault="00000000">
      <w:pPr>
        <w:pStyle w:val="Heading2"/>
      </w:pPr>
      <w:r>
        <w:t>2.1 Investment Objective</w:t>
      </w:r>
    </w:p>
    <w:p w14:paraId="51857D93" w14:textId="15547DB5" w:rsidR="00D605FA" w:rsidRDefault="00000000">
      <w:pPr>
        <w:spacing w:before="80" w:after="80"/>
      </w:pPr>
      <w:r>
        <w:rPr>
          <w:color w:val="1A1A1A"/>
        </w:rPr>
        <w:t>To grow £5,000 of client capital on a risk-adjusted basis over a 10-year closed investment horizon, targeting a nominal annualised return of 8</w:t>
      </w:r>
      <w:r w:rsidR="00FE54FF">
        <w:rPr>
          <w:color w:val="1A1A1A"/>
        </w:rPr>
        <w:t>-</w:t>
      </w:r>
      <w:r>
        <w:rPr>
          <w:color w:val="1A1A1A"/>
        </w:rPr>
        <w:t>10% (approximately CPI + 5</w:t>
      </w:r>
      <w:r w:rsidR="00FE54FF">
        <w:rPr>
          <w:color w:val="1A1A1A"/>
        </w:rPr>
        <w:t>-</w:t>
      </w:r>
      <w:r>
        <w:rPr>
          <w:color w:val="1A1A1A"/>
        </w:rPr>
        <w:t>7%). The portfolio is not designed to generate income - all dividends and coupons are reinvested. Performance will be assessed relative to a composite benchmark: 60% MSCI World Total Return / 20% Bloomberg Global Agg / 20% Gold.</w:t>
      </w:r>
    </w:p>
    <w:p w14:paraId="51857D94" w14:textId="77777777" w:rsidR="00D605FA" w:rsidRDefault="00000000">
      <w:pPr>
        <w:pStyle w:val="Heading2"/>
      </w:pPr>
      <w:r>
        <w:t>2.2 Risk Parameters</w:t>
      </w:r>
    </w:p>
    <w:p w14:paraId="51857D95" w14:textId="77777777" w:rsidR="00D605FA" w:rsidRDefault="00D605FA">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D605FA" w14:paraId="51857D98" w14:textId="77777777">
        <w:tblPrEx>
          <w:tblCellMar>
            <w:top w:w="0" w:type="dxa"/>
            <w:bottom w:w="0" w:type="dxa"/>
          </w:tblCellMar>
        </w:tblPrEx>
        <w:tc>
          <w:tcPr>
            <w:tcW w:w="4000" w:type="dxa"/>
            <w:tcBorders>
              <w:top w:val="single" w:sz="1" w:space="0" w:color="C0D0E0"/>
              <w:left w:val="single" w:sz="1" w:space="0" w:color="C0D0E0"/>
              <w:bottom w:val="single" w:sz="1" w:space="0" w:color="C0D0E0"/>
              <w:right w:val="single" w:sz="1" w:space="0" w:color="C0D0E0"/>
            </w:tcBorders>
            <w:shd w:val="clear" w:color="auto" w:fill="0D2B55"/>
            <w:tcMar>
              <w:top w:w="80" w:type="dxa"/>
              <w:left w:w="160" w:type="dxa"/>
              <w:bottom w:w="80" w:type="dxa"/>
              <w:right w:w="160" w:type="dxa"/>
            </w:tcMar>
          </w:tcPr>
          <w:p w14:paraId="51857D96" w14:textId="77777777" w:rsidR="00D605FA" w:rsidRDefault="00000000">
            <w:r>
              <w:rPr>
                <w:b/>
                <w:bCs/>
                <w:color w:val="FFFFFF"/>
                <w:sz w:val="21"/>
                <w:szCs w:val="21"/>
              </w:rPr>
              <w:t>Parameter</w:t>
            </w:r>
          </w:p>
        </w:tc>
        <w:tc>
          <w:tcPr>
            <w:tcW w:w="5360" w:type="dxa"/>
            <w:tcBorders>
              <w:top w:val="single" w:sz="1" w:space="0" w:color="C0D0E0"/>
              <w:left w:val="single" w:sz="1" w:space="0" w:color="C0D0E0"/>
              <w:bottom w:val="single" w:sz="1" w:space="0" w:color="C0D0E0"/>
              <w:right w:val="single" w:sz="1" w:space="0" w:color="C0D0E0"/>
            </w:tcBorders>
            <w:shd w:val="clear" w:color="auto" w:fill="0D2B55"/>
            <w:tcMar>
              <w:top w:w="80" w:type="dxa"/>
              <w:left w:w="160" w:type="dxa"/>
              <w:bottom w:w="80" w:type="dxa"/>
              <w:right w:w="160" w:type="dxa"/>
            </w:tcMar>
          </w:tcPr>
          <w:p w14:paraId="51857D97" w14:textId="77777777" w:rsidR="00D605FA" w:rsidRDefault="00000000">
            <w:r>
              <w:rPr>
                <w:b/>
                <w:bCs/>
                <w:color w:val="FFFFFF"/>
                <w:sz w:val="21"/>
                <w:szCs w:val="21"/>
              </w:rPr>
              <w:t>Guideline</w:t>
            </w:r>
          </w:p>
        </w:tc>
      </w:tr>
      <w:tr w:rsidR="00D605FA" w14:paraId="51857D9B" w14:textId="77777777">
        <w:tblPrEx>
          <w:tblCellMar>
            <w:top w:w="0" w:type="dxa"/>
            <w:bottom w:w="0" w:type="dxa"/>
          </w:tblCellMar>
        </w:tblPrEx>
        <w:tc>
          <w:tcPr>
            <w:tcW w:w="4000" w:type="dxa"/>
            <w:tcBorders>
              <w:top w:val="single" w:sz="1" w:space="0" w:color="C0D0E0"/>
              <w:left w:val="single" w:sz="1" w:space="0" w:color="C0D0E0"/>
              <w:bottom w:val="single" w:sz="1" w:space="0" w:color="C0D0E0"/>
              <w:right w:val="single" w:sz="1" w:space="0" w:color="C0D0E0"/>
            </w:tcBorders>
            <w:shd w:val="clear" w:color="auto" w:fill="F5F7FA"/>
            <w:tcMar>
              <w:top w:w="80" w:type="dxa"/>
              <w:left w:w="160" w:type="dxa"/>
              <w:bottom w:w="80" w:type="dxa"/>
              <w:right w:w="160" w:type="dxa"/>
            </w:tcMar>
          </w:tcPr>
          <w:p w14:paraId="51857D99" w14:textId="77777777" w:rsidR="00D605FA" w:rsidRDefault="00000000">
            <w:r>
              <w:rPr>
                <w:b/>
                <w:bCs/>
                <w:color w:val="1A1A1A"/>
                <w:sz w:val="21"/>
                <w:szCs w:val="21"/>
              </w:rPr>
              <w:t>Maximum Single Position Size</w:t>
            </w:r>
          </w:p>
        </w:tc>
        <w:tc>
          <w:tcPr>
            <w:tcW w:w="5360" w:type="dxa"/>
            <w:tcBorders>
              <w:top w:val="single" w:sz="1" w:space="0" w:color="C0D0E0"/>
              <w:left w:val="single" w:sz="1" w:space="0" w:color="C0D0E0"/>
              <w:bottom w:val="single" w:sz="1" w:space="0" w:color="C0D0E0"/>
              <w:right w:val="single" w:sz="1" w:space="0" w:color="C0D0E0"/>
            </w:tcBorders>
            <w:shd w:val="clear" w:color="auto" w:fill="F5F7FA"/>
            <w:tcMar>
              <w:top w:w="80" w:type="dxa"/>
              <w:left w:w="160" w:type="dxa"/>
              <w:bottom w:w="80" w:type="dxa"/>
              <w:right w:w="160" w:type="dxa"/>
            </w:tcMar>
          </w:tcPr>
          <w:p w14:paraId="51857D9A" w14:textId="77777777" w:rsidR="00D605FA" w:rsidRDefault="00000000">
            <w:r>
              <w:rPr>
                <w:color w:val="444444"/>
                <w:sz w:val="21"/>
                <w:szCs w:val="21"/>
              </w:rPr>
              <w:t>10% of portfolio at cost (£500)</w:t>
            </w:r>
          </w:p>
        </w:tc>
      </w:tr>
      <w:tr w:rsidR="00D605FA" w14:paraId="51857D9E" w14:textId="77777777">
        <w:tblPrEx>
          <w:tblCellMar>
            <w:top w:w="0" w:type="dxa"/>
            <w:bottom w:w="0" w:type="dxa"/>
          </w:tblCellMar>
        </w:tblPrEx>
        <w:tc>
          <w:tcPr>
            <w:tcW w:w="4000" w:type="dxa"/>
            <w:tcBorders>
              <w:top w:val="single" w:sz="1" w:space="0" w:color="C0D0E0"/>
              <w:left w:val="single" w:sz="1" w:space="0" w:color="C0D0E0"/>
              <w:bottom w:val="single" w:sz="1" w:space="0" w:color="C0D0E0"/>
              <w:right w:val="single" w:sz="1" w:space="0" w:color="C0D0E0"/>
            </w:tcBorders>
            <w:shd w:val="clear" w:color="auto" w:fill="FFFFFF"/>
            <w:tcMar>
              <w:top w:w="80" w:type="dxa"/>
              <w:left w:w="160" w:type="dxa"/>
              <w:bottom w:w="80" w:type="dxa"/>
              <w:right w:w="160" w:type="dxa"/>
            </w:tcMar>
          </w:tcPr>
          <w:p w14:paraId="51857D9C" w14:textId="77777777" w:rsidR="00D605FA" w:rsidRDefault="00000000">
            <w:r>
              <w:rPr>
                <w:b/>
                <w:bCs/>
                <w:color w:val="1A1A1A"/>
                <w:sz w:val="21"/>
                <w:szCs w:val="21"/>
              </w:rPr>
              <w:t>Maximum Sector Concentration</w:t>
            </w:r>
          </w:p>
        </w:tc>
        <w:tc>
          <w:tcPr>
            <w:tcW w:w="5360" w:type="dxa"/>
            <w:tcBorders>
              <w:top w:val="single" w:sz="1" w:space="0" w:color="C0D0E0"/>
              <w:left w:val="single" w:sz="1" w:space="0" w:color="C0D0E0"/>
              <w:bottom w:val="single" w:sz="1" w:space="0" w:color="C0D0E0"/>
              <w:right w:val="single" w:sz="1" w:space="0" w:color="C0D0E0"/>
            </w:tcBorders>
            <w:shd w:val="clear" w:color="auto" w:fill="FFFFFF"/>
            <w:tcMar>
              <w:top w:w="80" w:type="dxa"/>
              <w:left w:w="160" w:type="dxa"/>
              <w:bottom w:w="80" w:type="dxa"/>
              <w:right w:w="160" w:type="dxa"/>
            </w:tcMar>
          </w:tcPr>
          <w:p w14:paraId="51857D9D" w14:textId="77777777" w:rsidR="00D605FA" w:rsidRDefault="00000000">
            <w:r>
              <w:rPr>
                <w:color w:val="444444"/>
                <w:sz w:val="21"/>
                <w:szCs w:val="21"/>
              </w:rPr>
              <w:t>35% of portfolio in any one GICS sector</w:t>
            </w:r>
          </w:p>
        </w:tc>
      </w:tr>
      <w:tr w:rsidR="00D605FA" w14:paraId="51857DA1" w14:textId="77777777">
        <w:tblPrEx>
          <w:tblCellMar>
            <w:top w:w="0" w:type="dxa"/>
            <w:bottom w:w="0" w:type="dxa"/>
          </w:tblCellMar>
        </w:tblPrEx>
        <w:tc>
          <w:tcPr>
            <w:tcW w:w="4000" w:type="dxa"/>
            <w:tcBorders>
              <w:top w:val="single" w:sz="1" w:space="0" w:color="C0D0E0"/>
              <w:left w:val="single" w:sz="1" w:space="0" w:color="C0D0E0"/>
              <w:bottom w:val="single" w:sz="1" w:space="0" w:color="C0D0E0"/>
              <w:right w:val="single" w:sz="1" w:space="0" w:color="C0D0E0"/>
            </w:tcBorders>
            <w:shd w:val="clear" w:color="auto" w:fill="F5F7FA"/>
            <w:tcMar>
              <w:top w:w="80" w:type="dxa"/>
              <w:left w:w="160" w:type="dxa"/>
              <w:bottom w:w="80" w:type="dxa"/>
              <w:right w:w="160" w:type="dxa"/>
            </w:tcMar>
          </w:tcPr>
          <w:p w14:paraId="51857D9F" w14:textId="77777777" w:rsidR="00D605FA" w:rsidRDefault="00000000">
            <w:r>
              <w:rPr>
                <w:b/>
                <w:bCs/>
                <w:color w:val="1A1A1A"/>
                <w:sz w:val="21"/>
                <w:szCs w:val="21"/>
              </w:rPr>
              <w:t>Maximum Geographic Concentration</w:t>
            </w:r>
          </w:p>
        </w:tc>
        <w:tc>
          <w:tcPr>
            <w:tcW w:w="5360" w:type="dxa"/>
            <w:tcBorders>
              <w:top w:val="single" w:sz="1" w:space="0" w:color="C0D0E0"/>
              <w:left w:val="single" w:sz="1" w:space="0" w:color="C0D0E0"/>
              <w:bottom w:val="single" w:sz="1" w:space="0" w:color="C0D0E0"/>
              <w:right w:val="single" w:sz="1" w:space="0" w:color="C0D0E0"/>
            </w:tcBorders>
            <w:shd w:val="clear" w:color="auto" w:fill="F5F7FA"/>
            <w:tcMar>
              <w:top w:w="80" w:type="dxa"/>
              <w:left w:w="160" w:type="dxa"/>
              <w:bottom w:w="80" w:type="dxa"/>
              <w:right w:w="160" w:type="dxa"/>
            </w:tcMar>
          </w:tcPr>
          <w:p w14:paraId="51857DA0" w14:textId="77777777" w:rsidR="00D605FA" w:rsidRDefault="00000000">
            <w:r>
              <w:rPr>
                <w:color w:val="444444"/>
                <w:sz w:val="21"/>
                <w:szCs w:val="21"/>
              </w:rPr>
              <w:t>70% in US-listed securities</w:t>
            </w:r>
          </w:p>
        </w:tc>
      </w:tr>
      <w:tr w:rsidR="00D605FA" w14:paraId="51857DA4" w14:textId="77777777">
        <w:tblPrEx>
          <w:tblCellMar>
            <w:top w:w="0" w:type="dxa"/>
            <w:bottom w:w="0" w:type="dxa"/>
          </w:tblCellMar>
        </w:tblPrEx>
        <w:tc>
          <w:tcPr>
            <w:tcW w:w="4000" w:type="dxa"/>
            <w:tcBorders>
              <w:top w:val="single" w:sz="1" w:space="0" w:color="C0D0E0"/>
              <w:left w:val="single" w:sz="1" w:space="0" w:color="C0D0E0"/>
              <w:bottom w:val="single" w:sz="1" w:space="0" w:color="C0D0E0"/>
              <w:right w:val="single" w:sz="1" w:space="0" w:color="C0D0E0"/>
            </w:tcBorders>
            <w:shd w:val="clear" w:color="auto" w:fill="FFFFFF"/>
            <w:tcMar>
              <w:top w:w="80" w:type="dxa"/>
              <w:left w:w="160" w:type="dxa"/>
              <w:bottom w:w="80" w:type="dxa"/>
              <w:right w:w="160" w:type="dxa"/>
            </w:tcMar>
          </w:tcPr>
          <w:p w14:paraId="51857DA2" w14:textId="77777777" w:rsidR="00D605FA" w:rsidRDefault="00000000">
            <w:r>
              <w:rPr>
                <w:b/>
                <w:bCs/>
                <w:color w:val="1A1A1A"/>
                <w:sz w:val="21"/>
                <w:szCs w:val="21"/>
              </w:rPr>
              <w:t>Maximum Annual Drawdown Tolerance</w:t>
            </w:r>
          </w:p>
        </w:tc>
        <w:tc>
          <w:tcPr>
            <w:tcW w:w="5360" w:type="dxa"/>
            <w:tcBorders>
              <w:top w:val="single" w:sz="1" w:space="0" w:color="C0D0E0"/>
              <w:left w:val="single" w:sz="1" w:space="0" w:color="C0D0E0"/>
              <w:bottom w:val="single" w:sz="1" w:space="0" w:color="C0D0E0"/>
              <w:right w:val="single" w:sz="1" w:space="0" w:color="C0D0E0"/>
            </w:tcBorders>
            <w:shd w:val="clear" w:color="auto" w:fill="FFFFFF"/>
            <w:tcMar>
              <w:top w:w="80" w:type="dxa"/>
              <w:left w:w="160" w:type="dxa"/>
              <w:bottom w:w="80" w:type="dxa"/>
              <w:right w:w="160" w:type="dxa"/>
            </w:tcMar>
          </w:tcPr>
          <w:p w14:paraId="51857DA3" w14:textId="77777777" w:rsidR="00D605FA" w:rsidRDefault="00000000">
            <w:r>
              <w:rPr>
                <w:color w:val="444444"/>
                <w:sz w:val="21"/>
                <w:szCs w:val="21"/>
              </w:rPr>
              <w:t>25% from high water mark before formal review</w:t>
            </w:r>
          </w:p>
        </w:tc>
      </w:tr>
      <w:tr w:rsidR="00D605FA" w14:paraId="51857DA7" w14:textId="77777777">
        <w:tblPrEx>
          <w:tblCellMar>
            <w:top w:w="0" w:type="dxa"/>
            <w:bottom w:w="0" w:type="dxa"/>
          </w:tblCellMar>
        </w:tblPrEx>
        <w:tc>
          <w:tcPr>
            <w:tcW w:w="4000" w:type="dxa"/>
            <w:tcBorders>
              <w:top w:val="single" w:sz="1" w:space="0" w:color="C0D0E0"/>
              <w:left w:val="single" w:sz="1" w:space="0" w:color="C0D0E0"/>
              <w:bottom w:val="single" w:sz="1" w:space="0" w:color="C0D0E0"/>
              <w:right w:val="single" w:sz="1" w:space="0" w:color="C0D0E0"/>
            </w:tcBorders>
            <w:shd w:val="clear" w:color="auto" w:fill="F5F7FA"/>
            <w:tcMar>
              <w:top w:w="80" w:type="dxa"/>
              <w:left w:w="160" w:type="dxa"/>
              <w:bottom w:w="80" w:type="dxa"/>
              <w:right w:w="160" w:type="dxa"/>
            </w:tcMar>
          </w:tcPr>
          <w:p w14:paraId="51857DA5" w14:textId="77777777" w:rsidR="00D605FA" w:rsidRDefault="00000000">
            <w:r>
              <w:rPr>
                <w:b/>
                <w:bCs/>
                <w:color w:val="1A1A1A"/>
                <w:sz w:val="21"/>
                <w:szCs w:val="21"/>
              </w:rPr>
              <w:t>Minimum Cash Reserve</w:t>
            </w:r>
          </w:p>
        </w:tc>
        <w:tc>
          <w:tcPr>
            <w:tcW w:w="5360" w:type="dxa"/>
            <w:tcBorders>
              <w:top w:val="single" w:sz="1" w:space="0" w:color="C0D0E0"/>
              <w:left w:val="single" w:sz="1" w:space="0" w:color="C0D0E0"/>
              <w:bottom w:val="single" w:sz="1" w:space="0" w:color="C0D0E0"/>
              <w:right w:val="single" w:sz="1" w:space="0" w:color="C0D0E0"/>
            </w:tcBorders>
            <w:shd w:val="clear" w:color="auto" w:fill="F5F7FA"/>
            <w:tcMar>
              <w:top w:w="80" w:type="dxa"/>
              <w:left w:w="160" w:type="dxa"/>
              <w:bottom w:w="80" w:type="dxa"/>
              <w:right w:w="160" w:type="dxa"/>
            </w:tcMar>
          </w:tcPr>
          <w:p w14:paraId="51857DA6" w14:textId="77777777" w:rsidR="00D605FA" w:rsidRDefault="00000000">
            <w:r>
              <w:rPr>
                <w:color w:val="444444"/>
                <w:sz w:val="21"/>
                <w:szCs w:val="21"/>
              </w:rPr>
              <w:t>5% held in high-yield deposit at all times</w:t>
            </w:r>
          </w:p>
        </w:tc>
      </w:tr>
      <w:tr w:rsidR="00D605FA" w14:paraId="51857DAA" w14:textId="77777777">
        <w:tblPrEx>
          <w:tblCellMar>
            <w:top w:w="0" w:type="dxa"/>
            <w:bottom w:w="0" w:type="dxa"/>
          </w:tblCellMar>
        </w:tblPrEx>
        <w:tc>
          <w:tcPr>
            <w:tcW w:w="4000" w:type="dxa"/>
            <w:tcBorders>
              <w:top w:val="single" w:sz="1" w:space="0" w:color="C0D0E0"/>
              <w:left w:val="single" w:sz="1" w:space="0" w:color="C0D0E0"/>
              <w:bottom w:val="single" w:sz="1" w:space="0" w:color="C0D0E0"/>
              <w:right w:val="single" w:sz="1" w:space="0" w:color="C0D0E0"/>
            </w:tcBorders>
            <w:shd w:val="clear" w:color="auto" w:fill="FFFFFF"/>
            <w:tcMar>
              <w:top w:w="80" w:type="dxa"/>
              <w:left w:w="160" w:type="dxa"/>
              <w:bottom w:w="80" w:type="dxa"/>
              <w:right w:w="160" w:type="dxa"/>
            </w:tcMar>
          </w:tcPr>
          <w:p w14:paraId="51857DA8" w14:textId="77777777" w:rsidR="00D605FA" w:rsidRDefault="00000000">
            <w:r>
              <w:rPr>
                <w:b/>
                <w:bCs/>
                <w:color w:val="1A1A1A"/>
                <w:sz w:val="21"/>
                <w:szCs w:val="21"/>
              </w:rPr>
              <w:t>Leverage</w:t>
            </w:r>
          </w:p>
        </w:tc>
        <w:tc>
          <w:tcPr>
            <w:tcW w:w="5360" w:type="dxa"/>
            <w:tcBorders>
              <w:top w:val="single" w:sz="1" w:space="0" w:color="C0D0E0"/>
              <w:left w:val="single" w:sz="1" w:space="0" w:color="C0D0E0"/>
              <w:bottom w:val="single" w:sz="1" w:space="0" w:color="C0D0E0"/>
              <w:right w:val="single" w:sz="1" w:space="0" w:color="C0D0E0"/>
            </w:tcBorders>
            <w:shd w:val="clear" w:color="auto" w:fill="FFFFFF"/>
            <w:tcMar>
              <w:top w:w="80" w:type="dxa"/>
              <w:left w:w="160" w:type="dxa"/>
              <w:bottom w:w="80" w:type="dxa"/>
              <w:right w:w="160" w:type="dxa"/>
            </w:tcMar>
          </w:tcPr>
          <w:p w14:paraId="51857DA9" w14:textId="77777777" w:rsidR="00D605FA" w:rsidRDefault="00000000">
            <w:r>
              <w:rPr>
                <w:color w:val="444444"/>
                <w:sz w:val="21"/>
                <w:szCs w:val="21"/>
              </w:rPr>
              <w:t>None permitted</w:t>
            </w:r>
          </w:p>
        </w:tc>
      </w:tr>
      <w:tr w:rsidR="00D605FA" w14:paraId="51857DAD" w14:textId="77777777">
        <w:tblPrEx>
          <w:tblCellMar>
            <w:top w:w="0" w:type="dxa"/>
            <w:bottom w:w="0" w:type="dxa"/>
          </w:tblCellMar>
        </w:tblPrEx>
        <w:tc>
          <w:tcPr>
            <w:tcW w:w="4000" w:type="dxa"/>
            <w:tcBorders>
              <w:top w:val="single" w:sz="1" w:space="0" w:color="C0D0E0"/>
              <w:left w:val="single" w:sz="1" w:space="0" w:color="C0D0E0"/>
              <w:bottom w:val="single" w:sz="1" w:space="0" w:color="C0D0E0"/>
              <w:right w:val="single" w:sz="1" w:space="0" w:color="C0D0E0"/>
            </w:tcBorders>
            <w:shd w:val="clear" w:color="auto" w:fill="F5F7FA"/>
            <w:tcMar>
              <w:top w:w="80" w:type="dxa"/>
              <w:left w:w="160" w:type="dxa"/>
              <w:bottom w:w="80" w:type="dxa"/>
              <w:right w:w="160" w:type="dxa"/>
            </w:tcMar>
          </w:tcPr>
          <w:p w14:paraId="51857DAB" w14:textId="77777777" w:rsidR="00D605FA" w:rsidRDefault="00000000">
            <w:r>
              <w:rPr>
                <w:b/>
                <w:bCs/>
                <w:color w:val="1A1A1A"/>
                <w:sz w:val="21"/>
                <w:szCs w:val="21"/>
              </w:rPr>
              <w:t>Derivatives</w:t>
            </w:r>
          </w:p>
        </w:tc>
        <w:tc>
          <w:tcPr>
            <w:tcW w:w="5360" w:type="dxa"/>
            <w:tcBorders>
              <w:top w:val="single" w:sz="1" w:space="0" w:color="C0D0E0"/>
              <w:left w:val="single" w:sz="1" w:space="0" w:color="C0D0E0"/>
              <w:bottom w:val="single" w:sz="1" w:space="0" w:color="C0D0E0"/>
              <w:right w:val="single" w:sz="1" w:space="0" w:color="C0D0E0"/>
            </w:tcBorders>
            <w:shd w:val="clear" w:color="auto" w:fill="F5F7FA"/>
            <w:tcMar>
              <w:top w:w="80" w:type="dxa"/>
              <w:left w:w="160" w:type="dxa"/>
              <w:bottom w:w="80" w:type="dxa"/>
              <w:right w:w="160" w:type="dxa"/>
            </w:tcMar>
          </w:tcPr>
          <w:p w14:paraId="51857DAC" w14:textId="77777777" w:rsidR="00D605FA" w:rsidRDefault="00000000">
            <w:r>
              <w:rPr>
                <w:color w:val="444444"/>
                <w:sz w:val="21"/>
                <w:szCs w:val="21"/>
              </w:rPr>
              <w:t>None permitted in initial phase</w:t>
            </w:r>
          </w:p>
        </w:tc>
      </w:tr>
      <w:tr w:rsidR="00D605FA" w14:paraId="51857DB0" w14:textId="77777777">
        <w:tblPrEx>
          <w:tblCellMar>
            <w:top w:w="0" w:type="dxa"/>
            <w:bottom w:w="0" w:type="dxa"/>
          </w:tblCellMar>
        </w:tblPrEx>
        <w:tc>
          <w:tcPr>
            <w:tcW w:w="4000" w:type="dxa"/>
            <w:tcBorders>
              <w:top w:val="single" w:sz="1" w:space="0" w:color="C0D0E0"/>
              <w:left w:val="single" w:sz="1" w:space="0" w:color="C0D0E0"/>
              <w:bottom w:val="single" w:sz="1" w:space="0" w:color="C0D0E0"/>
              <w:right w:val="single" w:sz="1" w:space="0" w:color="C0D0E0"/>
            </w:tcBorders>
            <w:shd w:val="clear" w:color="auto" w:fill="FFFFFF"/>
            <w:tcMar>
              <w:top w:w="80" w:type="dxa"/>
              <w:left w:w="160" w:type="dxa"/>
              <w:bottom w:w="80" w:type="dxa"/>
              <w:right w:w="160" w:type="dxa"/>
            </w:tcMar>
          </w:tcPr>
          <w:p w14:paraId="51857DAE" w14:textId="77777777" w:rsidR="00D605FA" w:rsidRDefault="00000000">
            <w:r>
              <w:rPr>
                <w:b/>
                <w:bCs/>
                <w:color w:val="1A1A1A"/>
                <w:sz w:val="21"/>
                <w:szCs w:val="21"/>
              </w:rPr>
              <w:t>Currency Risk</w:t>
            </w:r>
          </w:p>
        </w:tc>
        <w:tc>
          <w:tcPr>
            <w:tcW w:w="5360" w:type="dxa"/>
            <w:tcBorders>
              <w:top w:val="single" w:sz="1" w:space="0" w:color="C0D0E0"/>
              <w:left w:val="single" w:sz="1" w:space="0" w:color="C0D0E0"/>
              <w:bottom w:val="single" w:sz="1" w:space="0" w:color="C0D0E0"/>
              <w:right w:val="single" w:sz="1" w:space="0" w:color="C0D0E0"/>
            </w:tcBorders>
            <w:shd w:val="clear" w:color="auto" w:fill="FFFFFF"/>
            <w:tcMar>
              <w:top w:w="80" w:type="dxa"/>
              <w:left w:w="160" w:type="dxa"/>
              <w:bottom w:w="80" w:type="dxa"/>
              <w:right w:w="160" w:type="dxa"/>
            </w:tcMar>
          </w:tcPr>
          <w:p w14:paraId="51857DAF" w14:textId="77777777" w:rsidR="00D605FA" w:rsidRDefault="00000000">
            <w:r>
              <w:rPr>
                <w:color w:val="444444"/>
                <w:sz w:val="21"/>
                <w:szCs w:val="21"/>
              </w:rPr>
              <w:t>Unhedged; USD/GBP exposure accepted</w:t>
            </w:r>
          </w:p>
        </w:tc>
      </w:tr>
    </w:tbl>
    <w:p w14:paraId="51857DB1" w14:textId="77777777" w:rsidR="00D605FA" w:rsidRDefault="00000000">
      <w:pPr>
        <w:pStyle w:val="Heading2"/>
      </w:pPr>
      <w:r>
        <w:t>2.3 Investment Constraints</w:t>
      </w:r>
    </w:p>
    <w:p w14:paraId="51857DB2" w14:textId="77777777" w:rsidR="00D605FA" w:rsidRDefault="00000000">
      <w:pPr>
        <w:pStyle w:val="ListParagraph"/>
        <w:numPr>
          <w:ilvl w:val="0"/>
          <w:numId w:val="2"/>
        </w:numPr>
        <w:spacing w:before="60" w:after="60"/>
      </w:pPr>
      <w:r>
        <w:rPr>
          <w:color w:val="1A1A1A"/>
        </w:rPr>
        <w:t>No heavy ETF bias: The portfolio must derive its differentiation from direct security selection. No more than 15% of the portfolio may be held in passive ETFs or index funds combined.</w:t>
      </w:r>
    </w:p>
    <w:p w14:paraId="51857DB3" w14:textId="77777777" w:rsidR="00D605FA" w:rsidRDefault="00000000">
      <w:pPr>
        <w:pStyle w:val="ListParagraph"/>
        <w:numPr>
          <w:ilvl w:val="0"/>
          <w:numId w:val="2"/>
        </w:numPr>
        <w:spacing w:before="60" w:after="60"/>
      </w:pPr>
      <w:r>
        <w:rPr>
          <w:color w:val="1A1A1A"/>
        </w:rPr>
        <w:t xml:space="preserve">Closed structure: Capital is committed for 10 years. No partial redemptions are planned, but force majeure provisions allow emergency exit with 30 </w:t>
      </w:r>
      <w:proofErr w:type="spellStart"/>
      <w:r>
        <w:rPr>
          <w:color w:val="1A1A1A"/>
        </w:rPr>
        <w:t>days notice</w:t>
      </w:r>
      <w:proofErr w:type="spellEnd"/>
      <w:r>
        <w:rPr>
          <w:color w:val="1A1A1A"/>
        </w:rPr>
        <w:t>.</w:t>
      </w:r>
    </w:p>
    <w:p w14:paraId="51857DB4" w14:textId="77777777" w:rsidR="00D605FA" w:rsidRDefault="00000000">
      <w:pPr>
        <w:pStyle w:val="ListParagraph"/>
        <w:numPr>
          <w:ilvl w:val="0"/>
          <w:numId w:val="2"/>
        </w:numPr>
        <w:spacing w:before="60" w:after="60"/>
      </w:pPr>
      <w:r>
        <w:rPr>
          <w:color w:val="1A1A1A"/>
        </w:rPr>
        <w:t>Broker platform: Interactive Brokers UK or equivalent, enabling fractional US share purchases, global market access, and low FX conversion costs.</w:t>
      </w:r>
    </w:p>
    <w:p w14:paraId="51857DB5" w14:textId="7F3EF246" w:rsidR="00D605FA" w:rsidRDefault="00000000">
      <w:pPr>
        <w:pStyle w:val="ListParagraph"/>
        <w:numPr>
          <w:ilvl w:val="0"/>
          <w:numId w:val="2"/>
        </w:numPr>
        <w:spacing w:before="60" w:after="60"/>
      </w:pPr>
      <w:r>
        <w:rPr>
          <w:color w:val="1A1A1A"/>
        </w:rPr>
        <w:t xml:space="preserve">Reporting currency: GBP. All performance </w:t>
      </w:r>
      <w:r w:rsidR="000F3272">
        <w:rPr>
          <w:color w:val="1A1A1A"/>
        </w:rPr>
        <w:t xml:space="preserve">is </w:t>
      </w:r>
      <w:r>
        <w:rPr>
          <w:color w:val="1A1A1A"/>
        </w:rPr>
        <w:t>reported in sterling terms.</w:t>
      </w:r>
    </w:p>
    <w:p w14:paraId="51857DB6" w14:textId="77777777" w:rsidR="00D605FA" w:rsidRDefault="00000000">
      <w:pPr>
        <w:pStyle w:val="Heading1"/>
        <w:pageBreakBefore/>
        <w:pBdr>
          <w:bottom w:val="single" w:sz="8" w:space="4" w:color="2E6BA8"/>
        </w:pBdr>
      </w:pPr>
      <w:r>
        <w:lastRenderedPageBreak/>
        <w:t>3. Strategic Asset Allocation</w:t>
      </w:r>
    </w:p>
    <w:p w14:paraId="51857DB7" w14:textId="77777777" w:rsidR="00D605FA" w:rsidRDefault="00000000">
      <w:pPr>
        <w:pStyle w:val="Heading2"/>
      </w:pPr>
      <w:r>
        <w:t>3.1 Target Allocation Framework</w:t>
      </w:r>
    </w:p>
    <w:p w14:paraId="51857DB8" w14:textId="77777777" w:rsidR="00D605FA" w:rsidRDefault="00000000">
      <w:pPr>
        <w:spacing w:before="80" w:after="80"/>
      </w:pPr>
      <w:r>
        <w:rPr>
          <w:color w:val="1A1A1A"/>
        </w:rPr>
        <w:t>The strategic asset allocation (SAA) below has been constructed to balance growth potential with drawdown management at a moderate risk level. The equity sleeve is deliberately concentrated - high-conviction positions in structural growth themes - rather than diversified across indices.</w:t>
      </w:r>
    </w:p>
    <w:p w14:paraId="51857DB9" w14:textId="77777777" w:rsidR="00D605FA" w:rsidRDefault="00D605FA">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000"/>
        <w:gridCol w:w="1200"/>
        <w:gridCol w:w="3960"/>
      </w:tblGrid>
      <w:tr w:rsidR="00D605FA" w14:paraId="51857DBE" w14:textId="77777777">
        <w:tblPrEx>
          <w:tblCellMar>
            <w:top w:w="0" w:type="dxa"/>
            <w:bottom w:w="0" w:type="dxa"/>
          </w:tblCellMar>
        </w:tblPrEx>
        <w:tc>
          <w:tcPr>
            <w:tcW w:w="3200" w:type="dxa"/>
            <w:tcBorders>
              <w:top w:val="single" w:sz="1" w:space="0" w:color="C0D0E0"/>
              <w:left w:val="single" w:sz="1" w:space="0" w:color="C0D0E0"/>
              <w:bottom w:val="single" w:sz="1" w:space="0" w:color="C0D0E0"/>
              <w:right w:val="single" w:sz="1" w:space="0" w:color="C0D0E0"/>
            </w:tcBorders>
            <w:shd w:val="clear" w:color="auto" w:fill="0D2B55"/>
            <w:tcMar>
              <w:top w:w="80" w:type="dxa"/>
              <w:left w:w="120" w:type="dxa"/>
              <w:bottom w:w="80" w:type="dxa"/>
              <w:right w:w="120" w:type="dxa"/>
            </w:tcMar>
          </w:tcPr>
          <w:p w14:paraId="51857DBA" w14:textId="77777777" w:rsidR="00D605FA" w:rsidRDefault="00000000">
            <w:r>
              <w:rPr>
                <w:b/>
                <w:bCs/>
                <w:color w:val="FFFFFF"/>
                <w:sz w:val="21"/>
                <w:szCs w:val="21"/>
              </w:rPr>
              <w:t>Asset Class</w:t>
            </w:r>
          </w:p>
        </w:tc>
        <w:tc>
          <w:tcPr>
            <w:tcW w:w="1000" w:type="dxa"/>
            <w:tcBorders>
              <w:top w:val="single" w:sz="1" w:space="0" w:color="C0D0E0"/>
              <w:left w:val="single" w:sz="1" w:space="0" w:color="C0D0E0"/>
              <w:bottom w:val="single" w:sz="1" w:space="0" w:color="C0D0E0"/>
              <w:right w:val="single" w:sz="1" w:space="0" w:color="C0D0E0"/>
            </w:tcBorders>
            <w:shd w:val="clear" w:color="auto" w:fill="0D2B55"/>
            <w:tcMar>
              <w:top w:w="80" w:type="dxa"/>
              <w:left w:w="120" w:type="dxa"/>
              <w:bottom w:w="80" w:type="dxa"/>
              <w:right w:w="120" w:type="dxa"/>
            </w:tcMar>
          </w:tcPr>
          <w:p w14:paraId="51857DBB" w14:textId="77777777" w:rsidR="00D605FA" w:rsidRDefault="00000000">
            <w:pPr>
              <w:jc w:val="center"/>
            </w:pPr>
            <w:r>
              <w:rPr>
                <w:b/>
                <w:bCs/>
                <w:color w:val="FFFFFF"/>
                <w:sz w:val="21"/>
                <w:szCs w:val="21"/>
              </w:rPr>
              <w:t>Target %</w:t>
            </w:r>
          </w:p>
        </w:tc>
        <w:tc>
          <w:tcPr>
            <w:tcW w:w="1200" w:type="dxa"/>
            <w:tcBorders>
              <w:top w:val="single" w:sz="1" w:space="0" w:color="C0D0E0"/>
              <w:left w:val="single" w:sz="1" w:space="0" w:color="C0D0E0"/>
              <w:bottom w:val="single" w:sz="1" w:space="0" w:color="C0D0E0"/>
              <w:right w:val="single" w:sz="1" w:space="0" w:color="C0D0E0"/>
            </w:tcBorders>
            <w:shd w:val="clear" w:color="auto" w:fill="0D2B55"/>
            <w:tcMar>
              <w:top w:w="80" w:type="dxa"/>
              <w:left w:w="120" w:type="dxa"/>
              <w:bottom w:w="80" w:type="dxa"/>
              <w:right w:w="120" w:type="dxa"/>
            </w:tcMar>
          </w:tcPr>
          <w:p w14:paraId="51857DBC" w14:textId="77777777" w:rsidR="00D605FA" w:rsidRDefault="00000000">
            <w:pPr>
              <w:jc w:val="center"/>
            </w:pPr>
            <w:r>
              <w:rPr>
                <w:b/>
                <w:bCs/>
                <w:color w:val="FFFFFF"/>
                <w:sz w:val="21"/>
                <w:szCs w:val="21"/>
              </w:rPr>
              <w:t>Capital (£)</w:t>
            </w:r>
          </w:p>
        </w:tc>
        <w:tc>
          <w:tcPr>
            <w:tcW w:w="3960" w:type="dxa"/>
            <w:tcBorders>
              <w:top w:val="single" w:sz="1" w:space="0" w:color="C0D0E0"/>
              <w:left w:val="single" w:sz="1" w:space="0" w:color="C0D0E0"/>
              <w:bottom w:val="single" w:sz="1" w:space="0" w:color="C0D0E0"/>
              <w:right w:val="single" w:sz="1" w:space="0" w:color="C0D0E0"/>
            </w:tcBorders>
            <w:shd w:val="clear" w:color="auto" w:fill="0D2B55"/>
            <w:tcMar>
              <w:top w:w="80" w:type="dxa"/>
              <w:left w:w="120" w:type="dxa"/>
              <w:bottom w:w="80" w:type="dxa"/>
              <w:right w:w="120" w:type="dxa"/>
            </w:tcMar>
          </w:tcPr>
          <w:p w14:paraId="51857DBD" w14:textId="77777777" w:rsidR="00D605FA" w:rsidRDefault="00000000">
            <w:r>
              <w:rPr>
                <w:b/>
                <w:bCs/>
                <w:color w:val="FFFFFF"/>
                <w:sz w:val="21"/>
                <w:szCs w:val="21"/>
              </w:rPr>
              <w:t>Rationale</w:t>
            </w:r>
          </w:p>
        </w:tc>
      </w:tr>
      <w:tr w:rsidR="00D605FA" w14:paraId="51857DC3" w14:textId="77777777">
        <w:tblPrEx>
          <w:tblCellMar>
            <w:top w:w="0" w:type="dxa"/>
            <w:bottom w:w="0" w:type="dxa"/>
          </w:tblCellMar>
        </w:tblPrEx>
        <w:tc>
          <w:tcPr>
            <w:tcW w:w="3200" w:type="dxa"/>
            <w:tcBorders>
              <w:top w:val="single" w:sz="1" w:space="0" w:color="C0D0E0"/>
              <w:left w:val="single" w:sz="1" w:space="0" w:color="C0D0E0"/>
              <w:bottom w:val="single" w:sz="1" w:space="0" w:color="C0D0E0"/>
              <w:right w:val="single" w:sz="1" w:space="0" w:color="C0D0E0"/>
            </w:tcBorders>
            <w:shd w:val="clear" w:color="auto" w:fill="D6E4F0"/>
            <w:tcMar>
              <w:top w:w="80" w:type="dxa"/>
              <w:left w:w="120" w:type="dxa"/>
              <w:bottom w:w="80" w:type="dxa"/>
              <w:right w:w="120" w:type="dxa"/>
            </w:tcMar>
          </w:tcPr>
          <w:p w14:paraId="51857DBF" w14:textId="77777777" w:rsidR="00D605FA" w:rsidRDefault="00000000">
            <w:r>
              <w:rPr>
                <w:b/>
                <w:bCs/>
                <w:color w:val="0D2B55"/>
                <w:sz w:val="21"/>
                <w:szCs w:val="21"/>
              </w:rPr>
              <w:t>Equities - Core Growth</w:t>
            </w:r>
          </w:p>
        </w:tc>
        <w:tc>
          <w:tcPr>
            <w:tcW w:w="1000" w:type="dxa"/>
            <w:tcBorders>
              <w:top w:val="single" w:sz="1" w:space="0" w:color="C0D0E0"/>
              <w:left w:val="single" w:sz="1" w:space="0" w:color="C0D0E0"/>
              <w:bottom w:val="single" w:sz="1" w:space="0" w:color="C0D0E0"/>
              <w:right w:val="single" w:sz="1" w:space="0" w:color="C0D0E0"/>
            </w:tcBorders>
            <w:shd w:val="clear" w:color="auto" w:fill="D6E4F0"/>
            <w:tcMar>
              <w:top w:w="80" w:type="dxa"/>
              <w:left w:w="120" w:type="dxa"/>
              <w:bottom w:w="80" w:type="dxa"/>
              <w:right w:w="120" w:type="dxa"/>
            </w:tcMar>
            <w:vAlign w:val="center"/>
          </w:tcPr>
          <w:p w14:paraId="51857DC0" w14:textId="77777777" w:rsidR="00D605FA" w:rsidRDefault="00000000">
            <w:pPr>
              <w:jc w:val="center"/>
            </w:pPr>
            <w:r>
              <w:rPr>
                <w:b/>
                <w:bCs/>
                <w:color w:val="2E6BA8"/>
              </w:rPr>
              <w:t>50%</w:t>
            </w:r>
          </w:p>
        </w:tc>
        <w:tc>
          <w:tcPr>
            <w:tcW w:w="1200" w:type="dxa"/>
            <w:tcBorders>
              <w:top w:val="single" w:sz="1" w:space="0" w:color="C0D0E0"/>
              <w:left w:val="single" w:sz="1" w:space="0" w:color="C0D0E0"/>
              <w:bottom w:val="single" w:sz="1" w:space="0" w:color="C0D0E0"/>
              <w:right w:val="single" w:sz="1" w:space="0" w:color="C0D0E0"/>
            </w:tcBorders>
            <w:shd w:val="clear" w:color="auto" w:fill="D6E4F0"/>
            <w:tcMar>
              <w:top w:w="80" w:type="dxa"/>
              <w:left w:w="120" w:type="dxa"/>
              <w:bottom w:w="80" w:type="dxa"/>
              <w:right w:w="120" w:type="dxa"/>
            </w:tcMar>
            <w:vAlign w:val="center"/>
          </w:tcPr>
          <w:p w14:paraId="51857DC1" w14:textId="77777777" w:rsidR="00D605FA" w:rsidRDefault="00000000">
            <w:pPr>
              <w:jc w:val="center"/>
            </w:pPr>
            <w:r>
              <w:rPr>
                <w:color w:val="1A7A4A"/>
              </w:rPr>
              <w:t>£2,500</w:t>
            </w:r>
          </w:p>
        </w:tc>
        <w:tc>
          <w:tcPr>
            <w:tcW w:w="3960" w:type="dxa"/>
            <w:tcBorders>
              <w:top w:val="single" w:sz="1" w:space="0" w:color="C0D0E0"/>
              <w:left w:val="single" w:sz="1" w:space="0" w:color="C0D0E0"/>
              <w:bottom w:val="single" w:sz="1" w:space="0" w:color="C0D0E0"/>
              <w:right w:val="single" w:sz="1" w:space="0" w:color="C0D0E0"/>
            </w:tcBorders>
            <w:shd w:val="clear" w:color="auto" w:fill="D6E4F0"/>
            <w:tcMar>
              <w:top w:w="80" w:type="dxa"/>
              <w:left w:w="120" w:type="dxa"/>
              <w:bottom w:w="80" w:type="dxa"/>
              <w:right w:w="120" w:type="dxa"/>
            </w:tcMar>
          </w:tcPr>
          <w:p w14:paraId="51857DC2" w14:textId="77777777" w:rsidR="00D605FA" w:rsidRDefault="00000000">
            <w:r>
              <w:rPr>
                <w:color w:val="444444"/>
                <w:sz w:val="20"/>
                <w:szCs w:val="20"/>
              </w:rPr>
              <w:t>8 high-conviction global stocks across structural 10-year themes. Primary return engine.</w:t>
            </w:r>
          </w:p>
        </w:tc>
      </w:tr>
      <w:tr w:rsidR="00D605FA" w14:paraId="51857DC8" w14:textId="77777777">
        <w:tblPrEx>
          <w:tblCellMar>
            <w:top w:w="0" w:type="dxa"/>
            <w:bottom w:w="0" w:type="dxa"/>
          </w:tblCellMar>
        </w:tblPrEx>
        <w:tc>
          <w:tcPr>
            <w:tcW w:w="3200" w:type="dxa"/>
            <w:tcBorders>
              <w:top w:val="single" w:sz="1" w:space="0" w:color="C0D0E0"/>
              <w:left w:val="single" w:sz="1" w:space="0" w:color="C0D0E0"/>
              <w:bottom w:val="single" w:sz="1" w:space="0" w:color="C0D0E0"/>
              <w:right w:val="single" w:sz="1" w:space="0" w:color="C0D0E0"/>
            </w:tcBorders>
            <w:shd w:val="clear" w:color="auto" w:fill="E8F4FF"/>
            <w:tcMar>
              <w:top w:w="80" w:type="dxa"/>
              <w:left w:w="120" w:type="dxa"/>
              <w:bottom w:w="80" w:type="dxa"/>
              <w:right w:w="120" w:type="dxa"/>
            </w:tcMar>
          </w:tcPr>
          <w:p w14:paraId="51857DC4" w14:textId="77777777" w:rsidR="00D605FA" w:rsidRDefault="00000000">
            <w:r>
              <w:rPr>
                <w:b/>
                <w:bCs/>
                <w:color w:val="0D2B55"/>
                <w:sz w:val="21"/>
                <w:szCs w:val="21"/>
              </w:rPr>
              <w:t>Equities - Satellite/Speculative</w:t>
            </w:r>
          </w:p>
        </w:tc>
        <w:tc>
          <w:tcPr>
            <w:tcW w:w="1000" w:type="dxa"/>
            <w:tcBorders>
              <w:top w:val="single" w:sz="1" w:space="0" w:color="C0D0E0"/>
              <w:left w:val="single" w:sz="1" w:space="0" w:color="C0D0E0"/>
              <w:bottom w:val="single" w:sz="1" w:space="0" w:color="C0D0E0"/>
              <w:right w:val="single" w:sz="1" w:space="0" w:color="C0D0E0"/>
            </w:tcBorders>
            <w:shd w:val="clear" w:color="auto" w:fill="E8F4FF"/>
            <w:tcMar>
              <w:top w:w="80" w:type="dxa"/>
              <w:left w:w="120" w:type="dxa"/>
              <w:bottom w:w="80" w:type="dxa"/>
              <w:right w:w="120" w:type="dxa"/>
            </w:tcMar>
            <w:vAlign w:val="center"/>
          </w:tcPr>
          <w:p w14:paraId="51857DC5" w14:textId="77777777" w:rsidR="00D605FA" w:rsidRDefault="00000000">
            <w:pPr>
              <w:jc w:val="center"/>
            </w:pPr>
            <w:r>
              <w:rPr>
                <w:b/>
                <w:bCs/>
                <w:color w:val="2E6BA8"/>
              </w:rPr>
              <w:t>15%</w:t>
            </w:r>
          </w:p>
        </w:tc>
        <w:tc>
          <w:tcPr>
            <w:tcW w:w="1200" w:type="dxa"/>
            <w:tcBorders>
              <w:top w:val="single" w:sz="1" w:space="0" w:color="C0D0E0"/>
              <w:left w:val="single" w:sz="1" w:space="0" w:color="C0D0E0"/>
              <w:bottom w:val="single" w:sz="1" w:space="0" w:color="C0D0E0"/>
              <w:right w:val="single" w:sz="1" w:space="0" w:color="C0D0E0"/>
            </w:tcBorders>
            <w:shd w:val="clear" w:color="auto" w:fill="E8F4FF"/>
            <w:tcMar>
              <w:top w:w="80" w:type="dxa"/>
              <w:left w:w="120" w:type="dxa"/>
              <w:bottom w:w="80" w:type="dxa"/>
              <w:right w:w="120" w:type="dxa"/>
            </w:tcMar>
            <w:vAlign w:val="center"/>
          </w:tcPr>
          <w:p w14:paraId="51857DC6" w14:textId="77777777" w:rsidR="00D605FA" w:rsidRDefault="00000000">
            <w:pPr>
              <w:jc w:val="center"/>
            </w:pPr>
            <w:r>
              <w:rPr>
                <w:color w:val="1A7A4A"/>
              </w:rPr>
              <w:t>£750</w:t>
            </w:r>
          </w:p>
        </w:tc>
        <w:tc>
          <w:tcPr>
            <w:tcW w:w="3960" w:type="dxa"/>
            <w:tcBorders>
              <w:top w:val="single" w:sz="1" w:space="0" w:color="C0D0E0"/>
              <w:left w:val="single" w:sz="1" w:space="0" w:color="C0D0E0"/>
              <w:bottom w:val="single" w:sz="1" w:space="0" w:color="C0D0E0"/>
              <w:right w:val="single" w:sz="1" w:space="0" w:color="C0D0E0"/>
            </w:tcBorders>
            <w:shd w:val="clear" w:color="auto" w:fill="E8F4FF"/>
            <w:tcMar>
              <w:top w:w="80" w:type="dxa"/>
              <w:left w:w="120" w:type="dxa"/>
              <w:bottom w:w="80" w:type="dxa"/>
              <w:right w:w="120" w:type="dxa"/>
            </w:tcMar>
          </w:tcPr>
          <w:p w14:paraId="51857DC7" w14:textId="77777777" w:rsidR="00D605FA" w:rsidRDefault="00000000">
            <w:r>
              <w:rPr>
                <w:color w:val="444444"/>
                <w:sz w:val="20"/>
                <w:szCs w:val="20"/>
              </w:rPr>
              <w:t>3–4 higher-risk positions in emerging technologies with 5–10x potential. Higher volatility accepted.</w:t>
            </w:r>
          </w:p>
        </w:tc>
      </w:tr>
      <w:tr w:rsidR="00D605FA" w14:paraId="51857DCD" w14:textId="77777777">
        <w:tblPrEx>
          <w:tblCellMar>
            <w:top w:w="0" w:type="dxa"/>
            <w:bottom w:w="0" w:type="dxa"/>
          </w:tblCellMar>
        </w:tblPrEx>
        <w:tc>
          <w:tcPr>
            <w:tcW w:w="3200" w:type="dxa"/>
            <w:tcBorders>
              <w:top w:val="single" w:sz="1" w:space="0" w:color="C0D0E0"/>
              <w:left w:val="single" w:sz="1" w:space="0" w:color="C0D0E0"/>
              <w:bottom w:val="single" w:sz="1" w:space="0" w:color="C0D0E0"/>
              <w:right w:val="single" w:sz="1" w:space="0" w:color="C0D0E0"/>
            </w:tcBorders>
            <w:shd w:val="clear" w:color="auto" w:fill="D4EDDA"/>
            <w:tcMar>
              <w:top w:w="80" w:type="dxa"/>
              <w:left w:w="120" w:type="dxa"/>
              <w:bottom w:w="80" w:type="dxa"/>
              <w:right w:w="120" w:type="dxa"/>
            </w:tcMar>
          </w:tcPr>
          <w:p w14:paraId="51857DC9" w14:textId="77777777" w:rsidR="00D605FA" w:rsidRDefault="00000000">
            <w:r>
              <w:rPr>
                <w:b/>
                <w:bCs/>
                <w:color w:val="0D2B55"/>
                <w:sz w:val="21"/>
                <w:szCs w:val="21"/>
              </w:rPr>
              <w:t>Fixed Income</w:t>
            </w:r>
          </w:p>
        </w:tc>
        <w:tc>
          <w:tcPr>
            <w:tcW w:w="1000" w:type="dxa"/>
            <w:tcBorders>
              <w:top w:val="single" w:sz="1" w:space="0" w:color="C0D0E0"/>
              <w:left w:val="single" w:sz="1" w:space="0" w:color="C0D0E0"/>
              <w:bottom w:val="single" w:sz="1" w:space="0" w:color="C0D0E0"/>
              <w:right w:val="single" w:sz="1" w:space="0" w:color="C0D0E0"/>
            </w:tcBorders>
            <w:shd w:val="clear" w:color="auto" w:fill="D4EDDA"/>
            <w:tcMar>
              <w:top w:w="80" w:type="dxa"/>
              <w:left w:w="120" w:type="dxa"/>
              <w:bottom w:w="80" w:type="dxa"/>
              <w:right w:w="120" w:type="dxa"/>
            </w:tcMar>
            <w:vAlign w:val="center"/>
          </w:tcPr>
          <w:p w14:paraId="51857DCA" w14:textId="77777777" w:rsidR="00D605FA" w:rsidRDefault="00000000">
            <w:pPr>
              <w:jc w:val="center"/>
            </w:pPr>
            <w:r>
              <w:rPr>
                <w:b/>
                <w:bCs/>
                <w:color w:val="2E6BA8"/>
              </w:rPr>
              <w:t>15%</w:t>
            </w:r>
          </w:p>
        </w:tc>
        <w:tc>
          <w:tcPr>
            <w:tcW w:w="1200" w:type="dxa"/>
            <w:tcBorders>
              <w:top w:val="single" w:sz="1" w:space="0" w:color="C0D0E0"/>
              <w:left w:val="single" w:sz="1" w:space="0" w:color="C0D0E0"/>
              <w:bottom w:val="single" w:sz="1" w:space="0" w:color="C0D0E0"/>
              <w:right w:val="single" w:sz="1" w:space="0" w:color="C0D0E0"/>
            </w:tcBorders>
            <w:shd w:val="clear" w:color="auto" w:fill="D4EDDA"/>
            <w:tcMar>
              <w:top w:w="80" w:type="dxa"/>
              <w:left w:w="120" w:type="dxa"/>
              <w:bottom w:w="80" w:type="dxa"/>
              <w:right w:w="120" w:type="dxa"/>
            </w:tcMar>
            <w:vAlign w:val="center"/>
          </w:tcPr>
          <w:p w14:paraId="51857DCB" w14:textId="77777777" w:rsidR="00D605FA" w:rsidRDefault="00000000">
            <w:pPr>
              <w:jc w:val="center"/>
            </w:pPr>
            <w:r>
              <w:rPr>
                <w:color w:val="1A7A4A"/>
              </w:rPr>
              <w:t>£750</w:t>
            </w:r>
          </w:p>
        </w:tc>
        <w:tc>
          <w:tcPr>
            <w:tcW w:w="3960" w:type="dxa"/>
            <w:tcBorders>
              <w:top w:val="single" w:sz="1" w:space="0" w:color="C0D0E0"/>
              <w:left w:val="single" w:sz="1" w:space="0" w:color="C0D0E0"/>
              <w:bottom w:val="single" w:sz="1" w:space="0" w:color="C0D0E0"/>
              <w:right w:val="single" w:sz="1" w:space="0" w:color="C0D0E0"/>
            </w:tcBorders>
            <w:shd w:val="clear" w:color="auto" w:fill="D4EDDA"/>
            <w:tcMar>
              <w:top w:w="80" w:type="dxa"/>
              <w:left w:w="120" w:type="dxa"/>
              <w:bottom w:w="80" w:type="dxa"/>
              <w:right w:w="120" w:type="dxa"/>
            </w:tcMar>
          </w:tcPr>
          <w:p w14:paraId="51857DCC" w14:textId="77777777" w:rsidR="00D605FA" w:rsidRDefault="00000000">
            <w:r>
              <w:rPr>
                <w:color w:val="444444"/>
                <w:sz w:val="20"/>
                <w:szCs w:val="20"/>
              </w:rPr>
              <w:t>Short-to-medium duration gov/corporate bonds for ballast and capital preservation during drawdowns.</w:t>
            </w:r>
          </w:p>
        </w:tc>
      </w:tr>
      <w:tr w:rsidR="00D605FA" w14:paraId="51857DD2" w14:textId="77777777">
        <w:tblPrEx>
          <w:tblCellMar>
            <w:top w:w="0" w:type="dxa"/>
            <w:bottom w:w="0" w:type="dxa"/>
          </w:tblCellMar>
        </w:tblPrEx>
        <w:tc>
          <w:tcPr>
            <w:tcW w:w="3200" w:type="dxa"/>
            <w:tcBorders>
              <w:top w:val="single" w:sz="1" w:space="0" w:color="C0D0E0"/>
              <w:left w:val="single" w:sz="1" w:space="0" w:color="C0D0E0"/>
              <w:bottom w:val="single" w:sz="1" w:space="0" w:color="C0D0E0"/>
              <w:right w:val="single" w:sz="1" w:space="0" w:color="C0D0E0"/>
            </w:tcBorders>
            <w:shd w:val="clear" w:color="auto" w:fill="FFF8E7"/>
            <w:tcMar>
              <w:top w:w="80" w:type="dxa"/>
              <w:left w:w="120" w:type="dxa"/>
              <w:bottom w:w="80" w:type="dxa"/>
              <w:right w:w="120" w:type="dxa"/>
            </w:tcMar>
          </w:tcPr>
          <w:p w14:paraId="51857DCE" w14:textId="77777777" w:rsidR="00D605FA" w:rsidRDefault="00000000">
            <w:r>
              <w:rPr>
                <w:b/>
                <w:bCs/>
                <w:color w:val="0D2B55"/>
                <w:sz w:val="21"/>
                <w:szCs w:val="21"/>
              </w:rPr>
              <w:t>Commodities &amp; Real Assets</w:t>
            </w:r>
          </w:p>
        </w:tc>
        <w:tc>
          <w:tcPr>
            <w:tcW w:w="1000" w:type="dxa"/>
            <w:tcBorders>
              <w:top w:val="single" w:sz="1" w:space="0" w:color="C0D0E0"/>
              <w:left w:val="single" w:sz="1" w:space="0" w:color="C0D0E0"/>
              <w:bottom w:val="single" w:sz="1" w:space="0" w:color="C0D0E0"/>
              <w:right w:val="single" w:sz="1" w:space="0" w:color="C0D0E0"/>
            </w:tcBorders>
            <w:shd w:val="clear" w:color="auto" w:fill="FFF8E7"/>
            <w:tcMar>
              <w:top w:w="80" w:type="dxa"/>
              <w:left w:w="120" w:type="dxa"/>
              <w:bottom w:w="80" w:type="dxa"/>
              <w:right w:w="120" w:type="dxa"/>
            </w:tcMar>
            <w:vAlign w:val="center"/>
          </w:tcPr>
          <w:p w14:paraId="51857DCF" w14:textId="77777777" w:rsidR="00D605FA" w:rsidRDefault="00000000">
            <w:pPr>
              <w:jc w:val="center"/>
            </w:pPr>
            <w:r>
              <w:rPr>
                <w:b/>
                <w:bCs/>
                <w:color w:val="2E6BA8"/>
              </w:rPr>
              <w:t>10%</w:t>
            </w:r>
          </w:p>
        </w:tc>
        <w:tc>
          <w:tcPr>
            <w:tcW w:w="1200" w:type="dxa"/>
            <w:tcBorders>
              <w:top w:val="single" w:sz="1" w:space="0" w:color="C0D0E0"/>
              <w:left w:val="single" w:sz="1" w:space="0" w:color="C0D0E0"/>
              <w:bottom w:val="single" w:sz="1" w:space="0" w:color="C0D0E0"/>
              <w:right w:val="single" w:sz="1" w:space="0" w:color="C0D0E0"/>
            </w:tcBorders>
            <w:shd w:val="clear" w:color="auto" w:fill="FFF8E7"/>
            <w:tcMar>
              <w:top w:w="80" w:type="dxa"/>
              <w:left w:w="120" w:type="dxa"/>
              <w:bottom w:w="80" w:type="dxa"/>
              <w:right w:w="120" w:type="dxa"/>
            </w:tcMar>
            <w:vAlign w:val="center"/>
          </w:tcPr>
          <w:p w14:paraId="51857DD0" w14:textId="77777777" w:rsidR="00D605FA" w:rsidRDefault="00000000">
            <w:pPr>
              <w:jc w:val="center"/>
            </w:pPr>
            <w:r>
              <w:rPr>
                <w:color w:val="1A7A4A"/>
              </w:rPr>
              <w:t>£500</w:t>
            </w:r>
          </w:p>
        </w:tc>
        <w:tc>
          <w:tcPr>
            <w:tcW w:w="3960" w:type="dxa"/>
            <w:tcBorders>
              <w:top w:val="single" w:sz="1" w:space="0" w:color="C0D0E0"/>
              <w:left w:val="single" w:sz="1" w:space="0" w:color="C0D0E0"/>
              <w:bottom w:val="single" w:sz="1" w:space="0" w:color="C0D0E0"/>
              <w:right w:val="single" w:sz="1" w:space="0" w:color="C0D0E0"/>
            </w:tcBorders>
            <w:shd w:val="clear" w:color="auto" w:fill="FFF8E7"/>
            <w:tcMar>
              <w:top w:w="80" w:type="dxa"/>
              <w:left w:w="120" w:type="dxa"/>
              <w:bottom w:w="80" w:type="dxa"/>
              <w:right w:w="120" w:type="dxa"/>
            </w:tcMar>
          </w:tcPr>
          <w:p w14:paraId="51857DD1" w14:textId="77777777" w:rsidR="00D605FA" w:rsidRDefault="00000000">
            <w:r>
              <w:rPr>
                <w:color w:val="444444"/>
                <w:sz w:val="20"/>
                <w:szCs w:val="20"/>
              </w:rPr>
              <w:t>Gold (inflation hedge + safe haven), Uranium (structural energy theme), selective exposure.</w:t>
            </w:r>
          </w:p>
        </w:tc>
      </w:tr>
      <w:tr w:rsidR="00D605FA" w14:paraId="51857DD7" w14:textId="77777777">
        <w:tblPrEx>
          <w:tblCellMar>
            <w:top w:w="0" w:type="dxa"/>
            <w:bottom w:w="0" w:type="dxa"/>
          </w:tblCellMar>
        </w:tblPrEx>
        <w:tc>
          <w:tcPr>
            <w:tcW w:w="3200" w:type="dxa"/>
            <w:tcBorders>
              <w:top w:val="single" w:sz="1" w:space="0" w:color="C0D0E0"/>
              <w:left w:val="single" w:sz="1" w:space="0" w:color="C0D0E0"/>
              <w:bottom w:val="single" w:sz="1" w:space="0" w:color="C0D0E0"/>
              <w:right w:val="single" w:sz="1" w:space="0" w:color="C0D0E0"/>
            </w:tcBorders>
            <w:shd w:val="clear" w:color="auto" w:fill="F5F7FA"/>
            <w:tcMar>
              <w:top w:w="80" w:type="dxa"/>
              <w:left w:w="120" w:type="dxa"/>
              <w:bottom w:w="80" w:type="dxa"/>
              <w:right w:w="120" w:type="dxa"/>
            </w:tcMar>
          </w:tcPr>
          <w:p w14:paraId="51857DD3" w14:textId="77777777" w:rsidR="00D605FA" w:rsidRDefault="00000000">
            <w:r>
              <w:rPr>
                <w:b/>
                <w:bCs/>
                <w:color w:val="0D2B55"/>
                <w:sz w:val="21"/>
                <w:szCs w:val="21"/>
              </w:rPr>
              <w:t>Cash Reserve</w:t>
            </w:r>
          </w:p>
        </w:tc>
        <w:tc>
          <w:tcPr>
            <w:tcW w:w="1000" w:type="dxa"/>
            <w:tcBorders>
              <w:top w:val="single" w:sz="1" w:space="0" w:color="C0D0E0"/>
              <w:left w:val="single" w:sz="1" w:space="0" w:color="C0D0E0"/>
              <w:bottom w:val="single" w:sz="1" w:space="0" w:color="C0D0E0"/>
              <w:right w:val="single" w:sz="1" w:space="0" w:color="C0D0E0"/>
            </w:tcBorders>
            <w:shd w:val="clear" w:color="auto" w:fill="F5F7FA"/>
            <w:tcMar>
              <w:top w:w="80" w:type="dxa"/>
              <w:left w:w="120" w:type="dxa"/>
              <w:bottom w:w="80" w:type="dxa"/>
              <w:right w:w="120" w:type="dxa"/>
            </w:tcMar>
            <w:vAlign w:val="center"/>
          </w:tcPr>
          <w:p w14:paraId="51857DD4" w14:textId="77777777" w:rsidR="00D605FA" w:rsidRDefault="00000000">
            <w:pPr>
              <w:jc w:val="center"/>
            </w:pPr>
            <w:r>
              <w:rPr>
                <w:b/>
                <w:bCs/>
                <w:color w:val="2E6BA8"/>
              </w:rPr>
              <w:t>10%</w:t>
            </w:r>
          </w:p>
        </w:tc>
        <w:tc>
          <w:tcPr>
            <w:tcW w:w="1200" w:type="dxa"/>
            <w:tcBorders>
              <w:top w:val="single" w:sz="1" w:space="0" w:color="C0D0E0"/>
              <w:left w:val="single" w:sz="1" w:space="0" w:color="C0D0E0"/>
              <w:bottom w:val="single" w:sz="1" w:space="0" w:color="C0D0E0"/>
              <w:right w:val="single" w:sz="1" w:space="0" w:color="C0D0E0"/>
            </w:tcBorders>
            <w:shd w:val="clear" w:color="auto" w:fill="F5F7FA"/>
            <w:tcMar>
              <w:top w:w="80" w:type="dxa"/>
              <w:left w:w="120" w:type="dxa"/>
              <w:bottom w:w="80" w:type="dxa"/>
              <w:right w:w="120" w:type="dxa"/>
            </w:tcMar>
            <w:vAlign w:val="center"/>
          </w:tcPr>
          <w:p w14:paraId="51857DD5" w14:textId="77777777" w:rsidR="00D605FA" w:rsidRDefault="00000000">
            <w:pPr>
              <w:jc w:val="center"/>
            </w:pPr>
            <w:r>
              <w:rPr>
                <w:color w:val="1A7A4A"/>
              </w:rPr>
              <w:t>£500</w:t>
            </w:r>
          </w:p>
        </w:tc>
        <w:tc>
          <w:tcPr>
            <w:tcW w:w="3960" w:type="dxa"/>
            <w:tcBorders>
              <w:top w:val="single" w:sz="1" w:space="0" w:color="C0D0E0"/>
              <w:left w:val="single" w:sz="1" w:space="0" w:color="C0D0E0"/>
              <w:bottom w:val="single" w:sz="1" w:space="0" w:color="C0D0E0"/>
              <w:right w:val="single" w:sz="1" w:space="0" w:color="C0D0E0"/>
            </w:tcBorders>
            <w:shd w:val="clear" w:color="auto" w:fill="F5F7FA"/>
            <w:tcMar>
              <w:top w:w="80" w:type="dxa"/>
              <w:left w:w="120" w:type="dxa"/>
              <w:bottom w:w="80" w:type="dxa"/>
              <w:right w:w="120" w:type="dxa"/>
            </w:tcMar>
          </w:tcPr>
          <w:p w14:paraId="51857DD6" w14:textId="77777777" w:rsidR="00D605FA" w:rsidRDefault="00000000">
            <w:r>
              <w:rPr>
                <w:color w:val="444444"/>
                <w:sz w:val="20"/>
                <w:szCs w:val="20"/>
              </w:rPr>
              <w:t>Dry powder for opportunistic deployment on corrections. Held in a high-yield account (&gt;4% p.a.).</w:t>
            </w:r>
          </w:p>
        </w:tc>
      </w:tr>
    </w:tbl>
    <w:p w14:paraId="51857DD8" w14:textId="77777777" w:rsidR="00D605FA" w:rsidRDefault="00D605FA">
      <w:pPr>
        <w:spacing w:before="1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D605FA" w14:paraId="51857DDC"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E8A020"/>
          </w:tcPr>
          <w:p w14:paraId="51857DD9" w14:textId="77777777" w:rsidR="00D605FA" w:rsidRDefault="00D605FA"/>
        </w:tc>
        <w:tc>
          <w:tcPr>
            <w:tcW w:w="9160" w:type="dxa"/>
            <w:tcBorders>
              <w:top w:val="none" w:sz="0" w:space="0" w:color="FFFFFF"/>
              <w:left w:val="none" w:sz="0" w:space="0" w:color="FFFFFF"/>
              <w:bottom w:val="none" w:sz="0" w:space="0" w:color="FFFFFF"/>
              <w:right w:val="none" w:sz="0" w:space="0" w:color="FFFFFF"/>
            </w:tcBorders>
            <w:shd w:val="clear" w:color="auto" w:fill="FFF8E7"/>
            <w:tcMar>
              <w:top w:w="120" w:type="dxa"/>
              <w:left w:w="200" w:type="dxa"/>
              <w:bottom w:w="120" w:type="dxa"/>
              <w:right w:w="200" w:type="dxa"/>
            </w:tcMar>
          </w:tcPr>
          <w:p w14:paraId="51857DDA" w14:textId="77777777" w:rsidR="00D605FA" w:rsidRDefault="00000000">
            <w:r>
              <w:rPr>
                <w:b/>
                <w:bCs/>
                <w:color w:val="E8A020"/>
              </w:rPr>
              <w:t>Rebalancing Triggers</w:t>
            </w:r>
          </w:p>
          <w:p w14:paraId="51857DDB" w14:textId="77777777" w:rsidR="00D605FA" w:rsidRDefault="00000000">
            <w:pPr>
              <w:spacing w:before="60"/>
            </w:pPr>
            <w:r>
              <w:rPr>
                <w:color w:val="444444"/>
                <w:sz w:val="21"/>
                <w:szCs w:val="21"/>
              </w:rPr>
              <w:t>Hard rebalance: Quarterly (March, June, September, December). Soft trigger: Any position exceeds 15% of portfolio, or falls below 3%. Tactical trigger: Daily analytics agent flags a major conviction change (see Section 6).</w:t>
            </w:r>
          </w:p>
        </w:tc>
      </w:tr>
    </w:tbl>
    <w:p w14:paraId="51857DDD" w14:textId="77777777" w:rsidR="00D605FA" w:rsidRDefault="00000000">
      <w:pPr>
        <w:pStyle w:val="Heading1"/>
        <w:pageBreakBefore/>
        <w:pBdr>
          <w:bottom w:val="single" w:sz="8" w:space="4" w:color="2E6BA8"/>
        </w:pBdr>
      </w:pPr>
      <w:r>
        <w:lastRenderedPageBreak/>
        <w:t>4. Equity Portfolio - Conviction Holdings</w:t>
      </w:r>
    </w:p>
    <w:p w14:paraId="51857DDE" w14:textId="77777777" w:rsidR="00D605FA" w:rsidRDefault="00000000">
      <w:pPr>
        <w:pStyle w:val="Heading2"/>
      </w:pPr>
      <w:r>
        <w:t>4.1 Core Growth Sleeve (50% | £2,500)</w:t>
      </w:r>
    </w:p>
    <w:p w14:paraId="51857DDF" w14:textId="77777777" w:rsidR="00D605FA" w:rsidRDefault="00000000">
      <w:pPr>
        <w:spacing w:before="80" w:after="80"/>
      </w:pPr>
      <w:r>
        <w:rPr>
          <w:color w:val="1A1A1A"/>
        </w:rPr>
        <w:t>Eight high-conviction positions across five distinct sectors, each allocated approximately £300-£350. Deliberately diversified beyond pure technology to reduce single-cycle risk. Positions selected on: (</w:t>
      </w:r>
      <w:proofErr w:type="spellStart"/>
      <w:r>
        <w:rPr>
          <w:color w:val="1A1A1A"/>
        </w:rPr>
        <w:t>i</w:t>
      </w:r>
      <w:proofErr w:type="spellEnd"/>
      <w:r>
        <w:rPr>
          <w:color w:val="1A1A1A"/>
        </w:rPr>
        <w:t>) durable competitive moat, (ii) exposure to at least one confirmed 10-year structural theme, (iii) financial strength, and (iv) credible long-term earnings growth.</w:t>
      </w:r>
    </w:p>
    <w:p w14:paraId="51857DE0" w14:textId="77777777" w:rsidR="00D605FA" w:rsidRDefault="00D605FA">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5"/>
        <w:gridCol w:w="2384"/>
        <w:gridCol w:w="807"/>
        <w:gridCol w:w="2232"/>
        <w:gridCol w:w="1337"/>
        <w:gridCol w:w="1625"/>
      </w:tblGrid>
      <w:tr w:rsidR="00D605FA" w14:paraId="51857DE7" w14:textId="77777777">
        <w:tblPrEx>
          <w:tblCellMar>
            <w:top w:w="0" w:type="dxa"/>
            <w:bottom w:w="0" w:type="dxa"/>
          </w:tblCellMar>
        </w:tblPrEx>
        <w:tc>
          <w:tcPr>
            <w:tcW w:w="900" w:type="dxa"/>
            <w:tcBorders>
              <w:top w:val="single" w:sz="1" w:space="0" w:color="C0D0E0"/>
              <w:left w:val="single" w:sz="1" w:space="0" w:color="C0D0E0"/>
              <w:bottom w:val="single" w:sz="1" w:space="0" w:color="C0D0E0"/>
              <w:right w:val="single" w:sz="1" w:space="0" w:color="C0D0E0"/>
            </w:tcBorders>
            <w:shd w:val="clear" w:color="auto" w:fill="0D2B55"/>
            <w:tcMar>
              <w:top w:w="80" w:type="dxa"/>
              <w:left w:w="100" w:type="dxa"/>
              <w:bottom w:w="80" w:type="dxa"/>
              <w:right w:w="100" w:type="dxa"/>
            </w:tcMar>
          </w:tcPr>
          <w:p w14:paraId="51857DE1" w14:textId="77777777" w:rsidR="00D605FA" w:rsidRDefault="00000000">
            <w:r>
              <w:rPr>
                <w:b/>
                <w:bCs/>
                <w:color w:val="FFFFFF"/>
                <w:sz w:val="20"/>
                <w:szCs w:val="20"/>
              </w:rPr>
              <w:t>Ticker</w:t>
            </w:r>
          </w:p>
        </w:tc>
        <w:tc>
          <w:tcPr>
            <w:tcW w:w="2200" w:type="dxa"/>
            <w:tcBorders>
              <w:top w:val="single" w:sz="1" w:space="0" w:color="C0D0E0"/>
              <w:left w:val="single" w:sz="1" w:space="0" w:color="C0D0E0"/>
              <w:bottom w:val="single" w:sz="1" w:space="0" w:color="C0D0E0"/>
              <w:right w:val="single" w:sz="1" w:space="0" w:color="C0D0E0"/>
            </w:tcBorders>
            <w:shd w:val="clear" w:color="auto" w:fill="0D2B55"/>
            <w:tcMar>
              <w:top w:w="80" w:type="dxa"/>
              <w:left w:w="100" w:type="dxa"/>
              <w:bottom w:w="80" w:type="dxa"/>
              <w:right w:w="100" w:type="dxa"/>
            </w:tcMar>
          </w:tcPr>
          <w:p w14:paraId="51857DE2" w14:textId="77777777" w:rsidR="00D605FA" w:rsidRDefault="00000000">
            <w:r>
              <w:rPr>
                <w:b/>
                <w:bCs/>
                <w:color w:val="FFFFFF"/>
                <w:sz w:val="20"/>
                <w:szCs w:val="20"/>
              </w:rPr>
              <w:t>Company</w:t>
            </w:r>
          </w:p>
        </w:tc>
        <w:tc>
          <w:tcPr>
            <w:tcW w:w="700" w:type="dxa"/>
            <w:tcBorders>
              <w:top w:val="single" w:sz="1" w:space="0" w:color="C0D0E0"/>
              <w:left w:val="single" w:sz="1" w:space="0" w:color="C0D0E0"/>
              <w:bottom w:val="single" w:sz="1" w:space="0" w:color="C0D0E0"/>
              <w:right w:val="single" w:sz="1" w:space="0" w:color="C0D0E0"/>
            </w:tcBorders>
            <w:shd w:val="clear" w:color="auto" w:fill="0D2B55"/>
            <w:tcMar>
              <w:top w:w="80" w:type="dxa"/>
              <w:left w:w="100" w:type="dxa"/>
              <w:bottom w:w="80" w:type="dxa"/>
              <w:right w:w="100" w:type="dxa"/>
            </w:tcMar>
          </w:tcPr>
          <w:p w14:paraId="51857DE3" w14:textId="77777777" w:rsidR="00D605FA" w:rsidRDefault="00000000">
            <w:proofErr w:type="spellStart"/>
            <w:r>
              <w:rPr>
                <w:b/>
                <w:bCs/>
                <w:color w:val="FFFFFF"/>
                <w:sz w:val="20"/>
                <w:szCs w:val="20"/>
              </w:rPr>
              <w:t>Alloc</w:t>
            </w:r>
            <w:proofErr w:type="spellEnd"/>
            <w:r>
              <w:rPr>
                <w:b/>
                <w:bCs/>
                <w:color w:val="FFFFFF"/>
                <w:sz w:val="20"/>
                <w:szCs w:val="20"/>
              </w:rPr>
              <w:t>.</w:t>
            </w:r>
          </w:p>
        </w:tc>
        <w:tc>
          <w:tcPr>
            <w:tcW w:w="2060" w:type="dxa"/>
            <w:tcBorders>
              <w:top w:val="single" w:sz="1" w:space="0" w:color="C0D0E0"/>
              <w:left w:val="single" w:sz="1" w:space="0" w:color="C0D0E0"/>
              <w:bottom w:val="single" w:sz="1" w:space="0" w:color="C0D0E0"/>
              <w:right w:val="single" w:sz="1" w:space="0" w:color="C0D0E0"/>
            </w:tcBorders>
            <w:shd w:val="clear" w:color="auto" w:fill="0D2B55"/>
            <w:tcMar>
              <w:top w:w="80" w:type="dxa"/>
              <w:left w:w="100" w:type="dxa"/>
              <w:bottom w:w="80" w:type="dxa"/>
              <w:right w:w="100" w:type="dxa"/>
            </w:tcMar>
          </w:tcPr>
          <w:p w14:paraId="51857DE4" w14:textId="77777777" w:rsidR="00D605FA" w:rsidRDefault="00000000">
            <w:r>
              <w:rPr>
                <w:b/>
                <w:bCs/>
                <w:color w:val="FFFFFF"/>
                <w:sz w:val="20"/>
                <w:szCs w:val="20"/>
              </w:rPr>
              <w:t>10-Year Theme</w:t>
            </w:r>
          </w:p>
        </w:tc>
        <w:tc>
          <w:tcPr>
            <w:tcW w:w="1000" w:type="dxa"/>
            <w:tcBorders>
              <w:top w:val="single" w:sz="1" w:space="0" w:color="C0D0E0"/>
              <w:left w:val="single" w:sz="1" w:space="0" w:color="C0D0E0"/>
              <w:bottom w:val="single" w:sz="1" w:space="0" w:color="C0D0E0"/>
              <w:right w:val="single" w:sz="1" w:space="0" w:color="C0D0E0"/>
            </w:tcBorders>
            <w:shd w:val="clear" w:color="auto" w:fill="0D2B55"/>
            <w:tcMar>
              <w:top w:w="80" w:type="dxa"/>
              <w:left w:w="100" w:type="dxa"/>
              <w:bottom w:w="80" w:type="dxa"/>
              <w:right w:w="100" w:type="dxa"/>
            </w:tcMar>
          </w:tcPr>
          <w:p w14:paraId="51857DE5" w14:textId="77777777" w:rsidR="00D605FA" w:rsidRDefault="00000000">
            <w:r>
              <w:rPr>
                <w:b/>
                <w:bCs/>
                <w:color w:val="FFFFFF"/>
                <w:sz w:val="20"/>
                <w:szCs w:val="20"/>
              </w:rPr>
              <w:t>Conviction</w:t>
            </w:r>
          </w:p>
        </w:tc>
        <w:tc>
          <w:tcPr>
            <w:tcW w:w="1500" w:type="dxa"/>
            <w:tcBorders>
              <w:top w:val="single" w:sz="1" w:space="0" w:color="C0D0E0"/>
              <w:left w:val="single" w:sz="1" w:space="0" w:color="C0D0E0"/>
              <w:bottom w:val="single" w:sz="1" w:space="0" w:color="C0D0E0"/>
              <w:right w:val="single" w:sz="1" w:space="0" w:color="C0D0E0"/>
            </w:tcBorders>
            <w:shd w:val="clear" w:color="auto" w:fill="0D2B55"/>
            <w:tcMar>
              <w:top w:w="80" w:type="dxa"/>
              <w:left w:w="100" w:type="dxa"/>
              <w:bottom w:w="80" w:type="dxa"/>
              <w:right w:w="100" w:type="dxa"/>
            </w:tcMar>
          </w:tcPr>
          <w:p w14:paraId="51857DE6" w14:textId="77777777" w:rsidR="00D605FA" w:rsidRDefault="00000000">
            <w:r>
              <w:rPr>
                <w:b/>
                <w:bCs/>
                <w:color w:val="FFFFFF"/>
                <w:sz w:val="20"/>
                <w:szCs w:val="20"/>
              </w:rPr>
              <w:t>Moat Type</w:t>
            </w:r>
          </w:p>
        </w:tc>
      </w:tr>
      <w:tr w:rsidR="00D605FA" w14:paraId="51857DEE" w14:textId="77777777">
        <w:tblPrEx>
          <w:tblCellMar>
            <w:top w:w="0" w:type="dxa"/>
            <w:bottom w:w="0" w:type="dxa"/>
          </w:tblCellMar>
        </w:tblPrEx>
        <w:tc>
          <w:tcPr>
            <w:tcW w:w="900" w:type="dxa"/>
            <w:tcBorders>
              <w:top w:val="single" w:sz="1" w:space="0" w:color="C0D0E0"/>
              <w:left w:val="single" w:sz="1" w:space="0" w:color="C0D0E0"/>
              <w:bottom w:val="single" w:sz="1" w:space="0" w:color="C0D0E0"/>
              <w:right w:val="single" w:sz="1" w:space="0" w:color="C0D0E0"/>
            </w:tcBorders>
            <w:shd w:val="clear" w:color="auto" w:fill="D6E4F0"/>
            <w:tcMar>
              <w:top w:w="80" w:type="dxa"/>
              <w:left w:w="100" w:type="dxa"/>
              <w:bottom w:w="80" w:type="dxa"/>
              <w:right w:w="100" w:type="dxa"/>
            </w:tcMar>
          </w:tcPr>
          <w:p w14:paraId="51857DE8" w14:textId="77777777" w:rsidR="00D605FA" w:rsidRDefault="00000000">
            <w:r>
              <w:rPr>
                <w:b/>
                <w:bCs/>
                <w:color w:val="2E6BA8"/>
                <w:sz w:val="20"/>
                <w:szCs w:val="20"/>
              </w:rPr>
              <w:t>ASML</w:t>
            </w:r>
          </w:p>
        </w:tc>
        <w:tc>
          <w:tcPr>
            <w:tcW w:w="2200" w:type="dxa"/>
            <w:tcBorders>
              <w:top w:val="single" w:sz="1" w:space="0" w:color="C0D0E0"/>
              <w:left w:val="single" w:sz="1" w:space="0" w:color="C0D0E0"/>
              <w:bottom w:val="single" w:sz="1" w:space="0" w:color="C0D0E0"/>
              <w:right w:val="single" w:sz="1" w:space="0" w:color="C0D0E0"/>
            </w:tcBorders>
            <w:shd w:val="clear" w:color="auto" w:fill="D6E4F0"/>
            <w:tcMar>
              <w:top w:w="80" w:type="dxa"/>
              <w:left w:w="100" w:type="dxa"/>
              <w:bottom w:w="80" w:type="dxa"/>
              <w:right w:w="100" w:type="dxa"/>
            </w:tcMar>
          </w:tcPr>
          <w:p w14:paraId="51857DE9" w14:textId="77777777" w:rsidR="00D605FA" w:rsidRDefault="00000000">
            <w:r>
              <w:rPr>
                <w:color w:val="1A1A1A"/>
                <w:sz w:val="20"/>
                <w:szCs w:val="20"/>
              </w:rPr>
              <w:t>ASML Holding NV</w:t>
            </w:r>
          </w:p>
        </w:tc>
        <w:tc>
          <w:tcPr>
            <w:tcW w:w="700" w:type="dxa"/>
            <w:tcBorders>
              <w:top w:val="single" w:sz="1" w:space="0" w:color="C0D0E0"/>
              <w:left w:val="single" w:sz="1" w:space="0" w:color="C0D0E0"/>
              <w:bottom w:val="single" w:sz="1" w:space="0" w:color="C0D0E0"/>
              <w:right w:val="single" w:sz="1" w:space="0" w:color="C0D0E0"/>
            </w:tcBorders>
            <w:shd w:val="clear" w:color="auto" w:fill="D6E4F0"/>
            <w:tcMar>
              <w:top w:w="80" w:type="dxa"/>
              <w:left w:w="100" w:type="dxa"/>
              <w:bottom w:w="80" w:type="dxa"/>
              <w:right w:w="100" w:type="dxa"/>
            </w:tcMar>
          </w:tcPr>
          <w:p w14:paraId="51857DEA" w14:textId="77777777" w:rsidR="00D605FA" w:rsidRDefault="00000000">
            <w:pPr>
              <w:jc w:val="center"/>
            </w:pPr>
            <w:r>
              <w:rPr>
                <w:b/>
                <w:bCs/>
                <w:color w:val="1A7A4A"/>
                <w:sz w:val="20"/>
                <w:szCs w:val="20"/>
              </w:rPr>
              <w:t>7%</w:t>
            </w:r>
          </w:p>
        </w:tc>
        <w:tc>
          <w:tcPr>
            <w:tcW w:w="2060" w:type="dxa"/>
            <w:tcBorders>
              <w:top w:val="single" w:sz="1" w:space="0" w:color="C0D0E0"/>
              <w:left w:val="single" w:sz="1" w:space="0" w:color="C0D0E0"/>
              <w:bottom w:val="single" w:sz="1" w:space="0" w:color="C0D0E0"/>
              <w:right w:val="single" w:sz="1" w:space="0" w:color="C0D0E0"/>
            </w:tcBorders>
            <w:shd w:val="clear" w:color="auto" w:fill="D6E4F0"/>
            <w:tcMar>
              <w:top w:w="80" w:type="dxa"/>
              <w:left w:w="100" w:type="dxa"/>
              <w:bottom w:w="80" w:type="dxa"/>
              <w:right w:w="100" w:type="dxa"/>
            </w:tcMar>
          </w:tcPr>
          <w:p w14:paraId="51857DEB" w14:textId="77777777" w:rsidR="00D605FA" w:rsidRDefault="00000000">
            <w:r>
              <w:rPr>
                <w:color w:val="444444"/>
                <w:sz w:val="19"/>
                <w:szCs w:val="19"/>
              </w:rPr>
              <w:t>EUV Lithography - Semiconductor Equipment Monopoly</w:t>
            </w:r>
          </w:p>
        </w:tc>
        <w:tc>
          <w:tcPr>
            <w:tcW w:w="1000" w:type="dxa"/>
            <w:tcBorders>
              <w:top w:val="single" w:sz="1" w:space="0" w:color="C0D0E0"/>
              <w:left w:val="single" w:sz="1" w:space="0" w:color="C0D0E0"/>
              <w:bottom w:val="single" w:sz="1" w:space="0" w:color="C0D0E0"/>
              <w:right w:val="single" w:sz="1" w:space="0" w:color="C0D0E0"/>
            </w:tcBorders>
            <w:shd w:val="clear" w:color="auto" w:fill="D6E4F0"/>
            <w:tcMar>
              <w:top w:w="80" w:type="dxa"/>
              <w:left w:w="100" w:type="dxa"/>
              <w:bottom w:w="80" w:type="dxa"/>
              <w:right w:w="100" w:type="dxa"/>
            </w:tcMar>
          </w:tcPr>
          <w:p w14:paraId="51857DEC" w14:textId="77777777" w:rsidR="00D605FA" w:rsidRDefault="00000000">
            <w:pPr>
              <w:jc w:val="center"/>
            </w:pPr>
            <w:r>
              <w:rPr>
                <w:b/>
                <w:bCs/>
                <w:color w:val="1A7A4A"/>
                <w:sz w:val="20"/>
                <w:szCs w:val="20"/>
              </w:rPr>
              <w:t>VERY HIGH</w:t>
            </w:r>
          </w:p>
        </w:tc>
        <w:tc>
          <w:tcPr>
            <w:tcW w:w="1500" w:type="dxa"/>
            <w:tcBorders>
              <w:top w:val="single" w:sz="1" w:space="0" w:color="C0D0E0"/>
              <w:left w:val="single" w:sz="1" w:space="0" w:color="C0D0E0"/>
              <w:bottom w:val="single" w:sz="1" w:space="0" w:color="C0D0E0"/>
              <w:right w:val="single" w:sz="1" w:space="0" w:color="C0D0E0"/>
            </w:tcBorders>
            <w:shd w:val="clear" w:color="auto" w:fill="D6E4F0"/>
            <w:tcMar>
              <w:top w:w="80" w:type="dxa"/>
              <w:left w:w="100" w:type="dxa"/>
              <w:bottom w:w="80" w:type="dxa"/>
              <w:right w:w="100" w:type="dxa"/>
            </w:tcMar>
          </w:tcPr>
          <w:p w14:paraId="51857DED" w14:textId="77777777" w:rsidR="00D605FA" w:rsidRDefault="00000000">
            <w:r>
              <w:rPr>
                <w:color w:val="444444"/>
                <w:sz w:val="19"/>
                <w:szCs w:val="19"/>
              </w:rPr>
              <w:t>Technical Monopoly</w:t>
            </w:r>
          </w:p>
        </w:tc>
      </w:tr>
      <w:tr w:rsidR="00D605FA" w14:paraId="51857DF5" w14:textId="77777777">
        <w:tblPrEx>
          <w:tblCellMar>
            <w:top w:w="0" w:type="dxa"/>
            <w:bottom w:w="0" w:type="dxa"/>
          </w:tblCellMar>
        </w:tblPrEx>
        <w:tc>
          <w:tcPr>
            <w:tcW w:w="900" w:type="dxa"/>
            <w:tcBorders>
              <w:top w:val="single" w:sz="1" w:space="0" w:color="C0D0E0"/>
              <w:left w:val="single" w:sz="1" w:space="0" w:color="C0D0E0"/>
              <w:bottom w:val="single" w:sz="1" w:space="0" w:color="C0D0E0"/>
              <w:right w:val="single" w:sz="1" w:space="0" w:color="C0D0E0"/>
            </w:tcBorders>
            <w:shd w:val="clear" w:color="auto" w:fill="FFFFFF"/>
            <w:tcMar>
              <w:top w:w="80" w:type="dxa"/>
              <w:left w:w="100" w:type="dxa"/>
              <w:bottom w:w="80" w:type="dxa"/>
              <w:right w:w="100" w:type="dxa"/>
            </w:tcMar>
          </w:tcPr>
          <w:p w14:paraId="51857DEF" w14:textId="77777777" w:rsidR="00D605FA" w:rsidRDefault="00000000">
            <w:r>
              <w:rPr>
                <w:b/>
                <w:bCs/>
                <w:color w:val="2E6BA8"/>
                <w:sz w:val="20"/>
                <w:szCs w:val="20"/>
              </w:rPr>
              <w:t>MSFT</w:t>
            </w:r>
          </w:p>
        </w:tc>
        <w:tc>
          <w:tcPr>
            <w:tcW w:w="2200" w:type="dxa"/>
            <w:tcBorders>
              <w:top w:val="single" w:sz="1" w:space="0" w:color="C0D0E0"/>
              <w:left w:val="single" w:sz="1" w:space="0" w:color="C0D0E0"/>
              <w:bottom w:val="single" w:sz="1" w:space="0" w:color="C0D0E0"/>
              <w:right w:val="single" w:sz="1" w:space="0" w:color="C0D0E0"/>
            </w:tcBorders>
            <w:shd w:val="clear" w:color="auto" w:fill="FFFFFF"/>
            <w:tcMar>
              <w:top w:w="80" w:type="dxa"/>
              <w:left w:w="100" w:type="dxa"/>
              <w:bottom w:w="80" w:type="dxa"/>
              <w:right w:w="100" w:type="dxa"/>
            </w:tcMar>
          </w:tcPr>
          <w:p w14:paraId="51857DF0" w14:textId="77777777" w:rsidR="00D605FA" w:rsidRDefault="00000000">
            <w:r>
              <w:rPr>
                <w:color w:val="1A1A1A"/>
                <w:sz w:val="20"/>
                <w:szCs w:val="20"/>
              </w:rPr>
              <w:t>Microsoft Corporation</w:t>
            </w:r>
          </w:p>
        </w:tc>
        <w:tc>
          <w:tcPr>
            <w:tcW w:w="700" w:type="dxa"/>
            <w:tcBorders>
              <w:top w:val="single" w:sz="1" w:space="0" w:color="C0D0E0"/>
              <w:left w:val="single" w:sz="1" w:space="0" w:color="C0D0E0"/>
              <w:bottom w:val="single" w:sz="1" w:space="0" w:color="C0D0E0"/>
              <w:right w:val="single" w:sz="1" w:space="0" w:color="C0D0E0"/>
            </w:tcBorders>
            <w:shd w:val="clear" w:color="auto" w:fill="FFFFFF"/>
            <w:tcMar>
              <w:top w:w="80" w:type="dxa"/>
              <w:left w:w="100" w:type="dxa"/>
              <w:bottom w:w="80" w:type="dxa"/>
              <w:right w:w="100" w:type="dxa"/>
            </w:tcMar>
          </w:tcPr>
          <w:p w14:paraId="51857DF1" w14:textId="77777777" w:rsidR="00D605FA" w:rsidRDefault="00000000">
            <w:pPr>
              <w:jc w:val="center"/>
            </w:pPr>
            <w:r>
              <w:rPr>
                <w:b/>
                <w:bCs/>
                <w:color w:val="1A7A4A"/>
                <w:sz w:val="20"/>
                <w:szCs w:val="20"/>
              </w:rPr>
              <w:t>7%</w:t>
            </w:r>
          </w:p>
        </w:tc>
        <w:tc>
          <w:tcPr>
            <w:tcW w:w="2060" w:type="dxa"/>
            <w:tcBorders>
              <w:top w:val="single" w:sz="1" w:space="0" w:color="C0D0E0"/>
              <w:left w:val="single" w:sz="1" w:space="0" w:color="C0D0E0"/>
              <w:bottom w:val="single" w:sz="1" w:space="0" w:color="C0D0E0"/>
              <w:right w:val="single" w:sz="1" w:space="0" w:color="C0D0E0"/>
            </w:tcBorders>
            <w:shd w:val="clear" w:color="auto" w:fill="FFFFFF"/>
            <w:tcMar>
              <w:top w:w="80" w:type="dxa"/>
              <w:left w:w="100" w:type="dxa"/>
              <w:bottom w:w="80" w:type="dxa"/>
              <w:right w:w="100" w:type="dxa"/>
            </w:tcMar>
          </w:tcPr>
          <w:p w14:paraId="51857DF2" w14:textId="77777777" w:rsidR="00D605FA" w:rsidRDefault="00000000">
            <w:r>
              <w:rPr>
                <w:color w:val="444444"/>
                <w:sz w:val="19"/>
                <w:szCs w:val="19"/>
              </w:rPr>
              <w:t>Enterprise AI, Cloud (Azure), Copilot Platform</w:t>
            </w:r>
          </w:p>
        </w:tc>
        <w:tc>
          <w:tcPr>
            <w:tcW w:w="1000" w:type="dxa"/>
            <w:tcBorders>
              <w:top w:val="single" w:sz="1" w:space="0" w:color="C0D0E0"/>
              <w:left w:val="single" w:sz="1" w:space="0" w:color="C0D0E0"/>
              <w:bottom w:val="single" w:sz="1" w:space="0" w:color="C0D0E0"/>
              <w:right w:val="single" w:sz="1" w:space="0" w:color="C0D0E0"/>
            </w:tcBorders>
            <w:shd w:val="clear" w:color="auto" w:fill="FFFFFF"/>
            <w:tcMar>
              <w:top w:w="80" w:type="dxa"/>
              <w:left w:w="100" w:type="dxa"/>
              <w:bottom w:w="80" w:type="dxa"/>
              <w:right w:w="100" w:type="dxa"/>
            </w:tcMar>
          </w:tcPr>
          <w:p w14:paraId="51857DF3" w14:textId="77777777" w:rsidR="00D605FA" w:rsidRDefault="00000000">
            <w:pPr>
              <w:jc w:val="center"/>
            </w:pPr>
            <w:r>
              <w:rPr>
                <w:b/>
                <w:bCs/>
                <w:color w:val="1A7A4A"/>
                <w:sz w:val="20"/>
                <w:szCs w:val="20"/>
              </w:rPr>
              <w:t>VERY HIGH</w:t>
            </w:r>
          </w:p>
        </w:tc>
        <w:tc>
          <w:tcPr>
            <w:tcW w:w="1500" w:type="dxa"/>
            <w:tcBorders>
              <w:top w:val="single" w:sz="1" w:space="0" w:color="C0D0E0"/>
              <w:left w:val="single" w:sz="1" w:space="0" w:color="C0D0E0"/>
              <w:bottom w:val="single" w:sz="1" w:space="0" w:color="C0D0E0"/>
              <w:right w:val="single" w:sz="1" w:space="0" w:color="C0D0E0"/>
            </w:tcBorders>
            <w:shd w:val="clear" w:color="auto" w:fill="FFFFFF"/>
            <w:tcMar>
              <w:top w:w="80" w:type="dxa"/>
              <w:left w:w="100" w:type="dxa"/>
              <w:bottom w:w="80" w:type="dxa"/>
              <w:right w:w="100" w:type="dxa"/>
            </w:tcMar>
          </w:tcPr>
          <w:p w14:paraId="51857DF4" w14:textId="77777777" w:rsidR="00D605FA" w:rsidRDefault="00000000">
            <w:r>
              <w:rPr>
                <w:color w:val="444444"/>
                <w:sz w:val="19"/>
                <w:szCs w:val="19"/>
              </w:rPr>
              <w:t>Switching Costs + Scale</w:t>
            </w:r>
          </w:p>
        </w:tc>
      </w:tr>
      <w:tr w:rsidR="00D605FA" w14:paraId="51857DFC" w14:textId="77777777">
        <w:tblPrEx>
          <w:tblCellMar>
            <w:top w:w="0" w:type="dxa"/>
            <w:bottom w:w="0" w:type="dxa"/>
          </w:tblCellMar>
        </w:tblPrEx>
        <w:tc>
          <w:tcPr>
            <w:tcW w:w="900" w:type="dxa"/>
            <w:tcBorders>
              <w:top w:val="single" w:sz="1" w:space="0" w:color="C0D0E0"/>
              <w:left w:val="single" w:sz="1" w:space="0" w:color="C0D0E0"/>
              <w:bottom w:val="single" w:sz="1" w:space="0" w:color="C0D0E0"/>
              <w:right w:val="single" w:sz="1" w:space="0" w:color="C0D0E0"/>
            </w:tcBorders>
            <w:shd w:val="clear" w:color="auto" w:fill="D6E4F0"/>
            <w:tcMar>
              <w:top w:w="80" w:type="dxa"/>
              <w:left w:w="100" w:type="dxa"/>
              <w:bottom w:w="80" w:type="dxa"/>
              <w:right w:w="100" w:type="dxa"/>
            </w:tcMar>
          </w:tcPr>
          <w:p w14:paraId="51857DF6" w14:textId="77777777" w:rsidR="00D605FA" w:rsidRDefault="00000000">
            <w:r>
              <w:rPr>
                <w:b/>
                <w:bCs/>
                <w:color w:val="2E6BA8"/>
                <w:sz w:val="20"/>
                <w:szCs w:val="20"/>
              </w:rPr>
              <w:t>GOOG</w:t>
            </w:r>
          </w:p>
        </w:tc>
        <w:tc>
          <w:tcPr>
            <w:tcW w:w="2200" w:type="dxa"/>
            <w:tcBorders>
              <w:top w:val="single" w:sz="1" w:space="0" w:color="C0D0E0"/>
              <w:left w:val="single" w:sz="1" w:space="0" w:color="C0D0E0"/>
              <w:bottom w:val="single" w:sz="1" w:space="0" w:color="C0D0E0"/>
              <w:right w:val="single" w:sz="1" w:space="0" w:color="C0D0E0"/>
            </w:tcBorders>
            <w:shd w:val="clear" w:color="auto" w:fill="D6E4F0"/>
            <w:tcMar>
              <w:top w:w="80" w:type="dxa"/>
              <w:left w:w="100" w:type="dxa"/>
              <w:bottom w:w="80" w:type="dxa"/>
              <w:right w:w="100" w:type="dxa"/>
            </w:tcMar>
          </w:tcPr>
          <w:p w14:paraId="51857DF7" w14:textId="77777777" w:rsidR="00D605FA" w:rsidRDefault="00000000">
            <w:r>
              <w:rPr>
                <w:color w:val="1A1A1A"/>
                <w:sz w:val="20"/>
                <w:szCs w:val="20"/>
              </w:rPr>
              <w:t>Alphabet Inc (Class C)</w:t>
            </w:r>
          </w:p>
        </w:tc>
        <w:tc>
          <w:tcPr>
            <w:tcW w:w="700" w:type="dxa"/>
            <w:tcBorders>
              <w:top w:val="single" w:sz="1" w:space="0" w:color="C0D0E0"/>
              <w:left w:val="single" w:sz="1" w:space="0" w:color="C0D0E0"/>
              <w:bottom w:val="single" w:sz="1" w:space="0" w:color="C0D0E0"/>
              <w:right w:val="single" w:sz="1" w:space="0" w:color="C0D0E0"/>
            </w:tcBorders>
            <w:shd w:val="clear" w:color="auto" w:fill="D6E4F0"/>
            <w:tcMar>
              <w:top w:w="80" w:type="dxa"/>
              <w:left w:w="100" w:type="dxa"/>
              <w:bottom w:w="80" w:type="dxa"/>
              <w:right w:w="100" w:type="dxa"/>
            </w:tcMar>
          </w:tcPr>
          <w:p w14:paraId="51857DF8" w14:textId="77777777" w:rsidR="00D605FA" w:rsidRDefault="00000000">
            <w:pPr>
              <w:jc w:val="center"/>
            </w:pPr>
            <w:r>
              <w:rPr>
                <w:b/>
                <w:bCs/>
                <w:color w:val="1A7A4A"/>
                <w:sz w:val="20"/>
                <w:szCs w:val="20"/>
              </w:rPr>
              <w:t>6%</w:t>
            </w:r>
          </w:p>
        </w:tc>
        <w:tc>
          <w:tcPr>
            <w:tcW w:w="2060" w:type="dxa"/>
            <w:tcBorders>
              <w:top w:val="single" w:sz="1" w:space="0" w:color="C0D0E0"/>
              <w:left w:val="single" w:sz="1" w:space="0" w:color="C0D0E0"/>
              <w:bottom w:val="single" w:sz="1" w:space="0" w:color="C0D0E0"/>
              <w:right w:val="single" w:sz="1" w:space="0" w:color="C0D0E0"/>
            </w:tcBorders>
            <w:shd w:val="clear" w:color="auto" w:fill="D6E4F0"/>
            <w:tcMar>
              <w:top w:w="80" w:type="dxa"/>
              <w:left w:w="100" w:type="dxa"/>
              <w:bottom w:w="80" w:type="dxa"/>
              <w:right w:w="100" w:type="dxa"/>
            </w:tcMar>
          </w:tcPr>
          <w:p w14:paraId="51857DF9" w14:textId="77777777" w:rsidR="00D605FA" w:rsidRDefault="00000000">
            <w:r>
              <w:rPr>
                <w:color w:val="444444"/>
                <w:sz w:val="19"/>
                <w:szCs w:val="19"/>
              </w:rPr>
              <w:t>AI Search, DeepMind, Cloud (GCP)</w:t>
            </w:r>
          </w:p>
        </w:tc>
        <w:tc>
          <w:tcPr>
            <w:tcW w:w="1000" w:type="dxa"/>
            <w:tcBorders>
              <w:top w:val="single" w:sz="1" w:space="0" w:color="C0D0E0"/>
              <w:left w:val="single" w:sz="1" w:space="0" w:color="C0D0E0"/>
              <w:bottom w:val="single" w:sz="1" w:space="0" w:color="C0D0E0"/>
              <w:right w:val="single" w:sz="1" w:space="0" w:color="C0D0E0"/>
            </w:tcBorders>
            <w:shd w:val="clear" w:color="auto" w:fill="D6E4F0"/>
            <w:tcMar>
              <w:top w:w="80" w:type="dxa"/>
              <w:left w:w="100" w:type="dxa"/>
              <w:bottom w:w="80" w:type="dxa"/>
              <w:right w:w="100" w:type="dxa"/>
            </w:tcMar>
          </w:tcPr>
          <w:p w14:paraId="51857DFA" w14:textId="77777777" w:rsidR="00D605FA" w:rsidRDefault="00000000">
            <w:pPr>
              <w:jc w:val="center"/>
            </w:pPr>
            <w:r>
              <w:rPr>
                <w:b/>
                <w:bCs/>
                <w:color w:val="2E6BA8"/>
                <w:sz w:val="20"/>
                <w:szCs w:val="20"/>
              </w:rPr>
              <w:t>HIGH</w:t>
            </w:r>
          </w:p>
        </w:tc>
        <w:tc>
          <w:tcPr>
            <w:tcW w:w="1500" w:type="dxa"/>
            <w:tcBorders>
              <w:top w:val="single" w:sz="1" w:space="0" w:color="C0D0E0"/>
              <w:left w:val="single" w:sz="1" w:space="0" w:color="C0D0E0"/>
              <w:bottom w:val="single" w:sz="1" w:space="0" w:color="C0D0E0"/>
              <w:right w:val="single" w:sz="1" w:space="0" w:color="C0D0E0"/>
            </w:tcBorders>
            <w:shd w:val="clear" w:color="auto" w:fill="D6E4F0"/>
            <w:tcMar>
              <w:top w:w="80" w:type="dxa"/>
              <w:left w:w="100" w:type="dxa"/>
              <w:bottom w:w="80" w:type="dxa"/>
              <w:right w:w="100" w:type="dxa"/>
            </w:tcMar>
          </w:tcPr>
          <w:p w14:paraId="51857DFB" w14:textId="77777777" w:rsidR="00D605FA" w:rsidRDefault="00000000">
            <w:r>
              <w:rPr>
                <w:color w:val="444444"/>
                <w:sz w:val="19"/>
                <w:szCs w:val="19"/>
              </w:rPr>
              <w:t>Data Moat + Scale</w:t>
            </w:r>
          </w:p>
        </w:tc>
      </w:tr>
      <w:tr w:rsidR="00D605FA" w14:paraId="51857E03" w14:textId="77777777">
        <w:tblPrEx>
          <w:tblCellMar>
            <w:top w:w="0" w:type="dxa"/>
            <w:bottom w:w="0" w:type="dxa"/>
          </w:tblCellMar>
        </w:tblPrEx>
        <w:tc>
          <w:tcPr>
            <w:tcW w:w="900" w:type="dxa"/>
            <w:tcBorders>
              <w:top w:val="single" w:sz="1" w:space="0" w:color="C0D0E0"/>
              <w:left w:val="single" w:sz="1" w:space="0" w:color="C0D0E0"/>
              <w:bottom w:val="single" w:sz="1" w:space="0" w:color="C0D0E0"/>
              <w:right w:val="single" w:sz="1" w:space="0" w:color="C0D0E0"/>
            </w:tcBorders>
            <w:shd w:val="clear" w:color="auto" w:fill="FFFFFF"/>
            <w:tcMar>
              <w:top w:w="80" w:type="dxa"/>
              <w:left w:w="100" w:type="dxa"/>
              <w:bottom w:w="80" w:type="dxa"/>
              <w:right w:w="100" w:type="dxa"/>
            </w:tcMar>
          </w:tcPr>
          <w:p w14:paraId="51857DFD" w14:textId="77777777" w:rsidR="00D605FA" w:rsidRDefault="00000000">
            <w:r>
              <w:rPr>
                <w:b/>
                <w:bCs/>
                <w:color w:val="2E6BA8"/>
                <w:sz w:val="20"/>
                <w:szCs w:val="20"/>
              </w:rPr>
              <w:t>TSM</w:t>
            </w:r>
          </w:p>
        </w:tc>
        <w:tc>
          <w:tcPr>
            <w:tcW w:w="2200" w:type="dxa"/>
            <w:tcBorders>
              <w:top w:val="single" w:sz="1" w:space="0" w:color="C0D0E0"/>
              <w:left w:val="single" w:sz="1" w:space="0" w:color="C0D0E0"/>
              <w:bottom w:val="single" w:sz="1" w:space="0" w:color="C0D0E0"/>
              <w:right w:val="single" w:sz="1" w:space="0" w:color="C0D0E0"/>
            </w:tcBorders>
            <w:shd w:val="clear" w:color="auto" w:fill="FFFFFF"/>
            <w:tcMar>
              <w:top w:w="80" w:type="dxa"/>
              <w:left w:w="100" w:type="dxa"/>
              <w:bottom w:w="80" w:type="dxa"/>
              <w:right w:w="100" w:type="dxa"/>
            </w:tcMar>
          </w:tcPr>
          <w:p w14:paraId="51857DFE" w14:textId="77777777" w:rsidR="00D605FA" w:rsidRDefault="00000000">
            <w:r>
              <w:rPr>
                <w:color w:val="1A1A1A"/>
                <w:sz w:val="20"/>
                <w:szCs w:val="20"/>
              </w:rPr>
              <w:t>TSMC (ADR)</w:t>
            </w:r>
          </w:p>
        </w:tc>
        <w:tc>
          <w:tcPr>
            <w:tcW w:w="700" w:type="dxa"/>
            <w:tcBorders>
              <w:top w:val="single" w:sz="1" w:space="0" w:color="C0D0E0"/>
              <w:left w:val="single" w:sz="1" w:space="0" w:color="C0D0E0"/>
              <w:bottom w:val="single" w:sz="1" w:space="0" w:color="C0D0E0"/>
              <w:right w:val="single" w:sz="1" w:space="0" w:color="C0D0E0"/>
            </w:tcBorders>
            <w:shd w:val="clear" w:color="auto" w:fill="FFFFFF"/>
            <w:tcMar>
              <w:top w:w="80" w:type="dxa"/>
              <w:left w:w="100" w:type="dxa"/>
              <w:bottom w:w="80" w:type="dxa"/>
              <w:right w:w="100" w:type="dxa"/>
            </w:tcMar>
          </w:tcPr>
          <w:p w14:paraId="51857DFF" w14:textId="77777777" w:rsidR="00D605FA" w:rsidRDefault="00000000">
            <w:pPr>
              <w:jc w:val="center"/>
            </w:pPr>
            <w:r>
              <w:rPr>
                <w:b/>
                <w:bCs/>
                <w:color w:val="1A7A4A"/>
                <w:sz w:val="20"/>
                <w:szCs w:val="20"/>
              </w:rPr>
              <w:t>6%</w:t>
            </w:r>
          </w:p>
        </w:tc>
        <w:tc>
          <w:tcPr>
            <w:tcW w:w="2060" w:type="dxa"/>
            <w:tcBorders>
              <w:top w:val="single" w:sz="1" w:space="0" w:color="C0D0E0"/>
              <w:left w:val="single" w:sz="1" w:space="0" w:color="C0D0E0"/>
              <w:bottom w:val="single" w:sz="1" w:space="0" w:color="C0D0E0"/>
              <w:right w:val="single" w:sz="1" w:space="0" w:color="C0D0E0"/>
            </w:tcBorders>
            <w:shd w:val="clear" w:color="auto" w:fill="FFFFFF"/>
            <w:tcMar>
              <w:top w:w="80" w:type="dxa"/>
              <w:left w:w="100" w:type="dxa"/>
              <w:bottom w:w="80" w:type="dxa"/>
              <w:right w:w="100" w:type="dxa"/>
            </w:tcMar>
          </w:tcPr>
          <w:p w14:paraId="51857E00" w14:textId="77777777" w:rsidR="00D605FA" w:rsidRDefault="00000000">
            <w:r>
              <w:rPr>
                <w:color w:val="444444"/>
                <w:sz w:val="19"/>
                <w:szCs w:val="19"/>
              </w:rPr>
              <w:t>Advanced Semiconductor Manufacturing</w:t>
            </w:r>
          </w:p>
        </w:tc>
        <w:tc>
          <w:tcPr>
            <w:tcW w:w="1000" w:type="dxa"/>
            <w:tcBorders>
              <w:top w:val="single" w:sz="1" w:space="0" w:color="C0D0E0"/>
              <w:left w:val="single" w:sz="1" w:space="0" w:color="C0D0E0"/>
              <w:bottom w:val="single" w:sz="1" w:space="0" w:color="C0D0E0"/>
              <w:right w:val="single" w:sz="1" w:space="0" w:color="C0D0E0"/>
            </w:tcBorders>
            <w:shd w:val="clear" w:color="auto" w:fill="FFFFFF"/>
            <w:tcMar>
              <w:top w:w="80" w:type="dxa"/>
              <w:left w:w="100" w:type="dxa"/>
              <w:bottom w:w="80" w:type="dxa"/>
              <w:right w:w="100" w:type="dxa"/>
            </w:tcMar>
          </w:tcPr>
          <w:p w14:paraId="51857E01" w14:textId="77777777" w:rsidR="00D605FA" w:rsidRDefault="00000000">
            <w:pPr>
              <w:jc w:val="center"/>
            </w:pPr>
            <w:r>
              <w:rPr>
                <w:b/>
                <w:bCs/>
                <w:color w:val="1A7A4A"/>
                <w:sz w:val="20"/>
                <w:szCs w:val="20"/>
              </w:rPr>
              <w:t>VERY HIGH</w:t>
            </w:r>
          </w:p>
        </w:tc>
        <w:tc>
          <w:tcPr>
            <w:tcW w:w="1500" w:type="dxa"/>
            <w:tcBorders>
              <w:top w:val="single" w:sz="1" w:space="0" w:color="C0D0E0"/>
              <w:left w:val="single" w:sz="1" w:space="0" w:color="C0D0E0"/>
              <w:bottom w:val="single" w:sz="1" w:space="0" w:color="C0D0E0"/>
              <w:right w:val="single" w:sz="1" w:space="0" w:color="C0D0E0"/>
            </w:tcBorders>
            <w:shd w:val="clear" w:color="auto" w:fill="FFFFFF"/>
            <w:tcMar>
              <w:top w:w="80" w:type="dxa"/>
              <w:left w:w="100" w:type="dxa"/>
              <w:bottom w:w="80" w:type="dxa"/>
              <w:right w:w="100" w:type="dxa"/>
            </w:tcMar>
          </w:tcPr>
          <w:p w14:paraId="51857E02" w14:textId="77777777" w:rsidR="00D605FA" w:rsidRDefault="00000000">
            <w:r>
              <w:rPr>
                <w:color w:val="444444"/>
                <w:sz w:val="19"/>
                <w:szCs w:val="19"/>
              </w:rPr>
              <w:t>Scale + Technical IP</w:t>
            </w:r>
          </w:p>
        </w:tc>
      </w:tr>
      <w:tr w:rsidR="00D605FA" w14:paraId="51857E0A" w14:textId="77777777">
        <w:tblPrEx>
          <w:tblCellMar>
            <w:top w:w="0" w:type="dxa"/>
            <w:bottom w:w="0" w:type="dxa"/>
          </w:tblCellMar>
        </w:tblPrEx>
        <w:tc>
          <w:tcPr>
            <w:tcW w:w="900" w:type="dxa"/>
            <w:tcBorders>
              <w:top w:val="single" w:sz="1" w:space="0" w:color="C0D0E0"/>
              <w:left w:val="single" w:sz="1" w:space="0" w:color="C0D0E0"/>
              <w:bottom w:val="single" w:sz="1" w:space="0" w:color="C0D0E0"/>
              <w:right w:val="single" w:sz="1" w:space="0" w:color="C0D0E0"/>
            </w:tcBorders>
            <w:shd w:val="clear" w:color="auto" w:fill="D6E4F0"/>
            <w:tcMar>
              <w:top w:w="80" w:type="dxa"/>
              <w:left w:w="100" w:type="dxa"/>
              <w:bottom w:w="80" w:type="dxa"/>
              <w:right w:w="100" w:type="dxa"/>
            </w:tcMar>
          </w:tcPr>
          <w:p w14:paraId="51857E04" w14:textId="77777777" w:rsidR="00D605FA" w:rsidRDefault="00000000">
            <w:r>
              <w:rPr>
                <w:b/>
                <w:bCs/>
                <w:color w:val="2E6BA8"/>
                <w:sz w:val="20"/>
                <w:szCs w:val="20"/>
              </w:rPr>
              <w:t>TSLA</w:t>
            </w:r>
          </w:p>
        </w:tc>
        <w:tc>
          <w:tcPr>
            <w:tcW w:w="2200" w:type="dxa"/>
            <w:tcBorders>
              <w:top w:val="single" w:sz="1" w:space="0" w:color="C0D0E0"/>
              <w:left w:val="single" w:sz="1" w:space="0" w:color="C0D0E0"/>
              <w:bottom w:val="single" w:sz="1" w:space="0" w:color="C0D0E0"/>
              <w:right w:val="single" w:sz="1" w:space="0" w:color="C0D0E0"/>
            </w:tcBorders>
            <w:shd w:val="clear" w:color="auto" w:fill="D6E4F0"/>
            <w:tcMar>
              <w:top w:w="80" w:type="dxa"/>
              <w:left w:w="100" w:type="dxa"/>
              <w:bottom w:w="80" w:type="dxa"/>
              <w:right w:w="100" w:type="dxa"/>
            </w:tcMar>
          </w:tcPr>
          <w:p w14:paraId="51857E05" w14:textId="77777777" w:rsidR="00D605FA" w:rsidRDefault="00000000">
            <w:r>
              <w:rPr>
                <w:color w:val="1A1A1A"/>
                <w:sz w:val="20"/>
                <w:szCs w:val="20"/>
              </w:rPr>
              <w:t>Tesla Inc</w:t>
            </w:r>
          </w:p>
        </w:tc>
        <w:tc>
          <w:tcPr>
            <w:tcW w:w="700" w:type="dxa"/>
            <w:tcBorders>
              <w:top w:val="single" w:sz="1" w:space="0" w:color="C0D0E0"/>
              <w:left w:val="single" w:sz="1" w:space="0" w:color="C0D0E0"/>
              <w:bottom w:val="single" w:sz="1" w:space="0" w:color="C0D0E0"/>
              <w:right w:val="single" w:sz="1" w:space="0" w:color="C0D0E0"/>
            </w:tcBorders>
            <w:shd w:val="clear" w:color="auto" w:fill="D6E4F0"/>
            <w:tcMar>
              <w:top w:w="80" w:type="dxa"/>
              <w:left w:w="100" w:type="dxa"/>
              <w:bottom w:w="80" w:type="dxa"/>
              <w:right w:w="100" w:type="dxa"/>
            </w:tcMar>
          </w:tcPr>
          <w:p w14:paraId="51857E06" w14:textId="77777777" w:rsidR="00D605FA" w:rsidRDefault="00000000">
            <w:pPr>
              <w:jc w:val="center"/>
            </w:pPr>
            <w:r>
              <w:rPr>
                <w:b/>
                <w:bCs/>
                <w:color w:val="1A7A4A"/>
                <w:sz w:val="20"/>
                <w:szCs w:val="20"/>
              </w:rPr>
              <w:t>6%</w:t>
            </w:r>
          </w:p>
        </w:tc>
        <w:tc>
          <w:tcPr>
            <w:tcW w:w="2060" w:type="dxa"/>
            <w:tcBorders>
              <w:top w:val="single" w:sz="1" w:space="0" w:color="C0D0E0"/>
              <w:left w:val="single" w:sz="1" w:space="0" w:color="C0D0E0"/>
              <w:bottom w:val="single" w:sz="1" w:space="0" w:color="C0D0E0"/>
              <w:right w:val="single" w:sz="1" w:space="0" w:color="C0D0E0"/>
            </w:tcBorders>
            <w:shd w:val="clear" w:color="auto" w:fill="D6E4F0"/>
            <w:tcMar>
              <w:top w:w="80" w:type="dxa"/>
              <w:left w:w="100" w:type="dxa"/>
              <w:bottom w:w="80" w:type="dxa"/>
              <w:right w:w="100" w:type="dxa"/>
            </w:tcMar>
          </w:tcPr>
          <w:p w14:paraId="51857E07" w14:textId="77777777" w:rsidR="00D605FA" w:rsidRDefault="00000000">
            <w:r>
              <w:rPr>
                <w:color w:val="444444"/>
                <w:sz w:val="19"/>
                <w:szCs w:val="19"/>
              </w:rPr>
              <w:t>Autonomy, Robotics (Optimus) &amp; Energy Storage</w:t>
            </w:r>
          </w:p>
        </w:tc>
        <w:tc>
          <w:tcPr>
            <w:tcW w:w="1000" w:type="dxa"/>
            <w:tcBorders>
              <w:top w:val="single" w:sz="1" w:space="0" w:color="C0D0E0"/>
              <w:left w:val="single" w:sz="1" w:space="0" w:color="C0D0E0"/>
              <w:bottom w:val="single" w:sz="1" w:space="0" w:color="C0D0E0"/>
              <w:right w:val="single" w:sz="1" w:space="0" w:color="C0D0E0"/>
            </w:tcBorders>
            <w:shd w:val="clear" w:color="auto" w:fill="D6E4F0"/>
            <w:tcMar>
              <w:top w:w="80" w:type="dxa"/>
              <w:left w:w="100" w:type="dxa"/>
              <w:bottom w:w="80" w:type="dxa"/>
              <w:right w:w="100" w:type="dxa"/>
            </w:tcMar>
          </w:tcPr>
          <w:p w14:paraId="51857E08" w14:textId="77777777" w:rsidR="00D605FA" w:rsidRDefault="00000000">
            <w:pPr>
              <w:jc w:val="center"/>
            </w:pPr>
            <w:r>
              <w:rPr>
                <w:b/>
                <w:bCs/>
                <w:color w:val="2E6BA8"/>
                <w:sz w:val="20"/>
                <w:szCs w:val="20"/>
              </w:rPr>
              <w:t>HIGH</w:t>
            </w:r>
          </w:p>
        </w:tc>
        <w:tc>
          <w:tcPr>
            <w:tcW w:w="1500" w:type="dxa"/>
            <w:tcBorders>
              <w:top w:val="single" w:sz="1" w:space="0" w:color="C0D0E0"/>
              <w:left w:val="single" w:sz="1" w:space="0" w:color="C0D0E0"/>
              <w:bottom w:val="single" w:sz="1" w:space="0" w:color="C0D0E0"/>
              <w:right w:val="single" w:sz="1" w:space="0" w:color="C0D0E0"/>
            </w:tcBorders>
            <w:shd w:val="clear" w:color="auto" w:fill="D6E4F0"/>
            <w:tcMar>
              <w:top w:w="80" w:type="dxa"/>
              <w:left w:w="100" w:type="dxa"/>
              <w:bottom w:w="80" w:type="dxa"/>
              <w:right w:w="100" w:type="dxa"/>
            </w:tcMar>
          </w:tcPr>
          <w:p w14:paraId="51857E09" w14:textId="77777777" w:rsidR="00D605FA" w:rsidRDefault="00000000">
            <w:r>
              <w:rPr>
                <w:color w:val="444444"/>
                <w:sz w:val="19"/>
                <w:szCs w:val="19"/>
              </w:rPr>
              <w:t>Data + First Mover</w:t>
            </w:r>
          </w:p>
        </w:tc>
      </w:tr>
      <w:tr w:rsidR="00D605FA" w14:paraId="51857E11" w14:textId="77777777">
        <w:tblPrEx>
          <w:tblCellMar>
            <w:top w:w="0" w:type="dxa"/>
            <w:bottom w:w="0" w:type="dxa"/>
          </w:tblCellMar>
        </w:tblPrEx>
        <w:tc>
          <w:tcPr>
            <w:tcW w:w="900" w:type="dxa"/>
            <w:tcBorders>
              <w:top w:val="single" w:sz="1" w:space="0" w:color="C0D0E0"/>
              <w:left w:val="single" w:sz="1" w:space="0" w:color="C0D0E0"/>
              <w:bottom w:val="single" w:sz="1" w:space="0" w:color="C0D0E0"/>
              <w:right w:val="single" w:sz="1" w:space="0" w:color="C0D0E0"/>
            </w:tcBorders>
            <w:shd w:val="clear" w:color="auto" w:fill="FFFFFF"/>
            <w:tcMar>
              <w:top w:w="80" w:type="dxa"/>
              <w:left w:w="100" w:type="dxa"/>
              <w:bottom w:w="80" w:type="dxa"/>
              <w:right w:w="100" w:type="dxa"/>
            </w:tcMar>
          </w:tcPr>
          <w:p w14:paraId="51857E0B" w14:textId="77777777" w:rsidR="00D605FA" w:rsidRDefault="00000000">
            <w:r>
              <w:rPr>
                <w:b/>
                <w:bCs/>
                <w:color w:val="2E6BA8"/>
                <w:sz w:val="20"/>
                <w:szCs w:val="20"/>
              </w:rPr>
              <w:t>LLY</w:t>
            </w:r>
          </w:p>
        </w:tc>
        <w:tc>
          <w:tcPr>
            <w:tcW w:w="2200" w:type="dxa"/>
            <w:tcBorders>
              <w:top w:val="single" w:sz="1" w:space="0" w:color="C0D0E0"/>
              <w:left w:val="single" w:sz="1" w:space="0" w:color="C0D0E0"/>
              <w:bottom w:val="single" w:sz="1" w:space="0" w:color="C0D0E0"/>
              <w:right w:val="single" w:sz="1" w:space="0" w:color="C0D0E0"/>
            </w:tcBorders>
            <w:shd w:val="clear" w:color="auto" w:fill="FFFFFF"/>
            <w:tcMar>
              <w:top w:w="80" w:type="dxa"/>
              <w:left w:w="100" w:type="dxa"/>
              <w:bottom w:w="80" w:type="dxa"/>
              <w:right w:w="100" w:type="dxa"/>
            </w:tcMar>
          </w:tcPr>
          <w:p w14:paraId="51857E0C" w14:textId="77777777" w:rsidR="00D605FA" w:rsidRDefault="00000000">
            <w:r>
              <w:rPr>
                <w:color w:val="1A1A1A"/>
                <w:sz w:val="20"/>
                <w:szCs w:val="20"/>
              </w:rPr>
              <w:t>Eli Lilly &amp; Company</w:t>
            </w:r>
          </w:p>
        </w:tc>
        <w:tc>
          <w:tcPr>
            <w:tcW w:w="700" w:type="dxa"/>
            <w:tcBorders>
              <w:top w:val="single" w:sz="1" w:space="0" w:color="C0D0E0"/>
              <w:left w:val="single" w:sz="1" w:space="0" w:color="C0D0E0"/>
              <w:bottom w:val="single" w:sz="1" w:space="0" w:color="C0D0E0"/>
              <w:right w:val="single" w:sz="1" w:space="0" w:color="C0D0E0"/>
            </w:tcBorders>
            <w:shd w:val="clear" w:color="auto" w:fill="FFFFFF"/>
            <w:tcMar>
              <w:top w:w="80" w:type="dxa"/>
              <w:left w:w="100" w:type="dxa"/>
              <w:bottom w:w="80" w:type="dxa"/>
              <w:right w:w="100" w:type="dxa"/>
            </w:tcMar>
          </w:tcPr>
          <w:p w14:paraId="51857E0D" w14:textId="77777777" w:rsidR="00D605FA" w:rsidRDefault="00000000">
            <w:pPr>
              <w:jc w:val="center"/>
            </w:pPr>
            <w:r>
              <w:rPr>
                <w:b/>
                <w:bCs/>
                <w:color w:val="1A7A4A"/>
                <w:sz w:val="20"/>
                <w:szCs w:val="20"/>
              </w:rPr>
              <w:t>6%</w:t>
            </w:r>
          </w:p>
        </w:tc>
        <w:tc>
          <w:tcPr>
            <w:tcW w:w="2060" w:type="dxa"/>
            <w:tcBorders>
              <w:top w:val="single" w:sz="1" w:space="0" w:color="C0D0E0"/>
              <w:left w:val="single" w:sz="1" w:space="0" w:color="C0D0E0"/>
              <w:bottom w:val="single" w:sz="1" w:space="0" w:color="C0D0E0"/>
              <w:right w:val="single" w:sz="1" w:space="0" w:color="C0D0E0"/>
            </w:tcBorders>
            <w:shd w:val="clear" w:color="auto" w:fill="FFFFFF"/>
            <w:tcMar>
              <w:top w:w="80" w:type="dxa"/>
              <w:left w:w="100" w:type="dxa"/>
              <w:bottom w:w="80" w:type="dxa"/>
              <w:right w:w="100" w:type="dxa"/>
            </w:tcMar>
          </w:tcPr>
          <w:p w14:paraId="51857E0E" w14:textId="77777777" w:rsidR="00D605FA" w:rsidRDefault="00000000">
            <w:r>
              <w:rPr>
                <w:color w:val="444444"/>
                <w:sz w:val="19"/>
                <w:szCs w:val="19"/>
              </w:rPr>
              <w:t>GLP-1 / Obesity, AI Drug Discovery</w:t>
            </w:r>
          </w:p>
        </w:tc>
        <w:tc>
          <w:tcPr>
            <w:tcW w:w="1000" w:type="dxa"/>
            <w:tcBorders>
              <w:top w:val="single" w:sz="1" w:space="0" w:color="C0D0E0"/>
              <w:left w:val="single" w:sz="1" w:space="0" w:color="C0D0E0"/>
              <w:bottom w:val="single" w:sz="1" w:space="0" w:color="C0D0E0"/>
              <w:right w:val="single" w:sz="1" w:space="0" w:color="C0D0E0"/>
            </w:tcBorders>
            <w:shd w:val="clear" w:color="auto" w:fill="FFFFFF"/>
            <w:tcMar>
              <w:top w:w="80" w:type="dxa"/>
              <w:left w:w="100" w:type="dxa"/>
              <w:bottom w:w="80" w:type="dxa"/>
              <w:right w:w="100" w:type="dxa"/>
            </w:tcMar>
          </w:tcPr>
          <w:p w14:paraId="51857E0F" w14:textId="77777777" w:rsidR="00D605FA" w:rsidRDefault="00000000">
            <w:pPr>
              <w:jc w:val="center"/>
            </w:pPr>
            <w:r>
              <w:rPr>
                <w:b/>
                <w:bCs/>
                <w:color w:val="2E6BA8"/>
                <w:sz w:val="20"/>
                <w:szCs w:val="20"/>
              </w:rPr>
              <w:t>HIGH</w:t>
            </w:r>
          </w:p>
        </w:tc>
        <w:tc>
          <w:tcPr>
            <w:tcW w:w="1500" w:type="dxa"/>
            <w:tcBorders>
              <w:top w:val="single" w:sz="1" w:space="0" w:color="C0D0E0"/>
              <w:left w:val="single" w:sz="1" w:space="0" w:color="C0D0E0"/>
              <w:bottom w:val="single" w:sz="1" w:space="0" w:color="C0D0E0"/>
              <w:right w:val="single" w:sz="1" w:space="0" w:color="C0D0E0"/>
            </w:tcBorders>
            <w:shd w:val="clear" w:color="auto" w:fill="FFFFFF"/>
            <w:tcMar>
              <w:top w:w="80" w:type="dxa"/>
              <w:left w:w="100" w:type="dxa"/>
              <w:bottom w:w="80" w:type="dxa"/>
              <w:right w:w="100" w:type="dxa"/>
            </w:tcMar>
          </w:tcPr>
          <w:p w14:paraId="51857E10" w14:textId="77777777" w:rsidR="00D605FA" w:rsidRDefault="00000000">
            <w:r>
              <w:rPr>
                <w:color w:val="444444"/>
                <w:sz w:val="19"/>
                <w:szCs w:val="19"/>
              </w:rPr>
              <w:t>IP + R&amp;D Pipeline</w:t>
            </w:r>
          </w:p>
        </w:tc>
      </w:tr>
      <w:tr w:rsidR="00D605FA" w14:paraId="51857E18" w14:textId="77777777">
        <w:tblPrEx>
          <w:tblCellMar>
            <w:top w:w="0" w:type="dxa"/>
            <w:bottom w:w="0" w:type="dxa"/>
          </w:tblCellMar>
        </w:tblPrEx>
        <w:tc>
          <w:tcPr>
            <w:tcW w:w="900" w:type="dxa"/>
            <w:tcBorders>
              <w:top w:val="single" w:sz="1" w:space="0" w:color="C0D0E0"/>
              <w:left w:val="single" w:sz="1" w:space="0" w:color="C0D0E0"/>
              <w:bottom w:val="single" w:sz="1" w:space="0" w:color="C0D0E0"/>
              <w:right w:val="single" w:sz="1" w:space="0" w:color="C0D0E0"/>
            </w:tcBorders>
            <w:shd w:val="clear" w:color="auto" w:fill="D6E4F0"/>
            <w:tcMar>
              <w:top w:w="80" w:type="dxa"/>
              <w:left w:w="100" w:type="dxa"/>
              <w:bottom w:w="80" w:type="dxa"/>
              <w:right w:w="100" w:type="dxa"/>
            </w:tcMar>
          </w:tcPr>
          <w:p w14:paraId="51857E12" w14:textId="77777777" w:rsidR="00D605FA" w:rsidRDefault="00000000">
            <w:r>
              <w:rPr>
                <w:b/>
                <w:bCs/>
                <w:color w:val="2E6BA8"/>
                <w:sz w:val="20"/>
                <w:szCs w:val="20"/>
              </w:rPr>
              <w:t>NEE</w:t>
            </w:r>
          </w:p>
        </w:tc>
        <w:tc>
          <w:tcPr>
            <w:tcW w:w="2200" w:type="dxa"/>
            <w:tcBorders>
              <w:top w:val="single" w:sz="1" w:space="0" w:color="C0D0E0"/>
              <w:left w:val="single" w:sz="1" w:space="0" w:color="C0D0E0"/>
              <w:bottom w:val="single" w:sz="1" w:space="0" w:color="C0D0E0"/>
              <w:right w:val="single" w:sz="1" w:space="0" w:color="C0D0E0"/>
            </w:tcBorders>
            <w:shd w:val="clear" w:color="auto" w:fill="D6E4F0"/>
            <w:tcMar>
              <w:top w:w="80" w:type="dxa"/>
              <w:left w:w="100" w:type="dxa"/>
              <w:bottom w:w="80" w:type="dxa"/>
              <w:right w:w="100" w:type="dxa"/>
            </w:tcMar>
          </w:tcPr>
          <w:p w14:paraId="51857E13" w14:textId="77777777" w:rsidR="00D605FA" w:rsidRDefault="00000000">
            <w:r>
              <w:rPr>
                <w:color w:val="1A1A1A"/>
                <w:sz w:val="20"/>
                <w:szCs w:val="20"/>
              </w:rPr>
              <w:t>NextEra Energy Inc</w:t>
            </w:r>
          </w:p>
        </w:tc>
        <w:tc>
          <w:tcPr>
            <w:tcW w:w="700" w:type="dxa"/>
            <w:tcBorders>
              <w:top w:val="single" w:sz="1" w:space="0" w:color="C0D0E0"/>
              <w:left w:val="single" w:sz="1" w:space="0" w:color="C0D0E0"/>
              <w:bottom w:val="single" w:sz="1" w:space="0" w:color="C0D0E0"/>
              <w:right w:val="single" w:sz="1" w:space="0" w:color="C0D0E0"/>
            </w:tcBorders>
            <w:shd w:val="clear" w:color="auto" w:fill="D6E4F0"/>
            <w:tcMar>
              <w:top w:w="80" w:type="dxa"/>
              <w:left w:w="100" w:type="dxa"/>
              <w:bottom w:w="80" w:type="dxa"/>
              <w:right w:w="100" w:type="dxa"/>
            </w:tcMar>
          </w:tcPr>
          <w:p w14:paraId="51857E14" w14:textId="77777777" w:rsidR="00D605FA" w:rsidRDefault="00000000">
            <w:pPr>
              <w:jc w:val="center"/>
            </w:pPr>
            <w:r>
              <w:rPr>
                <w:b/>
                <w:bCs/>
                <w:color w:val="1A7A4A"/>
                <w:sz w:val="20"/>
                <w:szCs w:val="20"/>
              </w:rPr>
              <w:t>6%</w:t>
            </w:r>
          </w:p>
        </w:tc>
        <w:tc>
          <w:tcPr>
            <w:tcW w:w="2060" w:type="dxa"/>
            <w:tcBorders>
              <w:top w:val="single" w:sz="1" w:space="0" w:color="C0D0E0"/>
              <w:left w:val="single" w:sz="1" w:space="0" w:color="C0D0E0"/>
              <w:bottom w:val="single" w:sz="1" w:space="0" w:color="C0D0E0"/>
              <w:right w:val="single" w:sz="1" w:space="0" w:color="C0D0E0"/>
            </w:tcBorders>
            <w:shd w:val="clear" w:color="auto" w:fill="D6E4F0"/>
            <w:tcMar>
              <w:top w:w="80" w:type="dxa"/>
              <w:left w:w="100" w:type="dxa"/>
              <w:bottom w:w="80" w:type="dxa"/>
              <w:right w:w="100" w:type="dxa"/>
            </w:tcMar>
          </w:tcPr>
          <w:p w14:paraId="51857E15" w14:textId="77777777" w:rsidR="00D605FA" w:rsidRDefault="00000000">
            <w:r>
              <w:rPr>
                <w:color w:val="444444"/>
                <w:sz w:val="19"/>
                <w:szCs w:val="19"/>
              </w:rPr>
              <w:t>Clean Energy - Power Infrastructure for AI Era</w:t>
            </w:r>
          </w:p>
        </w:tc>
        <w:tc>
          <w:tcPr>
            <w:tcW w:w="1000" w:type="dxa"/>
            <w:tcBorders>
              <w:top w:val="single" w:sz="1" w:space="0" w:color="C0D0E0"/>
              <w:left w:val="single" w:sz="1" w:space="0" w:color="C0D0E0"/>
              <w:bottom w:val="single" w:sz="1" w:space="0" w:color="C0D0E0"/>
              <w:right w:val="single" w:sz="1" w:space="0" w:color="C0D0E0"/>
            </w:tcBorders>
            <w:shd w:val="clear" w:color="auto" w:fill="D6E4F0"/>
            <w:tcMar>
              <w:top w:w="80" w:type="dxa"/>
              <w:left w:w="100" w:type="dxa"/>
              <w:bottom w:w="80" w:type="dxa"/>
              <w:right w:w="100" w:type="dxa"/>
            </w:tcMar>
          </w:tcPr>
          <w:p w14:paraId="51857E16" w14:textId="77777777" w:rsidR="00D605FA" w:rsidRDefault="00000000">
            <w:pPr>
              <w:jc w:val="center"/>
            </w:pPr>
            <w:r>
              <w:rPr>
                <w:b/>
                <w:bCs/>
                <w:color w:val="2E6BA8"/>
                <w:sz w:val="20"/>
                <w:szCs w:val="20"/>
              </w:rPr>
              <w:t>HIGH</w:t>
            </w:r>
          </w:p>
        </w:tc>
        <w:tc>
          <w:tcPr>
            <w:tcW w:w="1500" w:type="dxa"/>
            <w:tcBorders>
              <w:top w:val="single" w:sz="1" w:space="0" w:color="C0D0E0"/>
              <w:left w:val="single" w:sz="1" w:space="0" w:color="C0D0E0"/>
              <w:bottom w:val="single" w:sz="1" w:space="0" w:color="C0D0E0"/>
              <w:right w:val="single" w:sz="1" w:space="0" w:color="C0D0E0"/>
            </w:tcBorders>
            <w:shd w:val="clear" w:color="auto" w:fill="D6E4F0"/>
            <w:tcMar>
              <w:top w:w="80" w:type="dxa"/>
              <w:left w:w="100" w:type="dxa"/>
              <w:bottom w:w="80" w:type="dxa"/>
              <w:right w:w="100" w:type="dxa"/>
            </w:tcMar>
          </w:tcPr>
          <w:p w14:paraId="51857E17" w14:textId="77777777" w:rsidR="00D605FA" w:rsidRDefault="00000000">
            <w:r>
              <w:rPr>
                <w:color w:val="444444"/>
                <w:sz w:val="19"/>
                <w:szCs w:val="19"/>
              </w:rPr>
              <w:t>Regulated + Scale</w:t>
            </w:r>
          </w:p>
        </w:tc>
      </w:tr>
      <w:tr w:rsidR="00D605FA" w14:paraId="51857E1F" w14:textId="77777777">
        <w:tblPrEx>
          <w:tblCellMar>
            <w:top w:w="0" w:type="dxa"/>
            <w:bottom w:w="0" w:type="dxa"/>
          </w:tblCellMar>
        </w:tblPrEx>
        <w:tc>
          <w:tcPr>
            <w:tcW w:w="900" w:type="dxa"/>
            <w:tcBorders>
              <w:top w:val="single" w:sz="1" w:space="0" w:color="C0D0E0"/>
              <w:left w:val="single" w:sz="1" w:space="0" w:color="C0D0E0"/>
              <w:bottom w:val="single" w:sz="1" w:space="0" w:color="C0D0E0"/>
              <w:right w:val="single" w:sz="1" w:space="0" w:color="C0D0E0"/>
            </w:tcBorders>
            <w:shd w:val="clear" w:color="auto" w:fill="FFFFFF"/>
            <w:tcMar>
              <w:top w:w="80" w:type="dxa"/>
              <w:left w:w="100" w:type="dxa"/>
              <w:bottom w:w="80" w:type="dxa"/>
              <w:right w:w="100" w:type="dxa"/>
            </w:tcMar>
          </w:tcPr>
          <w:p w14:paraId="51857E19" w14:textId="77777777" w:rsidR="00D605FA" w:rsidRDefault="00000000">
            <w:r>
              <w:rPr>
                <w:b/>
                <w:bCs/>
                <w:color w:val="2E6BA8"/>
                <w:sz w:val="20"/>
                <w:szCs w:val="20"/>
              </w:rPr>
              <w:t>DE</w:t>
            </w:r>
          </w:p>
        </w:tc>
        <w:tc>
          <w:tcPr>
            <w:tcW w:w="2200" w:type="dxa"/>
            <w:tcBorders>
              <w:top w:val="single" w:sz="1" w:space="0" w:color="C0D0E0"/>
              <w:left w:val="single" w:sz="1" w:space="0" w:color="C0D0E0"/>
              <w:bottom w:val="single" w:sz="1" w:space="0" w:color="C0D0E0"/>
              <w:right w:val="single" w:sz="1" w:space="0" w:color="C0D0E0"/>
            </w:tcBorders>
            <w:shd w:val="clear" w:color="auto" w:fill="FFFFFF"/>
            <w:tcMar>
              <w:top w:w="80" w:type="dxa"/>
              <w:left w:w="100" w:type="dxa"/>
              <w:bottom w:w="80" w:type="dxa"/>
              <w:right w:w="100" w:type="dxa"/>
            </w:tcMar>
          </w:tcPr>
          <w:p w14:paraId="51857E1A" w14:textId="77777777" w:rsidR="00D605FA" w:rsidRDefault="00000000">
            <w:r>
              <w:rPr>
                <w:color w:val="1A1A1A"/>
                <w:sz w:val="20"/>
                <w:szCs w:val="20"/>
              </w:rPr>
              <w:t>Deere &amp; Company</w:t>
            </w:r>
          </w:p>
        </w:tc>
        <w:tc>
          <w:tcPr>
            <w:tcW w:w="700" w:type="dxa"/>
            <w:tcBorders>
              <w:top w:val="single" w:sz="1" w:space="0" w:color="C0D0E0"/>
              <w:left w:val="single" w:sz="1" w:space="0" w:color="C0D0E0"/>
              <w:bottom w:val="single" w:sz="1" w:space="0" w:color="C0D0E0"/>
              <w:right w:val="single" w:sz="1" w:space="0" w:color="C0D0E0"/>
            </w:tcBorders>
            <w:shd w:val="clear" w:color="auto" w:fill="FFFFFF"/>
            <w:tcMar>
              <w:top w:w="80" w:type="dxa"/>
              <w:left w:w="100" w:type="dxa"/>
              <w:bottom w:w="80" w:type="dxa"/>
              <w:right w:w="100" w:type="dxa"/>
            </w:tcMar>
          </w:tcPr>
          <w:p w14:paraId="51857E1B" w14:textId="77777777" w:rsidR="00D605FA" w:rsidRDefault="00000000">
            <w:pPr>
              <w:jc w:val="center"/>
            </w:pPr>
            <w:r>
              <w:rPr>
                <w:b/>
                <w:bCs/>
                <w:color w:val="1A7A4A"/>
                <w:sz w:val="20"/>
                <w:szCs w:val="20"/>
              </w:rPr>
              <w:t>6%</w:t>
            </w:r>
          </w:p>
        </w:tc>
        <w:tc>
          <w:tcPr>
            <w:tcW w:w="2060" w:type="dxa"/>
            <w:tcBorders>
              <w:top w:val="single" w:sz="1" w:space="0" w:color="C0D0E0"/>
              <w:left w:val="single" w:sz="1" w:space="0" w:color="C0D0E0"/>
              <w:bottom w:val="single" w:sz="1" w:space="0" w:color="C0D0E0"/>
              <w:right w:val="single" w:sz="1" w:space="0" w:color="C0D0E0"/>
            </w:tcBorders>
            <w:shd w:val="clear" w:color="auto" w:fill="FFFFFF"/>
            <w:tcMar>
              <w:top w:w="80" w:type="dxa"/>
              <w:left w:w="100" w:type="dxa"/>
              <w:bottom w:w="80" w:type="dxa"/>
              <w:right w:w="100" w:type="dxa"/>
            </w:tcMar>
          </w:tcPr>
          <w:p w14:paraId="51857E1C" w14:textId="77777777" w:rsidR="00D605FA" w:rsidRDefault="00000000">
            <w:r>
              <w:rPr>
                <w:color w:val="444444"/>
                <w:sz w:val="19"/>
                <w:szCs w:val="19"/>
              </w:rPr>
              <w:t>Precision Agriculture, Autonomous Farming</w:t>
            </w:r>
          </w:p>
        </w:tc>
        <w:tc>
          <w:tcPr>
            <w:tcW w:w="1000" w:type="dxa"/>
            <w:tcBorders>
              <w:top w:val="single" w:sz="1" w:space="0" w:color="C0D0E0"/>
              <w:left w:val="single" w:sz="1" w:space="0" w:color="C0D0E0"/>
              <w:bottom w:val="single" w:sz="1" w:space="0" w:color="C0D0E0"/>
              <w:right w:val="single" w:sz="1" w:space="0" w:color="C0D0E0"/>
            </w:tcBorders>
            <w:shd w:val="clear" w:color="auto" w:fill="FFFFFF"/>
            <w:tcMar>
              <w:top w:w="80" w:type="dxa"/>
              <w:left w:w="100" w:type="dxa"/>
              <w:bottom w:w="80" w:type="dxa"/>
              <w:right w:w="100" w:type="dxa"/>
            </w:tcMar>
          </w:tcPr>
          <w:p w14:paraId="51857E1D" w14:textId="77777777" w:rsidR="00D605FA" w:rsidRDefault="00000000">
            <w:pPr>
              <w:jc w:val="center"/>
            </w:pPr>
            <w:r>
              <w:rPr>
                <w:b/>
                <w:bCs/>
                <w:color w:val="2E6BA8"/>
                <w:sz w:val="20"/>
                <w:szCs w:val="20"/>
              </w:rPr>
              <w:t>HIGH</w:t>
            </w:r>
          </w:p>
        </w:tc>
        <w:tc>
          <w:tcPr>
            <w:tcW w:w="1500" w:type="dxa"/>
            <w:tcBorders>
              <w:top w:val="single" w:sz="1" w:space="0" w:color="C0D0E0"/>
              <w:left w:val="single" w:sz="1" w:space="0" w:color="C0D0E0"/>
              <w:bottom w:val="single" w:sz="1" w:space="0" w:color="C0D0E0"/>
              <w:right w:val="single" w:sz="1" w:space="0" w:color="C0D0E0"/>
            </w:tcBorders>
            <w:shd w:val="clear" w:color="auto" w:fill="FFFFFF"/>
            <w:tcMar>
              <w:top w:w="80" w:type="dxa"/>
              <w:left w:w="100" w:type="dxa"/>
              <w:bottom w:w="80" w:type="dxa"/>
              <w:right w:w="100" w:type="dxa"/>
            </w:tcMar>
          </w:tcPr>
          <w:p w14:paraId="51857E1E" w14:textId="77777777" w:rsidR="00D605FA" w:rsidRDefault="00000000">
            <w:r>
              <w:rPr>
                <w:color w:val="444444"/>
                <w:sz w:val="19"/>
                <w:szCs w:val="19"/>
              </w:rPr>
              <w:t>Brand + Tech Platform</w:t>
            </w:r>
          </w:p>
        </w:tc>
      </w:tr>
    </w:tbl>
    <w:p w14:paraId="51857E20" w14:textId="77777777" w:rsidR="00D605FA" w:rsidRDefault="00000000">
      <w:pPr>
        <w:pStyle w:val="Heading2"/>
      </w:pPr>
      <w:r>
        <w:t>4.2 Satellite &amp; Speculative Sleeve (15% | £750)</w:t>
      </w:r>
    </w:p>
    <w:p w14:paraId="51857E21" w14:textId="77777777" w:rsidR="00D605FA" w:rsidRDefault="00000000">
      <w:pPr>
        <w:spacing w:before="80" w:after="80"/>
      </w:pPr>
      <w:r>
        <w:rPr>
          <w:color w:val="1A1A1A"/>
        </w:rPr>
        <w:t>Four higher-risk positions across frontier technologies and resource plays. Calculated bets expected to reach commercial scale between 2029-2034. Position sizes capped at 4-5% each to contain downside risk. AMD included here as a transitional position - may be promoted to core sleeve if AI accelerator market share gains continue.</w:t>
      </w:r>
    </w:p>
    <w:p w14:paraId="51857E22" w14:textId="77777777" w:rsidR="00D605FA" w:rsidRDefault="00D605FA">
      <w:pPr>
        <w:spacing w:before="1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5"/>
        <w:gridCol w:w="2384"/>
        <w:gridCol w:w="807"/>
        <w:gridCol w:w="2232"/>
        <w:gridCol w:w="1337"/>
        <w:gridCol w:w="1625"/>
      </w:tblGrid>
      <w:tr w:rsidR="00D605FA" w14:paraId="51857E29" w14:textId="77777777">
        <w:tblPrEx>
          <w:tblCellMar>
            <w:top w:w="0" w:type="dxa"/>
            <w:bottom w:w="0" w:type="dxa"/>
          </w:tblCellMar>
        </w:tblPrEx>
        <w:tc>
          <w:tcPr>
            <w:tcW w:w="900" w:type="dxa"/>
            <w:tcBorders>
              <w:top w:val="single" w:sz="1" w:space="0" w:color="C0D0E0"/>
              <w:left w:val="single" w:sz="1" w:space="0" w:color="C0D0E0"/>
              <w:bottom w:val="single" w:sz="1" w:space="0" w:color="C0D0E0"/>
              <w:right w:val="single" w:sz="1" w:space="0" w:color="C0D0E0"/>
            </w:tcBorders>
            <w:shd w:val="clear" w:color="auto" w:fill="2E6BA8"/>
            <w:tcMar>
              <w:top w:w="80" w:type="dxa"/>
              <w:left w:w="100" w:type="dxa"/>
              <w:bottom w:w="80" w:type="dxa"/>
              <w:right w:w="100" w:type="dxa"/>
            </w:tcMar>
          </w:tcPr>
          <w:p w14:paraId="51857E23" w14:textId="77777777" w:rsidR="00D605FA" w:rsidRDefault="00000000">
            <w:r>
              <w:rPr>
                <w:b/>
                <w:bCs/>
                <w:color w:val="FFFFFF"/>
                <w:sz w:val="20"/>
                <w:szCs w:val="20"/>
              </w:rPr>
              <w:t>Ticker</w:t>
            </w:r>
          </w:p>
        </w:tc>
        <w:tc>
          <w:tcPr>
            <w:tcW w:w="2200" w:type="dxa"/>
            <w:tcBorders>
              <w:top w:val="single" w:sz="1" w:space="0" w:color="C0D0E0"/>
              <w:left w:val="single" w:sz="1" w:space="0" w:color="C0D0E0"/>
              <w:bottom w:val="single" w:sz="1" w:space="0" w:color="C0D0E0"/>
              <w:right w:val="single" w:sz="1" w:space="0" w:color="C0D0E0"/>
            </w:tcBorders>
            <w:shd w:val="clear" w:color="auto" w:fill="2E6BA8"/>
            <w:tcMar>
              <w:top w:w="80" w:type="dxa"/>
              <w:left w:w="100" w:type="dxa"/>
              <w:bottom w:w="80" w:type="dxa"/>
              <w:right w:w="100" w:type="dxa"/>
            </w:tcMar>
          </w:tcPr>
          <w:p w14:paraId="51857E24" w14:textId="77777777" w:rsidR="00D605FA" w:rsidRDefault="00000000">
            <w:r>
              <w:rPr>
                <w:b/>
                <w:bCs/>
                <w:color w:val="FFFFFF"/>
                <w:sz w:val="20"/>
                <w:szCs w:val="20"/>
              </w:rPr>
              <w:t>Company</w:t>
            </w:r>
          </w:p>
        </w:tc>
        <w:tc>
          <w:tcPr>
            <w:tcW w:w="700" w:type="dxa"/>
            <w:tcBorders>
              <w:top w:val="single" w:sz="1" w:space="0" w:color="C0D0E0"/>
              <w:left w:val="single" w:sz="1" w:space="0" w:color="C0D0E0"/>
              <w:bottom w:val="single" w:sz="1" w:space="0" w:color="C0D0E0"/>
              <w:right w:val="single" w:sz="1" w:space="0" w:color="C0D0E0"/>
            </w:tcBorders>
            <w:shd w:val="clear" w:color="auto" w:fill="2E6BA8"/>
            <w:tcMar>
              <w:top w:w="80" w:type="dxa"/>
              <w:left w:w="100" w:type="dxa"/>
              <w:bottom w:w="80" w:type="dxa"/>
              <w:right w:w="100" w:type="dxa"/>
            </w:tcMar>
          </w:tcPr>
          <w:p w14:paraId="51857E25" w14:textId="77777777" w:rsidR="00D605FA" w:rsidRDefault="00000000">
            <w:proofErr w:type="spellStart"/>
            <w:r>
              <w:rPr>
                <w:b/>
                <w:bCs/>
                <w:color w:val="FFFFFF"/>
                <w:sz w:val="20"/>
                <w:szCs w:val="20"/>
              </w:rPr>
              <w:t>Alloc</w:t>
            </w:r>
            <w:proofErr w:type="spellEnd"/>
            <w:r>
              <w:rPr>
                <w:b/>
                <w:bCs/>
                <w:color w:val="FFFFFF"/>
                <w:sz w:val="20"/>
                <w:szCs w:val="20"/>
              </w:rPr>
              <w:t>.</w:t>
            </w:r>
          </w:p>
        </w:tc>
        <w:tc>
          <w:tcPr>
            <w:tcW w:w="2060" w:type="dxa"/>
            <w:tcBorders>
              <w:top w:val="single" w:sz="1" w:space="0" w:color="C0D0E0"/>
              <w:left w:val="single" w:sz="1" w:space="0" w:color="C0D0E0"/>
              <w:bottom w:val="single" w:sz="1" w:space="0" w:color="C0D0E0"/>
              <w:right w:val="single" w:sz="1" w:space="0" w:color="C0D0E0"/>
            </w:tcBorders>
            <w:shd w:val="clear" w:color="auto" w:fill="2E6BA8"/>
            <w:tcMar>
              <w:top w:w="80" w:type="dxa"/>
              <w:left w:w="100" w:type="dxa"/>
              <w:bottom w:w="80" w:type="dxa"/>
              <w:right w:w="100" w:type="dxa"/>
            </w:tcMar>
          </w:tcPr>
          <w:p w14:paraId="51857E26" w14:textId="77777777" w:rsidR="00D605FA" w:rsidRDefault="00000000">
            <w:r>
              <w:rPr>
                <w:b/>
                <w:bCs/>
                <w:color w:val="FFFFFF"/>
                <w:sz w:val="20"/>
                <w:szCs w:val="20"/>
              </w:rPr>
              <w:t>10-Year Theme</w:t>
            </w:r>
          </w:p>
        </w:tc>
        <w:tc>
          <w:tcPr>
            <w:tcW w:w="1000" w:type="dxa"/>
            <w:tcBorders>
              <w:top w:val="single" w:sz="1" w:space="0" w:color="C0D0E0"/>
              <w:left w:val="single" w:sz="1" w:space="0" w:color="C0D0E0"/>
              <w:bottom w:val="single" w:sz="1" w:space="0" w:color="C0D0E0"/>
              <w:right w:val="single" w:sz="1" w:space="0" w:color="C0D0E0"/>
            </w:tcBorders>
            <w:shd w:val="clear" w:color="auto" w:fill="2E6BA8"/>
            <w:tcMar>
              <w:top w:w="80" w:type="dxa"/>
              <w:left w:w="100" w:type="dxa"/>
              <w:bottom w:w="80" w:type="dxa"/>
              <w:right w:w="100" w:type="dxa"/>
            </w:tcMar>
          </w:tcPr>
          <w:p w14:paraId="51857E27" w14:textId="77777777" w:rsidR="00D605FA" w:rsidRDefault="00000000">
            <w:r>
              <w:rPr>
                <w:b/>
                <w:bCs/>
                <w:color w:val="FFFFFF"/>
                <w:sz w:val="20"/>
                <w:szCs w:val="20"/>
              </w:rPr>
              <w:t>Conviction</w:t>
            </w:r>
          </w:p>
        </w:tc>
        <w:tc>
          <w:tcPr>
            <w:tcW w:w="1500" w:type="dxa"/>
            <w:tcBorders>
              <w:top w:val="single" w:sz="1" w:space="0" w:color="C0D0E0"/>
              <w:left w:val="single" w:sz="1" w:space="0" w:color="C0D0E0"/>
              <w:bottom w:val="single" w:sz="1" w:space="0" w:color="C0D0E0"/>
              <w:right w:val="single" w:sz="1" w:space="0" w:color="C0D0E0"/>
            </w:tcBorders>
            <w:shd w:val="clear" w:color="auto" w:fill="2E6BA8"/>
            <w:tcMar>
              <w:top w:w="80" w:type="dxa"/>
              <w:left w:w="100" w:type="dxa"/>
              <w:bottom w:w="80" w:type="dxa"/>
              <w:right w:w="100" w:type="dxa"/>
            </w:tcMar>
          </w:tcPr>
          <w:p w14:paraId="51857E28" w14:textId="77777777" w:rsidR="00D605FA" w:rsidRDefault="00000000">
            <w:r>
              <w:rPr>
                <w:b/>
                <w:bCs/>
                <w:color w:val="FFFFFF"/>
                <w:sz w:val="20"/>
                <w:szCs w:val="20"/>
              </w:rPr>
              <w:t>Stage</w:t>
            </w:r>
          </w:p>
        </w:tc>
      </w:tr>
      <w:tr w:rsidR="00D605FA" w14:paraId="51857E30" w14:textId="77777777">
        <w:tblPrEx>
          <w:tblCellMar>
            <w:top w:w="0" w:type="dxa"/>
            <w:bottom w:w="0" w:type="dxa"/>
          </w:tblCellMar>
        </w:tblPrEx>
        <w:tc>
          <w:tcPr>
            <w:tcW w:w="900" w:type="dxa"/>
            <w:tcBorders>
              <w:top w:val="single" w:sz="1" w:space="0" w:color="C0D0E0"/>
              <w:left w:val="single" w:sz="1" w:space="0" w:color="C0D0E0"/>
              <w:bottom w:val="single" w:sz="1" w:space="0" w:color="C0D0E0"/>
              <w:right w:val="single" w:sz="1" w:space="0" w:color="C0D0E0"/>
            </w:tcBorders>
            <w:shd w:val="clear" w:color="auto" w:fill="D6E4F0"/>
            <w:tcMar>
              <w:top w:w="80" w:type="dxa"/>
              <w:left w:w="100" w:type="dxa"/>
              <w:bottom w:w="80" w:type="dxa"/>
              <w:right w:w="100" w:type="dxa"/>
            </w:tcMar>
          </w:tcPr>
          <w:p w14:paraId="51857E2A" w14:textId="77777777" w:rsidR="00D605FA" w:rsidRDefault="00000000">
            <w:r>
              <w:rPr>
                <w:b/>
                <w:bCs/>
                <w:color w:val="2E6BA8"/>
                <w:sz w:val="20"/>
                <w:szCs w:val="20"/>
              </w:rPr>
              <w:t>IONQ</w:t>
            </w:r>
          </w:p>
        </w:tc>
        <w:tc>
          <w:tcPr>
            <w:tcW w:w="2200" w:type="dxa"/>
            <w:tcBorders>
              <w:top w:val="single" w:sz="1" w:space="0" w:color="C0D0E0"/>
              <w:left w:val="single" w:sz="1" w:space="0" w:color="C0D0E0"/>
              <w:bottom w:val="single" w:sz="1" w:space="0" w:color="C0D0E0"/>
              <w:right w:val="single" w:sz="1" w:space="0" w:color="C0D0E0"/>
            </w:tcBorders>
            <w:shd w:val="clear" w:color="auto" w:fill="D6E4F0"/>
            <w:tcMar>
              <w:top w:w="80" w:type="dxa"/>
              <w:left w:w="100" w:type="dxa"/>
              <w:bottom w:w="80" w:type="dxa"/>
              <w:right w:w="100" w:type="dxa"/>
            </w:tcMar>
          </w:tcPr>
          <w:p w14:paraId="51857E2B" w14:textId="77777777" w:rsidR="00D605FA" w:rsidRDefault="00000000">
            <w:proofErr w:type="spellStart"/>
            <w:r>
              <w:rPr>
                <w:color w:val="1A1A1A"/>
                <w:sz w:val="20"/>
                <w:szCs w:val="20"/>
              </w:rPr>
              <w:t>IonQ</w:t>
            </w:r>
            <w:proofErr w:type="spellEnd"/>
            <w:r>
              <w:rPr>
                <w:color w:val="1A1A1A"/>
                <w:sz w:val="20"/>
                <w:szCs w:val="20"/>
              </w:rPr>
              <w:t xml:space="preserve"> Inc</w:t>
            </w:r>
          </w:p>
        </w:tc>
        <w:tc>
          <w:tcPr>
            <w:tcW w:w="700" w:type="dxa"/>
            <w:tcBorders>
              <w:top w:val="single" w:sz="1" w:space="0" w:color="C0D0E0"/>
              <w:left w:val="single" w:sz="1" w:space="0" w:color="C0D0E0"/>
              <w:bottom w:val="single" w:sz="1" w:space="0" w:color="C0D0E0"/>
              <w:right w:val="single" w:sz="1" w:space="0" w:color="C0D0E0"/>
            </w:tcBorders>
            <w:shd w:val="clear" w:color="auto" w:fill="D6E4F0"/>
            <w:tcMar>
              <w:top w:w="80" w:type="dxa"/>
              <w:left w:w="100" w:type="dxa"/>
              <w:bottom w:w="80" w:type="dxa"/>
              <w:right w:w="100" w:type="dxa"/>
            </w:tcMar>
          </w:tcPr>
          <w:p w14:paraId="51857E2C" w14:textId="77777777" w:rsidR="00D605FA" w:rsidRDefault="00000000">
            <w:pPr>
              <w:jc w:val="center"/>
            </w:pPr>
            <w:r>
              <w:rPr>
                <w:b/>
                <w:bCs/>
                <w:color w:val="1A7A4A"/>
                <w:sz w:val="20"/>
                <w:szCs w:val="20"/>
              </w:rPr>
              <w:t>4%</w:t>
            </w:r>
          </w:p>
        </w:tc>
        <w:tc>
          <w:tcPr>
            <w:tcW w:w="2060" w:type="dxa"/>
            <w:tcBorders>
              <w:top w:val="single" w:sz="1" w:space="0" w:color="C0D0E0"/>
              <w:left w:val="single" w:sz="1" w:space="0" w:color="C0D0E0"/>
              <w:bottom w:val="single" w:sz="1" w:space="0" w:color="C0D0E0"/>
              <w:right w:val="single" w:sz="1" w:space="0" w:color="C0D0E0"/>
            </w:tcBorders>
            <w:shd w:val="clear" w:color="auto" w:fill="D6E4F0"/>
            <w:tcMar>
              <w:top w:w="80" w:type="dxa"/>
              <w:left w:w="100" w:type="dxa"/>
              <w:bottom w:w="80" w:type="dxa"/>
              <w:right w:w="100" w:type="dxa"/>
            </w:tcMar>
          </w:tcPr>
          <w:p w14:paraId="51857E2D" w14:textId="77777777" w:rsidR="00D605FA" w:rsidRDefault="00000000">
            <w:r>
              <w:rPr>
                <w:color w:val="444444"/>
                <w:sz w:val="19"/>
                <w:szCs w:val="19"/>
              </w:rPr>
              <w:t>Quantum Computing - Trapped Ion Architecture</w:t>
            </w:r>
          </w:p>
        </w:tc>
        <w:tc>
          <w:tcPr>
            <w:tcW w:w="1000" w:type="dxa"/>
            <w:tcBorders>
              <w:top w:val="single" w:sz="1" w:space="0" w:color="C0D0E0"/>
              <w:left w:val="single" w:sz="1" w:space="0" w:color="C0D0E0"/>
              <w:bottom w:val="single" w:sz="1" w:space="0" w:color="C0D0E0"/>
              <w:right w:val="single" w:sz="1" w:space="0" w:color="C0D0E0"/>
            </w:tcBorders>
            <w:shd w:val="clear" w:color="auto" w:fill="D6E4F0"/>
            <w:tcMar>
              <w:top w:w="80" w:type="dxa"/>
              <w:left w:w="100" w:type="dxa"/>
              <w:bottom w:w="80" w:type="dxa"/>
              <w:right w:w="100" w:type="dxa"/>
            </w:tcMar>
          </w:tcPr>
          <w:p w14:paraId="51857E2E" w14:textId="77777777" w:rsidR="00D605FA" w:rsidRDefault="00000000">
            <w:pPr>
              <w:jc w:val="center"/>
            </w:pPr>
            <w:r>
              <w:rPr>
                <w:b/>
                <w:bCs/>
                <w:color w:val="444444"/>
                <w:sz w:val="20"/>
                <w:szCs w:val="20"/>
              </w:rPr>
              <w:t>MEDIUM</w:t>
            </w:r>
          </w:p>
        </w:tc>
        <w:tc>
          <w:tcPr>
            <w:tcW w:w="1500" w:type="dxa"/>
            <w:tcBorders>
              <w:top w:val="single" w:sz="1" w:space="0" w:color="C0D0E0"/>
              <w:left w:val="single" w:sz="1" w:space="0" w:color="C0D0E0"/>
              <w:bottom w:val="single" w:sz="1" w:space="0" w:color="C0D0E0"/>
              <w:right w:val="single" w:sz="1" w:space="0" w:color="C0D0E0"/>
            </w:tcBorders>
            <w:shd w:val="clear" w:color="auto" w:fill="D6E4F0"/>
            <w:tcMar>
              <w:top w:w="80" w:type="dxa"/>
              <w:left w:w="100" w:type="dxa"/>
              <w:bottom w:w="80" w:type="dxa"/>
              <w:right w:w="100" w:type="dxa"/>
            </w:tcMar>
          </w:tcPr>
          <w:p w14:paraId="51857E2F" w14:textId="77777777" w:rsidR="00D605FA" w:rsidRDefault="00000000">
            <w:r>
              <w:rPr>
                <w:color w:val="444444"/>
                <w:sz w:val="19"/>
                <w:szCs w:val="19"/>
              </w:rPr>
              <w:t>Early Commercial</w:t>
            </w:r>
          </w:p>
        </w:tc>
      </w:tr>
      <w:tr w:rsidR="00D605FA" w14:paraId="51857E37" w14:textId="77777777">
        <w:tblPrEx>
          <w:tblCellMar>
            <w:top w:w="0" w:type="dxa"/>
            <w:bottom w:w="0" w:type="dxa"/>
          </w:tblCellMar>
        </w:tblPrEx>
        <w:tc>
          <w:tcPr>
            <w:tcW w:w="900" w:type="dxa"/>
            <w:tcBorders>
              <w:top w:val="single" w:sz="1" w:space="0" w:color="C0D0E0"/>
              <w:left w:val="single" w:sz="1" w:space="0" w:color="C0D0E0"/>
              <w:bottom w:val="single" w:sz="1" w:space="0" w:color="C0D0E0"/>
              <w:right w:val="single" w:sz="1" w:space="0" w:color="C0D0E0"/>
            </w:tcBorders>
            <w:shd w:val="clear" w:color="auto" w:fill="FFFFFF"/>
            <w:tcMar>
              <w:top w:w="80" w:type="dxa"/>
              <w:left w:w="100" w:type="dxa"/>
              <w:bottom w:w="80" w:type="dxa"/>
              <w:right w:w="100" w:type="dxa"/>
            </w:tcMar>
          </w:tcPr>
          <w:p w14:paraId="51857E31" w14:textId="77777777" w:rsidR="00D605FA" w:rsidRDefault="00000000">
            <w:r>
              <w:rPr>
                <w:b/>
                <w:bCs/>
                <w:color w:val="2E6BA8"/>
                <w:sz w:val="20"/>
                <w:szCs w:val="20"/>
              </w:rPr>
              <w:t>CCJ</w:t>
            </w:r>
          </w:p>
        </w:tc>
        <w:tc>
          <w:tcPr>
            <w:tcW w:w="2200" w:type="dxa"/>
            <w:tcBorders>
              <w:top w:val="single" w:sz="1" w:space="0" w:color="C0D0E0"/>
              <w:left w:val="single" w:sz="1" w:space="0" w:color="C0D0E0"/>
              <w:bottom w:val="single" w:sz="1" w:space="0" w:color="C0D0E0"/>
              <w:right w:val="single" w:sz="1" w:space="0" w:color="C0D0E0"/>
            </w:tcBorders>
            <w:shd w:val="clear" w:color="auto" w:fill="FFFFFF"/>
            <w:tcMar>
              <w:top w:w="80" w:type="dxa"/>
              <w:left w:w="100" w:type="dxa"/>
              <w:bottom w:w="80" w:type="dxa"/>
              <w:right w:w="100" w:type="dxa"/>
            </w:tcMar>
          </w:tcPr>
          <w:p w14:paraId="51857E32" w14:textId="77777777" w:rsidR="00D605FA" w:rsidRDefault="00000000">
            <w:r>
              <w:rPr>
                <w:color w:val="1A1A1A"/>
                <w:sz w:val="20"/>
                <w:szCs w:val="20"/>
              </w:rPr>
              <w:t>Cameco Corporation</w:t>
            </w:r>
          </w:p>
        </w:tc>
        <w:tc>
          <w:tcPr>
            <w:tcW w:w="700" w:type="dxa"/>
            <w:tcBorders>
              <w:top w:val="single" w:sz="1" w:space="0" w:color="C0D0E0"/>
              <w:left w:val="single" w:sz="1" w:space="0" w:color="C0D0E0"/>
              <w:bottom w:val="single" w:sz="1" w:space="0" w:color="C0D0E0"/>
              <w:right w:val="single" w:sz="1" w:space="0" w:color="C0D0E0"/>
            </w:tcBorders>
            <w:shd w:val="clear" w:color="auto" w:fill="FFFFFF"/>
            <w:tcMar>
              <w:top w:w="80" w:type="dxa"/>
              <w:left w:w="100" w:type="dxa"/>
              <w:bottom w:w="80" w:type="dxa"/>
              <w:right w:w="100" w:type="dxa"/>
            </w:tcMar>
          </w:tcPr>
          <w:p w14:paraId="51857E33" w14:textId="77777777" w:rsidR="00D605FA" w:rsidRDefault="00000000">
            <w:pPr>
              <w:jc w:val="center"/>
            </w:pPr>
            <w:r>
              <w:rPr>
                <w:b/>
                <w:bCs/>
                <w:color w:val="1A7A4A"/>
                <w:sz w:val="20"/>
                <w:szCs w:val="20"/>
              </w:rPr>
              <w:t>4%</w:t>
            </w:r>
          </w:p>
        </w:tc>
        <w:tc>
          <w:tcPr>
            <w:tcW w:w="2060" w:type="dxa"/>
            <w:tcBorders>
              <w:top w:val="single" w:sz="1" w:space="0" w:color="C0D0E0"/>
              <w:left w:val="single" w:sz="1" w:space="0" w:color="C0D0E0"/>
              <w:bottom w:val="single" w:sz="1" w:space="0" w:color="C0D0E0"/>
              <w:right w:val="single" w:sz="1" w:space="0" w:color="C0D0E0"/>
            </w:tcBorders>
            <w:shd w:val="clear" w:color="auto" w:fill="FFFFFF"/>
            <w:tcMar>
              <w:top w:w="80" w:type="dxa"/>
              <w:left w:w="100" w:type="dxa"/>
              <w:bottom w:w="80" w:type="dxa"/>
              <w:right w:w="100" w:type="dxa"/>
            </w:tcMar>
          </w:tcPr>
          <w:p w14:paraId="51857E34" w14:textId="77777777" w:rsidR="00D605FA" w:rsidRDefault="00000000">
            <w:r>
              <w:rPr>
                <w:color w:val="444444"/>
                <w:sz w:val="19"/>
                <w:szCs w:val="19"/>
              </w:rPr>
              <w:t>Uranium Supply - Nuclear Renaissance</w:t>
            </w:r>
          </w:p>
        </w:tc>
        <w:tc>
          <w:tcPr>
            <w:tcW w:w="1000" w:type="dxa"/>
            <w:tcBorders>
              <w:top w:val="single" w:sz="1" w:space="0" w:color="C0D0E0"/>
              <w:left w:val="single" w:sz="1" w:space="0" w:color="C0D0E0"/>
              <w:bottom w:val="single" w:sz="1" w:space="0" w:color="C0D0E0"/>
              <w:right w:val="single" w:sz="1" w:space="0" w:color="C0D0E0"/>
            </w:tcBorders>
            <w:shd w:val="clear" w:color="auto" w:fill="FFFFFF"/>
            <w:tcMar>
              <w:top w:w="80" w:type="dxa"/>
              <w:left w:w="100" w:type="dxa"/>
              <w:bottom w:w="80" w:type="dxa"/>
              <w:right w:w="100" w:type="dxa"/>
            </w:tcMar>
          </w:tcPr>
          <w:p w14:paraId="51857E35" w14:textId="77777777" w:rsidR="00D605FA" w:rsidRDefault="00000000">
            <w:pPr>
              <w:jc w:val="center"/>
            </w:pPr>
            <w:r>
              <w:rPr>
                <w:b/>
                <w:bCs/>
                <w:color w:val="2E6BA8"/>
                <w:sz w:val="20"/>
                <w:szCs w:val="20"/>
              </w:rPr>
              <w:t>HIGH</w:t>
            </w:r>
          </w:p>
        </w:tc>
        <w:tc>
          <w:tcPr>
            <w:tcW w:w="1500" w:type="dxa"/>
            <w:tcBorders>
              <w:top w:val="single" w:sz="1" w:space="0" w:color="C0D0E0"/>
              <w:left w:val="single" w:sz="1" w:space="0" w:color="C0D0E0"/>
              <w:bottom w:val="single" w:sz="1" w:space="0" w:color="C0D0E0"/>
              <w:right w:val="single" w:sz="1" w:space="0" w:color="C0D0E0"/>
            </w:tcBorders>
            <w:shd w:val="clear" w:color="auto" w:fill="FFFFFF"/>
            <w:tcMar>
              <w:top w:w="80" w:type="dxa"/>
              <w:left w:w="100" w:type="dxa"/>
              <w:bottom w:w="80" w:type="dxa"/>
              <w:right w:w="100" w:type="dxa"/>
            </w:tcMar>
          </w:tcPr>
          <w:p w14:paraId="51857E36" w14:textId="77777777" w:rsidR="00D605FA" w:rsidRDefault="00000000">
            <w:r>
              <w:rPr>
                <w:color w:val="444444"/>
                <w:sz w:val="19"/>
                <w:szCs w:val="19"/>
              </w:rPr>
              <w:t>Resource Scarcity</w:t>
            </w:r>
          </w:p>
        </w:tc>
      </w:tr>
      <w:tr w:rsidR="00D605FA" w14:paraId="51857E3E" w14:textId="77777777">
        <w:tblPrEx>
          <w:tblCellMar>
            <w:top w:w="0" w:type="dxa"/>
            <w:bottom w:w="0" w:type="dxa"/>
          </w:tblCellMar>
        </w:tblPrEx>
        <w:tc>
          <w:tcPr>
            <w:tcW w:w="900" w:type="dxa"/>
            <w:tcBorders>
              <w:top w:val="single" w:sz="1" w:space="0" w:color="C0D0E0"/>
              <w:left w:val="single" w:sz="1" w:space="0" w:color="C0D0E0"/>
              <w:bottom w:val="single" w:sz="1" w:space="0" w:color="C0D0E0"/>
              <w:right w:val="single" w:sz="1" w:space="0" w:color="C0D0E0"/>
            </w:tcBorders>
            <w:shd w:val="clear" w:color="auto" w:fill="D6E4F0"/>
            <w:tcMar>
              <w:top w:w="80" w:type="dxa"/>
              <w:left w:w="100" w:type="dxa"/>
              <w:bottom w:w="80" w:type="dxa"/>
              <w:right w:w="100" w:type="dxa"/>
            </w:tcMar>
          </w:tcPr>
          <w:p w14:paraId="51857E38" w14:textId="77777777" w:rsidR="00D605FA" w:rsidRDefault="00000000">
            <w:r>
              <w:rPr>
                <w:b/>
                <w:bCs/>
                <w:color w:val="2E6BA8"/>
                <w:sz w:val="20"/>
                <w:szCs w:val="20"/>
              </w:rPr>
              <w:lastRenderedPageBreak/>
              <w:t>AMD</w:t>
            </w:r>
          </w:p>
        </w:tc>
        <w:tc>
          <w:tcPr>
            <w:tcW w:w="2200" w:type="dxa"/>
            <w:tcBorders>
              <w:top w:val="single" w:sz="1" w:space="0" w:color="C0D0E0"/>
              <w:left w:val="single" w:sz="1" w:space="0" w:color="C0D0E0"/>
              <w:bottom w:val="single" w:sz="1" w:space="0" w:color="C0D0E0"/>
              <w:right w:val="single" w:sz="1" w:space="0" w:color="C0D0E0"/>
            </w:tcBorders>
            <w:shd w:val="clear" w:color="auto" w:fill="D6E4F0"/>
            <w:tcMar>
              <w:top w:w="80" w:type="dxa"/>
              <w:left w:w="100" w:type="dxa"/>
              <w:bottom w:w="80" w:type="dxa"/>
              <w:right w:w="100" w:type="dxa"/>
            </w:tcMar>
          </w:tcPr>
          <w:p w14:paraId="51857E39" w14:textId="77777777" w:rsidR="00D605FA" w:rsidRDefault="00000000">
            <w:r>
              <w:rPr>
                <w:color w:val="1A1A1A"/>
                <w:sz w:val="20"/>
                <w:szCs w:val="20"/>
              </w:rPr>
              <w:t>Advanced Micro Devices</w:t>
            </w:r>
          </w:p>
        </w:tc>
        <w:tc>
          <w:tcPr>
            <w:tcW w:w="700" w:type="dxa"/>
            <w:tcBorders>
              <w:top w:val="single" w:sz="1" w:space="0" w:color="C0D0E0"/>
              <w:left w:val="single" w:sz="1" w:space="0" w:color="C0D0E0"/>
              <w:bottom w:val="single" w:sz="1" w:space="0" w:color="C0D0E0"/>
              <w:right w:val="single" w:sz="1" w:space="0" w:color="C0D0E0"/>
            </w:tcBorders>
            <w:shd w:val="clear" w:color="auto" w:fill="D6E4F0"/>
            <w:tcMar>
              <w:top w:w="80" w:type="dxa"/>
              <w:left w:w="100" w:type="dxa"/>
              <w:bottom w:w="80" w:type="dxa"/>
              <w:right w:w="100" w:type="dxa"/>
            </w:tcMar>
          </w:tcPr>
          <w:p w14:paraId="51857E3A" w14:textId="77777777" w:rsidR="00D605FA" w:rsidRDefault="00000000">
            <w:pPr>
              <w:jc w:val="center"/>
            </w:pPr>
            <w:r>
              <w:rPr>
                <w:b/>
                <w:bCs/>
                <w:color w:val="1A7A4A"/>
                <w:sz w:val="20"/>
                <w:szCs w:val="20"/>
              </w:rPr>
              <w:t>4%</w:t>
            </w:r>
          </w:p>
        </w:tc>
        <w:tc>
          <w:tcPr>
            <w:tcW w:w="2060" w:type="dxa"/>
            <w:tcBorders>
              <w:top w:val="single" w:sz="1" w:space="0" w:color="C0D0E0"/>
              <w:left w:val="single" w:sz="1" w:space="0" w:color="C0D0E0"/>
              <w:bottom w:val="single" w:sz="1" w:space="0" w:color="C0D0E0"/>
              <w:right w:val="single" w:sz="1" w:space="0" w:color="C0D0E0"/>
            </w:tcBorders>
            <w:shd w:val="clear" w:color="auto" w:fill="D6E4F0"/>
            <w:tcMar>
              <w:top w:w="80" w:type="dxa"/>
              <w:left w:w="100" w:type="dxa"/>
              <w:bottom w:w="80" w:type="dxa"/>
              <w:right w:w="100" w:type="dxa"/>
            </w:tcMar>
          </w:tcPr>
          <w:p w14:paraId="51857E3B" w14:textId="77777777" w:rsidR="00D605FA" w:rsidRDefault="00000000">
            <w:r>
              <w:rPr>
                <w:color w:val="444444"/>
                <w:sz w:val="19"/>
                <w:szCs w:val="19"/>
              </w:rPr>
              <w:t>AI Accelerators (MI300X) + Data Center CPUs</w:t>
            </w:r>
          </w:p>
        </w:tc>
        <w:tc>
          <w:tcPr>
            <w:tcW w:w="1000" w:type="dxa"/>
            <w:tcBorders>
              <w:top w:val="single" w:sz="1" w:space="0" w:color="C0D0E0"/>
              <w:left w:val="single" w:sz="1" w:space="0" w:color="C0D0E0"/>
              <w:bottom w:val="single" w:sz="1" w:space="0" w:color="C0D0E0"/>
              <w:right w:val="single" w:sz="1" w:space="0" w:color="C0D0E0"/>
            </w:tcBorders>
            <w:shd w:val="clear" w:color="auto" w:fill="D6E4F0"/>
            <w:tcMar>
              <w:top w:w="80" w:type="dxa"/>
              <w:left w:w="100" w:type="dxa"/>
              <w:bottom w:w="80" w:type="dxa"/>
              <w:right w:w="100" w:type="dxa"/>
            </w:tcMar>
          </w:tcPr>
          <w:p w14:paraId="51857E3C" w14:textId="77777777" w:rsidR="00D605FA" w:rsidRDefault="00000000">
            <w:pPr>
              <w:jc w:val="center"/>
            </w:pPr>
            <w:r>
              <w:rPr>
                <w:b/>
                <w:bCs/>
                <w:color w:val="2E6BA8"/>
                <w:sz w:val="20"/>
                <w:szCs w:val="20"/>
              </w:rPr>
              <w:t>HIGH</w:t>
            </w:r>
          </w:p>
        </w:tc>
        <w:tc>
          <w:tcPr>
            <w:tcW w:w="1500" w:type="dxa"/>
            <w:tcBorders>
              <w:top w:val="single" w:sz="1" w:space="0" w:color="C0D0E0"/>
              <w:left w:val="single" w:sz="1" w:space="0" w:color="C0D0E0"/>
              <w:bottom w:val="single" w:sz="1" w:space="0" w:color="C0D0E0"/>
              <w:right w:val="single" w:sz="1" w:space="0" w:color="C0D0E0"/>
            </w:tcBorders>
            <w:shd w:val="clear" w:color="auto" w:fill="D6E4F0"/>
            <w:tcMar>
              <w:top w:w="80" w:type="dxa"/>
              <w:left w:w="100" w:type="dxa"/>
              <w:bottom w:w="80" w:type="dxa"/>
              <w:right w:w="100" w:type="dxa"/>
            </w:tcMar>
          </w:tcPr>
          <w:p w14:paraId="51857E3D" w14:textId="77777777" w:rsidR="00D605FA" w:rsidRDefault="00000000">
            <w:r>
              <w:rPr>
                <w:color w:val="444444"/>
                <w:sz w:val="19"/>
                <w:szCs w:val="19"/>
              </w:rPr>
              <w:t>IP + Ecosystem</w:t>
            </w:r>
          </w:p>
        </w:tc>
      </w:tr>
      <w:tr w:rsidR="00D605FA" w14:paraId="51857E45" w14:textId="77777777">
        <w:tblPrEx>
          <w:tblCellMar>
            <w:top w:w="0" w:type="dxa"/>
            <w:bottom w:w="0" w:type="dxa"/>
          </w:tblCellMar>
        </w:tblPrEx>
        <w:tc>
          <w:tcPr>
            <w:tcW w:w="900" w:type="dxa"/>
            <w:tcBorders>
              <w:top w:val="single" w:sz="1" w:space="0" w:color="C0D0E0"/>
              <w:left w:val="single" w:sz="1" w:space="0" w:color="C0D0E0"/>
              <w:bottom w:val="single" w:sz="1" w:space="0" w:color="C0D0E0"/>
              <w:right w:val="single" w:sz="1" w:space="0" w:color="C0D0E0"/>
            </w:tcBorders>
            <w:shd w:val="clear" w:color="auto" w:fill="FFFFFF"/>
            <w:tcMar>
              <w:top w:w="80" w:type="dxa"/>
              <w:left w:w="100" w:type="dxa"/>
              <w:bottom w:w="80" w:type="dxa"/>
              <w:right w:w="100" w:type="dxa"/>
            </w:tcMar>
          </w:tcPr>
          <w:p w14:paraId="51857E3F" w14:textId="77777777" w:rsidR="00D605FA" w:rsidRDefault="00000000">
            <w:r>
              <w:rPr>
                <w:b/>
                <w:bCs/>
                <w:color w:val="2E6BA8"/>
                <w:sz w:val="20"/>
                <w:szCs w:val="20"/>
              </w:rPr>
              <w:t>PLTR</w:t>
            </w:r>
          </w:p>
        </w:tc>
        <w:tc>
          <w:tcPr>
            <w:tcW w:w="2200" w:type="dxa"/>
            <w:tcBorders>
              <w:top w:val="single" w:sz="1" w:space="0" w:color="C0D0E0"/>
              <w:left w:val="single" w:sz="1" w:space="0" w:color="C0D0E0"/>
              <w:bottom w:val="single" w:sz="1" w:space="0" w:color="C0D0E0"/>
              <w:right w:val="single" w:sz="1" w:space="0" w:color="C0D0E0"/>
            </w:tcBorders>
            <w:shd w:val="clear" w:color="auto" w:fill="FFFFFF"/>
            <w:tcMar>
              <w:top w:w="80" w:type="dxa"/>
              <w:left w:w="100" w:type="dxa"/>
              <w:bottom w:w="80" w:type="dxa"/>
              <w:right w:w="100" w:type="dxa"/>
            </w:tcMar>
          </w:tcPr>
          <w:p w14:paraId="51857E40" w14:textId="77777777" w:rsidR="00D605FA" w:rsidRDefault="00000000">
            <w:r>
              <w:rPr>
                <w:color w:val="1A1A1A"/>
                <w:sz w:val="20"/>
                <w:szCs w:val="20"/>
              </w:rPr>
              <w:t>Palantir Technologies</w:t>
            </w:r>
          </w:p>
        </w:tc>
        <w:tc>
          <w:tcPr>
            <w:tcW w:w="700" w:type="dxa"/>
            <w:tcBorders>
              <w:top w:val="single" w:sz="1" w:space="0" w:color="C0D0E0"/>
              <w:left w:val="single" w:sz="1" w:space="0" w:color="C0D0E0"/>
              <w:bottom w:val="single" w:sz="1" w:space="0" w:color="C0D0E0"/>
              <w:right w:val="single" w:sz="1" w:space="0" w:color="C0D0E0"/>
            </w:tcBorders>
            <w:shd w:val="clear" w:color="auto" w:fill="FFFFFF"/>
            <w:tcMar>
              <w:top w:w="80" w:type="dxa"/>
              <w:left w:w="100" w:type="dxa"/>
              <w:bottom w:w="80" w:type="dxa"/>
              <w:right w:w="100" w:type="dxa"/>
            </w:tcMar>
          </w:tcPr>
          <w:p w14:paraId="51857E41" w14:textId="77777777" w:rsidR="00D605FA" w:rsidRDefault="00000000">
            <w:pPr>
              <w:jc w:val="center"/>
            </w:pPr>
            <w:r>
              <w:rPr>
                <w:b/>
                <w:bCs/>
                <w:color w:val="1A7A4A"/>
                <w:sz w:val="20"/>
                <w:szCs w:val="20"/>
              </w:rPr>
              <w:t>3%</w:t>
            </w:r>
          </w:p>
        </w:tc>
        <w:tc>
          <w:tcPr>
            <w:tcW w:w="2060" w:type="dxa"/>
            <w:tcBorders>
              <w:top w:val="single" w:sz="1" w:space="0" w:color="C0D0E0"/>
              <w:left w:val="single" w:sz="1" w:space="0" w:color="C0D0E0"/>
              <w:bottom w:val="single" w:sz="1" w:space="0" w:color="C0D0E0"/>
              <w:right w:val="single" w:sz="1" w:space="0" w:color="C0D0E0"/>
            </w:tcBorders>
            <w:shd w:val="clear" w:color="auto" w:fill="FFFFFF"/>
            <w:tcMar>
              <w:top w:w="80" w:type="dxa"/>
              <w:left w:w="100" w:type="dxa"/>
              <w:bottom w:w="80" w:type="dxa"/>
              <w:right w:w="100" w:type="dxa"/>
            </w:tcMar>
          </w:tcPr>
          <w:p w14:paraId="51857E42" w14:textId="77777777" w:rsidR="00D605FA" w:rsidRDefault="00000000">
            <w:r>
              <w:rPr>
                <w:color w:val="444444"/>
                <w:sz w:val="19"/>
                <w:szCs w:val="19"/>
              </w:rPr>
              <w:t>AI Analytics Platform - Government &amp; Enterprise</w:t>
            </w:r>
          </w:p>
        </w:tc>
        <w:tc>
          <w:tcPr>
            <w:tcW w:w="1000" w:type="dxa"/>
            <w:tcBorders>
              <w:top w:val="single" w:sz="1" w:space="0" w:color="C0D0E0"/>
              <w:left w:val="single" w:sz="1" w:space="0" w:color="C0D0E0"/>
              <w:bottom w:val="single" w:sz="1" w:space="0" w:color="C0D0E0"/>
              <w:right w:val="single" w:sz="1" w:space="0" w:color="C0D0E0"/>
            </w:tcBorders>
            <w:shd w:val="clear" w:color="auto" w:fill="FFFFFF"/>
            <w:tcMar>
              <w:top w:w="80" w:type="dxa"/>
              <w:left w:w="100" w:type="dxa"/>
              <w:bottom w:w="80" w:type="dxa"/>
              <w:right w:w="100" w:type="dxa"/>
            </w:tcMar>
          </w:tcPr>
          <w:p w14:paraId="51857E43" w14:textId="77777777" w:rsidR="00D605FA" w:rsidRDefault="00000000">
            <w:pPr>
              <w:jc w:val="center"/>
            </w:pPr>
            <w:r>
              <w:rPr>
                <w:b/>
                <w:bCs/>
                <w:color w:val="2E6BA8"/>
                <w:sz w:val="20"/>
                <w:szCs w:val="20"/>
              </w:rPr>
              <w:t>HIGH</w:t>
            </w:r>
          </w:p>
        </w:tc>
        <w:tc>
          <w:tcPr>
            <w:tcW w:w="1500" w:type="dxa"/>
            <w:tcBorders>
              <w:top w:val="single" w:sz="1" w:space="0" w:color="C0D0E0"/>
              <w:left w:val="single" w:sz="1" w:space="0" w:color="C0D0E0"/>
              <w:bottom w:val="single" w:sz="1" w:space="0" w:color="C0D0E0"/>
              <w:right w:val="single" w:sz="1" w:space="0" w:color="C0D0E0"/>
            </w:tcBorders>
            <w:shd w:val="clear" w:color="auto" w:fill="FFFFFF"/>
            <w:tcMar>
              <w:top w:w="80" w:type="dxa"/>
              <w:left w:w="100" w:type="dxa"/>
              <w:bottom w:w="80" w:type="dxa"/>
              <w:right w:w="100" w:type="dxa"/>
            </w:tcMar>
          </w:tcPr>
          <w:p w14:paraId="51857E44" w14:textId="77777777" w:rsidR="00D605FA" w:rsidRDefault="00000000">
            <w:r>
              <w:rPr>
                <w:color w:val="444444"/>
                <w:sz w:val="19"/>
                <w:szCs w:val="19"/>
              </w:rPr>
              <w:t>Data Moat + Contracts</w:t>
            </w:r>
          </w:p>
        </w:tc>
      </w:tr>
    </w:tbl>
    <w:p w14:paraId="51857E46" w14:textId="77777777" w:rsidR="00D605FA" w:rsidRDefault="00000000">
      <w:pPr>
        <w:pStyle w:val="Heading2"/>
      </w:pPr>
      <w:r>
        <w:t>4.3 Stock Selection Methodology</w:t>
      </w:r>
    </w:p>
    <w:p w14:paraId="51857E47" w14:textId="77777777" w:rsidR="00D605FA" w:rsidRDefault="00000000">
      <w:pPr>
        <w:pStyle w:val="Heading3"/>
      </w:pPr>
      <w:r>
        <w:t>Fundamental Criteria (Quantitative Screening)</w:t>
      </w:r>
    </w:p>
    <w:p w14:paraId="51857E48" w14:textId="77777777" w:rsidR="00D605FA" w:rsidRDefault="00000000">
      <w:pPr>
        <w:pStyle w:val="ListParagraph"/>
        <w:numPr>
          <w:ilvl w:val="0"/>
          <w:numId w:val="2"/>
        </w:numPr>
        <w:spacing w:before="60" w:after="60"/>
      </w:pPr>
      <w:r>
        <w:rPr>
          <w:color w:val="1A1A1A"/>
        </w:rPr>
        <w:t>Revenue growth: 3-year CAGR &gt; 15% for growth names; &gt; 5% for quality/value names</w:t>
      </w:r>
    </w:p>
    <w:p w14:paraId="51857E49" w14:textId="77777777" w:rsidR="00D605FA" w:rsidRDefault="00000000">
      <w:pPr>
        <w:pStyle w:val="ListParagraph"/>
        <w:numPr>
          <w:ilvl w:val="0"/>
          <w:numId w:val="2"/>
        </w:numPr>
        <w:spacing w:before="60" w:after="60"/>
      </w:pPr>
      <w:r>
        <w:rPr>
          <w:color w:val="1A1A1A"/>
        </w:rPr>
        <w:t>Gross margin: &gt; 40% for technology companies; &gt; 25% for industrials</w:t>
      </w:r>
    </w:p>
    <w:p w14:paraId="51857E4A" w14:textId="77777777" w:rsidR="00D605FA" w:rsidRDefault="00000000">
      <w:pPr>
        <w:pStyle w:val="ListParagraph"/>
        <w:numPr>
          <w:ilvl w:val="0"/>
          <w:numId w:val="2"/>
        </w:numPr>
        <w:spacing w:before="60" w:after="60"/>
      </w:pPr>
      <w:r>
        <w:rPr>
          <w:color w:val="1A1A1A"/>
        </w:rPr>
        <w:t>Return on invested capital (ROIC): &gt; 15% for established names</w:t>
      </w:r>
    </w:p>
    <w:p w14:paraId="51857E4B" w14:textId="77777777" w:rsidR="00D605FA" w:rsidRDefault="00000000">
      <w:pPr>
        <w:pStyle w:val="ListParagraph"/>
        <w:numPr>
          <w:ilvl w:val="0"/>
          <w:numId w:val="2"/>
        </w:numPr>
        <w:spacing w:before="60" w:after="60"/>
      </w:pPr>
      <w:r>
        <w:rPr>
          <w:color w:val="1A1A1A"/>
        </w:rPr>
        <w:t>Free cash flow yield: Positive FCF; FCF margin &gt; 10% preferred</w:t>
      </w:r>
    </w:p>
    <w:p w14:paraId="51857E4C" w14:textId="77777777" w:rsidR="00D605FA" w:rsidRDefault="00000000">
      <w:pPr>
        <w:pStyle w:val="ListParagraph"/>
        <w:numPr>
          <w:ilvl w:val="0"/>
          <w:numId w:val="2"/>
        </w:numPr>
        <w:spacing w:before="60" w:after="60"/>
      </w:pPr>
      <w:r>
        <w:rPr>
          <w:color w:val="1A1A1A"/>
        </w:rPr>
        <w:t>Net debt / EBITDA: &lt; 2.0x; net cash positions strongly preferred</w:t>
      </w:r>
    </w:p>
    <w:p w14:paraId="51857E4D" w14:textId="77777777" w:rsidR="00D605FA" w:rsidRDefault="00000000">
      <w:pPr>
        <w:pStyle w:val="ListParagraph"/>
        <w:numPr>
          <w:ilvl w:val="0"/>
          <w:numId w:val="2"/>
        </w:numPr>
        <w:spacing w:before="60" w:after="60"/>
      </w:pPr>
      <w:r>
        <w:rPr>
          <w:color w:val="1A1A1A"/>
        </w:rPr>
        <w:t>Earnings growth visibility: Analyst consensus 3-year EPS CAGR &gt; 12%</w:t>
      </w:r>
    </w:p>
    <w:p w14:paraId="51857E4E" w14:textId="77777777" w:rsidR="00D605FA" w:rsidRDefault="00000000">
      <w:pPr>
        <w:pStyle w:val="Heading3"/>
      </w:pPr>
      <w:r>
        <w:t>Qualitative Criteria</w:t>
      </w:r>
    </w:p>
    <w:p w14:paraId="51857E4F" w14:textId="77777777" w:rsidR="00D605FA" w:rsidRDefault="00000000">
      <w:pPr>
        <w:pStyle w:val="ListParagraph"/>
        <w:numPr>
          <w:ilvl w:val="0"/>
          <w:numId w:val="2"/>
        </w:numPr>
        <w:spacing w:before="60" w:after="60"/>
      </w:pPr>
      <w:r>
        <w:rPr>
          <w:color w:val="1A1A1A"/>
        </w:rPr>
        <w:t>Durable competitive moat (assessed via Porter's Five Forces and moat classification)</w:t>
      </w:r>
    </w:p>
    <w:p w14:paraId="51857E50" w14:textId="77777777" w:rsidR="00D605FA" w:rsidRDefault="00000000">
      <w:pPr>
        <w:pStyle w:val="ListParagraph"/>
        <w:numPr>
          <w:ilvl w:val="0"/>
          <w:numId w:val="2"/>
        </w:numPr>
        <w:spacing w:before="60" w:after="60"/>
      </w:pPr>
      <w:r>
        <w:rPr>
          <w:color w:val="1A1A1A"/>
        </w:rPr>
        <w:t>Management quality: Insider ownership &gt; 5%, track record of capital allocation</w:t>
      </w:r>
    </w:p>
    <w:p w14:paraId="51857E51" w14:textId="77777777" w:rsidR="00D605FA" w:rsidRDefault="00000000">
      <w:pPr>
        <w:pStyle w:val="ListParagraph"/>
        <w:numPr>
          <w:ilvl w:val="0"/>
          <w:numId w:val="2"/>
        </w:numPr>
        <w:spacing w:before="60" w:after="60"/>
      </w:pPr>
      <w:r>
        <w:rPr>
          <w:color w:val="1A1A1A"/>
        </w:rPr>
        <w:t>Addressable market (TAM): $50bn+ TAM with plausible path to significant market share</w:t>
      </w:r>
    </w:p>
    <w:p w14:paraId="51857E52" w14:textId="77777777" w:rsidR="00D605FA" w:rsidRDefault="00000000">
      <w:pPr>
        <w:pStyle w:val="ListParagraph"/>
        <w:numPr>
          <w:ilvl w:val="0"/>
          <w:numId w:val="2"/>
        </w:numPr>
        <w:spacing w:before="60" w:after="60"/>
      </w:pPr>
      <w:r>
        <w:rPr>
          <w:color w:val="1A1A1A"/>
        </w:rPr>
        <w:t>Technology leadership: #1 or #2 in their core market with defensible positioning</w:t>
      </w:r>
    </w:p>
    <w:p w14:paraId="51857E53" w14:textId="77777777" w:rsidR="00D605FA" w:rsidRDefault="00000000">
      <w:pPr>
        <w:pStyle w:val="ListParagraph"/>
        <w:numPr>
          <w:ilvl w:val="0"/>
          <w:numId w:val="2"/>
        </w:numPr>
        <w:spacing w:before="60" w:after="60"/>
      </w:pPr>
      <w:r>
        <w:rPr>
          <w:color w:val="1A1A1A"/>
        </w:rPr>
        <w:t>Regulatory environment: No existential regulatory risk over the investment horizon</w:t>
      </w:r>
    </w:p>
    <w:p w14:paraId="51857E54" w14:textId="77777777" w:rsidR="00D605FA" w:rsidRDefault="00000000">
      <w:pPr>
        <w:pStyle w:val="Heading1"/>
        <w:pageBreakBefore/>
        <w:pBdr>
          <w:bottom w:val="single" w:sz="8" w:space="4" w:color="2E6BA8"/>
        </w:pBdr>
      </w:pPr>
      <w:r>
        <w:lastRenderedPageBreak/>
        <w:t>5. Fixed Income, Commodities &amp; Cash</w:t>
      </w:r>
    </w:p>
    <w:p w14:paraId="51857E55" w14:textId="77777777" w:rsidR="00D605FA" w:rsidRDefault="00000000">
      <w:pPr>
        <w:pStyle w:val="Heading2"/>
      </w:pPr>
      <w:r>
        <w:t>5.1 Fixed Income (15% | £750)</w:t>
      </w:r>
    </w:p>
    <w:p w14:paraId="51857E56" w14:textId="77777777" w:rsidR="00D605FA" w:rsidRDefault="00000000">
      <w:pPr>
        <w:spacing w:before="80" w:after="80"/>
      </w:pPr>
      <w:r>
        <w:rPr>
          <w:color w:val="1A1A1A"/>
        </w:rPr>
        <w:t>Fixed income serves as portfolio ballast - providing partial downside protection during equity bear markets and preserving optionality. Given the 10-year horizon and moderate risk profile, duration is kept short-to-medium (&lt; 5 years average). The preference is for individual government bonds or high-grade corporate bonds over bond funds to avoid the fee drag and maintain control. If minimum denomination makes direct bonds impractical at this portfolio size, one or two targeted ETFs (e.g. short-duration UK Gilts, US Treasuries) are permitted as a narrow exception.</w:t>
      </w:r>
    </w:p>
    <w:p w14:paraId="51857E57" w14:textId="77777777" w:rsidR="00D605FA" w:rsidRDefault="00000000">
      <w:pPr>
        <w:pStyle w:val="ListParagraph"/>
        <w:numPr>
          <w:ilvl w:val="0"/>
          <w:numId w:val="2"/>
        </w:numPr>
        <w:spacing w:before="60" w:after="60"/>
      </w:pPr>
      <w:r>
        <w:rPr>
          <w:color w:val="1A1A1A"/>
        </w:rPr>
        <w:t>US Treasury Bills / Notes (2–3 year): ~£400 - flight-to-quality anchor</w:t>
      </w:r>
    </w:p>
    <w:p w14:paraId="51857E58" w14:textId="77777777" w:rsidR="00D605FA" w:rsidRDefault="00000000">
      <w:pPr>
        <w:pStyle w:val="ListParagraph"/>
        <w:numPr>
          <w:ilvl w:val="0"/>
          <w:numId w:val="2"/>
        </w:numPr>
        <w:spacing w:before="60" w:after="60"/>
      </w:pPr>
      <w:r>
        <w:rPr>
          <w:color w:val="1A1A1A"/>
        </w:rPr>
        <w:t>UK Government Gilts (2-year): ~£200 - sterling exposure, home currency income</w:t>
      </w:r>
    </w:p>
    <w:p w14:paraId="51857E59" w14:textId="77777777" w:rsidR="00D605FA" w:rsidRDefault="00000000">
      <w:pPr>
        <w:pStyle w:val="ListParagraph"/>
        <w:numPr>
          <w:ilvl w:val="0"/>
          <w:numId w:val="2"/>
        </w:numPr>
        <w:spacing w:before="60" w:after="60"/>
      </w:pPr>
      <w:r>
        <w:rPr>
          <w:color w:val="1A1A1A"/>
        </w:rPr>
        <w:t>Investment grade corporate bond (if available at acceptable minimum): ~£150</w:t>
      </w:r>
    </w:p>
    <w:p w14:paraId="51857E5A" w14:textId="77777777" w:rsidR="00D605FA" w:rsidRDefault="00000000">
      <w:pPr>
        <w:pStyle w:val="Heading2"/>
      </w:pPr>
      <w:r>
        <w:t>5.2 Commodities &amp; Real Assets (10% | £500)</w:t>
      </w:r>
    </w:p>
    <w:p w14:paraId="51857E5B" w14:textId="77777777" w:rsidR="00D605FA" w:rsidRDefault="00000000">
      <w:pPr>
        <w:pStyle w:val="ListParagraph"/>
        <w:numPr>
          <w:ilvl w:val="0"/>
          <w:numId w:val="2"/>
        </w:numPr>
        <w:spacing w:before="60" w:after="60"/>
      </w:pPr>
      <w:r>
        <w:rPr>
          <w:color w:val="1A1A1A"/>
        </w:rPr>
        <w:t>Gold (IAU or SGLN physical gold ETC): £300 - inflation hedge, crisis hedge, independent of equity cycle</w:t>
      </w:r>
    </w:p>
    <w:p w14:paraId="51857E5C" w14:textId="77777777" w:rsidR="00D605FA" w:rsidRDefault="00000000">
      <w:pPr>
        <w:pStyle w:val="ListParagraph"/>
        <w:numPr>
          <w:ilvl w:val="0"/>
          <w:numId w:val="2"/>
        </w:numPr>
        <w:spacing w:before="60" w:after="60"/>
      </w:pPr>
      <w:r>
        <w:rPr>
          <w:color w:val="1A1A1A"/>
        </w:rPr>
        <w:t>Uranium (Sprott Physical Uranium Trust - U.UN or SPUT): £100 - structural nuclear energy demand driven by data centre power requirements and global decarbonisation</w:t>
      </w:r>
    </w:p>
    <w:p w14:paraId="51857E5D" w14:textId="77777777" w:rsidR="00D605FA" w:rsidRDefault="00000000">
      <w:pPr>
        <w:pStyle w:val="ListParagraph"/>
        <w:numPr>
          <w:ilvl w:val="0"/>
          <w:numId w:val="2"/>
        </w:numPr>
        <w:spacing w:before="60" w:after="60"/>
      </w:pPr>
      <w:r>
        <w:rPr>
          <w:color w:val="1A1A1A"/>
        </w:rPr>
        <w:t>Silver (PHAG physical silver ETC): £100 - dual industrial + monetary demand; leveraged upside to gold</w:t>
      </w:r>
    </w:p>
    <w:p w14:paraId="51857E5E" w14:textId="77777777" w:rsidR="00D605FA" w:rsidRDefault="00000000">
      <w:pPr>
        <w:spacing w:before="80" w:after="80"/>
      </w:pPr>
      <w:r>
        <w:rPr>
          <w:i/>
          <w:iCs/>
          <w:color w:val="1A1A1A"/>
        </w:rPr>
        <w:t>Note: Commodity ETCs/ETFs are acceptable in this sleeve as there is no viable alternative for physical commodity access at this portfolio size. This does not violate the anti-ETF mandate, which applies principally to equity exposure.</w:t>
      </w:r>
    </w:p>
    <w:p w14:paraId="51857E5F" w14:textId="77777777" w:rsidR="00D605FA" w:rsidRDefault="00000000">
      <w:pPr>
        <w:pStyle w:val="Heading2"/>
      </w:pPr>
      <w:r>
        <w:t>5.3 Cash Reserve (10% | £500)</w:t>
      </w:r>
    </w:p>
    <w:p w14:paraId="51857E60" w14:textId="77777777" w:rsidR="00D605FA" w:rsidRDefault="00000000">
      <w:pPr>
        <w:spacing w:before="80" w:after="80"/>
      </w:pPr>
      <w:r>
        <w:rPr>
          <w:color w:val="1A1A1A"/>
        </w:rPr>
        <w:t>The cash reserve serves two purposes: (1) as an emergency buffer against forced selling, and (2) as dry powder for tactical deployment when the daily analytics engine identifies high-conviction entry points following corrections of 10%+ in target names. Cash is held in a regulated money market fund or high-yield instant-access deposit earning &gt; 4% AER to avoid idle capital drag.</w:t>
      </w:r>
    </w:p>
    <w:p w14:paraId="51857E61" w14:textId="77777777" w:rsidR="00D605FA" w:rsidRDefault="00000000">
      <w:pPr>
        <w:pStyle w:val="Heading1"/>
        <w:pageBreakBefore/>
        <w:pBdr>
          <w:bottom w:val="single" w:sz="8" w:space="4" w:color="2E6BA8"/>
        </w:pBdr>
      </w:pPr>
      <w:r>
        <w:lastRenderedPageBreak/>
        <w:t>6. 10-Year Investment Thesis (2026–2036)</w:t>
      </w:r>
    </w:p>
    <w:p w14:paraId="51857E62" w14:textId="77777777" w:rsidR="00D605FA" w:rsidRDefault="00000000">
      <w:pPr>
        <w:spacing w:before="80" w:after="80"/>
      </w:pPr>
      <w:r>
        <w:rPr>
          <w:color w:val="1A1A1A"/>
        </w:rPr>
        <w:t>Investment conviction is anchored in seven structural megatrends expected to drive disproportionate economic value creation between 2026 and 2036. The portfolio is intentionally diversified across these themes - technology, clean energy, healthcare, agriculture and transport - to reduce single-cycle concentration risk. Each theme is graded by certainty of emergence, timing risk, and portfolio exposure.</w:t>
      </w:r>
    </w:p>
    <w:p w14:paraId="51857E63" w14:textId="77777777" w:rsidR="00D605FA" w:rsidRDefault="00D605FA">
      <w:pPr>
        <w:spacing w:before="1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4"/>
        <w:gridCol w:w="3677"/>
        <w:gridCol w:w="1195"/>
        <w:gridCol w:w="1182"/>
        <w:gridCol w:w="1112"/>
      </w:tblGrid>
      <w:tr w:rsidR="00D605FA" w14:paraId="51857E69" w14:textId="77777777">
        <w:tblPrEx>
          <w:tblCellMar>
            <w:top w:w="0" w:type="dxa"/>
            <w:bottom w:w="0" w:type="dxa"/>
          </w:tblCellMar>
        </w:tblPrEx>
        <w:tc>
          <w:tcPr>
            <w:tcW w:w="2200" w:type="dxa"/>
            <w:tcBorders>
              <w:top w:val="single" w:sz="1" w:space="0" w:color="C0D0E0"/>
              <w:left w:val="single" w:sz="1" w:space="0" w:color="C0D0E0"/>
              <w:bottom w:val="single" w:sz="1" w:space="0" w:color="C0D0E0"/>
              <w:right w:val="single" w:sz="1" w:space="0" w:color="C0D0E0"/>
            </w:tcBorders>
            <w:shd w:val="clear" w:color="auto" w:fill="0D2B55"/>
            <w:tcMar>
              <w:top w:w="80" w:type="dxa"/>
              <w:left w:w="100" w:type="dxa"/>
              <w:bottom w:w="80" w:type="dxa"/>
              <w:right w:w="100" w:type="dxa"/>
            </w:tcMar>
          </w:tcPr>
          <w:p w14:paraId="51857E64" w14:textId="77777777" w:rsidR="00D605FA" w:rsidRDefault="00000000">
            <w:r>
              <w:rPr>
                <w:b/>
                <w:bCs/>
                <w:color w:val="FFFFFF"/>
                <w:sz w:val="20"/>
                <w:szCs w:val="20"/>
              </w:rPr>
              <w:t>Megatrend</w:t>
            </w:r>
          </w:p>
        </w:tc>
        <w:tc>
          <w:tcPr>
            <w:tcW w:w="3760" w:type="dxa"/>
            <w:tcBorders>
              <w:top w:val="single" w:sz="1" w:space="0" w:color="C0D0E0"/>
              <w:left w:val="single" w:sz="1" w:space="0" w:color="C0D0E0"/>
              <w:bottom w:val="single" w:sz="1" w:space="0" w:color="C0D0E0"/>
              <w:right w:val="single" w:sz="1" w:space="0" w:color="C0D0E0"/>
            </w:tcBorders>
            <w:shd w:val="clear" w:color="auto" w:fill="0D2B55"/>
            <w:tcMar>
              <w:top w:w="80" w:type="dxa"/>
              <w:left w:w="100" w:type="dxa"/>
              <w:bottom w:w="80" w:type="dxa"/>
              <w:right w:w="100" w:type="dxa"/>
            </w:tcMar>
          </w:tcPr>
          <w:p w14:paraId="51857E65" w14:textId="77777777" w:rsidR="00D605FA" w:rsidRDefault="00000000">
            <w:r>
              <w:rPr>
                <w:b/>
                <w:bCs/>
                <w:color w:val="FFFFFF"/>
                <w:sz w:val="20"/>
                <w:szCs w:val="20"/>
              </w:rPr>
              <w:t>Investment Thesis</w:t>
            </w:r>
          </w:p>
        </w:tc>
        <w:tc>
          <w:tcPr>
            <w:tcW w:w="1200" w:type="dxa"/>
            <w:tcBorders>
              <w:top w:val="single" w:sz="1" w:space="0" w:color="C0D0E0"/>
              <w:left w:val="single" w:sz="1" w:space="0" w:color="C0D0E0"/>
              <w:bottom w:val="single" w:sz="1" w:space="0" w:color="C0D0E0"/>
              <w:right w:val="single" w:sz="1" w:space="0" w:color="C0D0E0"/>
            </w:tcBorders>
            <w:shd w:val="clear" w:color="auto" w:fill="0D2B55"/>
            <w:tcMar>
              <w:top w:w="80" w:type="dxa"/>
              <w:left w:w="100" w:type="dxa"/>
              <w:bottom w:w="80" w:type="dxa"/>
              <w:right w:w="100" w:type="dxa"/>
            </w:tcMar>
          </w:tcPr>
          <w:p w14:paraId="51857E66" w14:textId="77777777" w:rsidR="00D605FA" w:rsidRDefault="00000000">
            <w:r>
              <w:rPr>
                <w:b/>
                <w:bCs/>
                <w:color w:val="FFFFFF"/>
                <w:sz w:val="20"/>
                <w:szCs w:val="20"/>
              </w:rPr>
              <w:t>Certainty</w:t>
            </w:r>
          </w:p>
        </w:tc>
        <w:tc>
          <w:tcPr>
            <w:tcW w:w="1200" w:type="dxa"/>
            <w:tcBorders>
              <w:top w:val="single" w:sz="1" w:space="0" w:color="C0D0E0"/>
              <w:left w:val="single" w:sz="1" w:space="0" w:color="C0D0E0"/>
              <w:bottom w:val="single" w:sz="1" w:space="0" w:color="C0D0E0"/>
              <w:right w:val="single" w:sz="1" w:space="0" w:color="C0D0E0"/>
            </w:tcBorders>
            <w:shd w:val="clear" w:color="auto" w:fill="0D2B55"/>
            <w:tcMar>
              <w:top w:w="80" w:type="dxa"/>
              <w:left w:w="100" w:type="dxa"/>
              <w:bottom w:w="80" w:type="dxa"/>
              <w:right w:w="100" w:type="dxa"/>
            </w:tcMar>
          </w:tcPr>
          <w:p w14:paraId="51857E67" w14:textId="77777777" w:rsidR="00D605FA" w:rsidRDefault="00000000">
            <w:r>
              <w:rPr>
                <w:b/>
                <w:bCs/>
                <w:color w:val="FFFFFF"/>
                <w:sz w:val="20"/>
                <w:szCs w:val="20"/>
              </w:rPr>
              <w:t>Peak Year</w:t>
            </w:r>
          </w:p>
        </w:tc>
        <w:tc>
          <w:tcPr>
            <w:tcW w:w="1000" w:type="dxa"/>
            <w:tcBorders>
              <w:top w:val="single" w:sz="1" w:space="0" w:color="C0D0E0"/>
              <w:left w:val="single" w:sz="1" w:space="0" w:color="C0D0E0"/>
              <w:bottom w:val="single" w:sz="1" w:space="0" w:color="C0D0E0"/>
              <w:right w:val="single" w:sz="1" w:space="0" w:color="C0D0E0"/>
            </w:tcBorders>
            <w:shd w:val="clear" w:color="auto" w:fill="0D2B55"/>
            <w:tcMar>
              <w:top w:w="80" w:type="dxa"/>
              <w:left w:w="100" w:type="dxa"/>
              <w:bottom w:w="80" w:type="dxa"/>
              <w:right w:w="100" w:type="dxa"/>
            </w:tcMar>
          </w:tcPr>
          <w:p w14:paraId="51857E68" w14:textId="77777777" w:rsidR="00D605FA" w:rsidRDefault="00000000">
            <w:r>
              <w:rPr>
                <w:b/>
                <w:bCs/>
                <w:color w:val="FFFFFF"/>
                <w:sz w:val="20"/>
                <w:szCs w:val="20"/>
              </w:rPr>
              <w:t>Exposure</w:t>
            </w:r>
          </w:p>
        </w:tc>
      </w:tr>
      <w:tr w:rsidR="00D605FA" w14:paraId="51857E6F" w14:textId="77777777">
        <w:tblPrEx>
          <w:tblCellMar>
            <w:top w:w="0" w:type="dxa"/>
            <w:bottom w:w="0" w:type="dxa"/>
          </w:tblCellMar>
        </w:tblPrEx>
        <w:tc>
          <w:tcPr>
            <w:tcW w:w="2200" w:type="dxa"/>
            <w:tcBorders>
              <w:top w:val="single" w:sz="1" w:space="0" w:color="C0D0E0"/>
              <w:left w:val="single" w:sz="1" w:space="0" w:color="C0D0E0"/>
              <w:bottom w:val="single" w:sz="1" w:space="0" w:color="C0D0E0"/>
              <w:right w:val="single" w:sz="1" w:space="0" w:color="C0D0E0"/>
            </w:tcBorders>
            <w:shd w:val="clear" w:color="auto" w:fill="D6E4F0"/>
            <w:tcMar>
              <w:top w:w="80" w:type="dxa"/>
              <w:left w:w="120" w:type="dxa"/>
              <w:bottom w:w="80" w:type="dxa"/>
              <w:right w:w="120" w:type="dxa"/>
            </w:tcMar>
          </w:tcPr>
          <w:p w14:paraId="51857E6A" w14:textId="77777777" w:rsidR="00D605FA" w:rsidRDefault="00000000">
            <w:r>
              <w:rPr>
                <w:b/>
                <w:bCs/>
                <w:color w:val="0D2B55"/>
                <w:sz w:val="20"/>
                <w:szCs w:val="20"/>
              </w:rPr>
              <w:t>AI Infrastructure &amp; Sovereign AI</w:t>
            </w:r>
          </w:p>
        </w:tc>
        <w:tc>
          <w:tcPr>
            <w:tcW w:w="3760" w:type="dxa"/>
            <w:tcBorders>
              <w:top w:val="single" w:sz="1" w:space="0" w:color="C0D0E0"/>
              <w:left w:val="single" w:sz="1" w:space="0" w:color="C0D0E0"/>
              <w:bottom w:val="single" w:sz="1" w:space="0" w:color="C0D0E0"/>
              <w:right w:val="single" w:sz="1" w:space="0" w:color="C0D0E0"/>
            </w:tcBorders>
            <w:shd w:val="clear" w:color="auto" w:fill="D6E4F0"/>
            <w:tcMar>
              <w:top w:w="80" w:type="dxa"/>
              <w:left w:w="120" w:type="dxa"/>
              <w:bottom w:w="80" w:type="dxa"/>
              <w:right w:w="120" w:type="dxa"/>
            </w:tcMar>
          </w:tcPr>
          <w:p w14:paraId="51857E6B" w14:textId="77777777" w:rsidR="00D605FA" w:rsidRDefault="00000000">
            <w:r>
              <w:rPr>
                <w:color w:val="444444"/>
                <w:sz w:val="19"/>
                <w:szCs w:val="19"/>
              </w:rPr>
              <w:t>Every enterprise globally will require AI-powered compute, infrastructure, and software. The arms race between nations and hyperscalers is just beginning. Data centre power demand alone is expected to triple by 2030.</w:t>
            </w:r>
          </w:p>
        </w:tc>
        <w:tc>
          <w:tcPr>
            <w:tcW w:w="1200" w:type="dxa"/>
            <w:tcBorders>
              <w:top w:val="single" w:sz="1" w:space="0" w:color="C0D0E0"/>
              <w:left w:val="single" w:sz="1" w:space="0" w:color="C0D0E0"/>
              <w:bottom w:val="single" w:sz="1" w:space="0" w:color="C0D0E0"/>
              <w:right w:val="single" w:sz="1" w:space="0" w:color="C0D0E0"/>
            </w:tcBorders>
            <w:shd w:val="clear" w:color="auto" w:fill="D6E4F0"/>
            <w:tcMar>
              <w:top w:w="80" w:type="dxa"/>
              <w:left w:w="120" w:type="dxa"/>
              <w:bottom w:w="80" w:type="dxa"/>
              <w:right w:w="120" w:type="dxa"/>
            </w:tcMar>
          </w:tcPr>
          <w:p w14:paraId="51857E6C" w14:textId="77777777" w:rsidR="00D605FA" w:rsidRDefault="00000000">
            <w:pPr>
              <w:jc w:val="center"/>
            </w:pPr>
            <w:r>
              <w:rPr>
                <w:b/>
                <w:bCs/>
                <w:color w:val="1A7A4A"/>
                <w:sz w:val="19"/>
                <w:szCs w:val="19"/>
              </w:rPr>
              <w:t>Very High</w:t>
            </w:r>
          </w:p>
        </w:tc>
        <w:tc>
          <w:tcPr>
            <w:tcW w:w="1200" w:type="dxa"/>
            <w:tcBorders>
              <w:top w:val="single" w:sz="1" w:space="0" w:color="C0D0E0"/>
              <w:left w:val="single" w:sz="1" w:space="0" w:color="C0D0E0"/>
              <w:bottom w:val="single" w:sz="1" w:space="0" w:color="C0D0E0"/>
              <w:right w:val="single" w:sz="1" w:space="0" w:color="C0D0E0"/>
            </w:tcBorders>
            <w:shd w:val="clear" w:color="auto" w:fill="D6E4F0"/>
            <w:tcMar>
              <w:top w:w="80" w:type="dxa"/>
              <w:left w:w="120" w:type="dxa"/>
              <w:bottom w:w="80" w:type="dxa"/>
              <w:right w:w="120" w:type="dxa"/>
            </w:tcMar>
          </w:tcPr>
          <w:p w14:paraId="51857E6D" w14:textId="77777777" w:rsidR="00D605FA" w:rsidRDefault="00000000">
            <w:pPr>
              <w:jc w:val="center"/>
            </w:pPr>
            <w:r>
              <w:rPr>
                <w:color w:val="444444"/>
                <w:sz w:val="19"/>
                <w:szCs w:val="19"/>
              </w:rPr>
              <w:t>2028-2032</w:t>
            </w:r>
          </w:p>
        </w:tc>
        <w:tc>
          <w:tcPr>
            <w:tcW w:w="1000" w:type="dxa"/>
            <w:tcBorders>
              <w:top w:val="single" w:sz="1" w:space="0" w:color="C0D0E0"/>
              <w:left w:val="single" w:sz="1" w:space="0" w:color="C0D0E0"/>
              <w:bottom w:val="single" w:sz="1" w:space="0" w:color="C0D0E0"/>
              <w:right w:val="single" w:sz="1" w:space="0" w:color="C0D0E0"/>
            </w:tcBorders>
            <w:shd w:val="clear" w:color="auto" w:fill="D6E4F0"/>
            <w:tcMar>
              <w:top w:w="80" w:type="dxa"/>
              <w:left w:w="120" w:type="dxa"/>
              <w:bottom w:w="80" w:type="dxa"/>
              <w:right w:w="120" w:type="dxa"/>
            </w:tcMar>
          </w:tcPr>
          <w:p w14:paraId="51857E6E" w14:textId="77777777" w:rsidR="00D605FA" w:rsidRDefault="00000000">
            <w:r>
              <w:rPr>
                <w:b/>
                <w:bCs/>
                <w:color w:val="2E6BA8"/>
                <w:sz w:val="18"/>
                <w:szCs w:val="18"/>
              </w:rPr>
              <w:t>ASML, MSFT, GOOG, AMD</w:t>
            </w:r>
          </w:p>
        </w:tc>
      </w:tr>
      <w:tr w:rsidR="00D605FA" w14:paraId="51857E75" w14:textId="77777777">
        <w:tblPrEx>
          <w:tblCellMar>
            <w:top w:w="0" w:type="dxa"/>
            <w:bottom w:w="0" w:type="dxa"/>
          </w:tblCellMar>
        </w:tblPrEx>
        <w:tc>
          <w:tcPr>
            <w:tcW w:w="2200"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tcPr>
          <w:p w14:paraId="51857E70" w14:textId="77777777" w:rsidR="00D605FA" w:rsidRDefault="00000000">
            <w:r>
              <w:rPr>
                <w:b/>
                <w:bCs/>
                <w:color w:val="0D2B55"/>
                <w:sz w:val="20"/>
                <w:szCs w:val="20"/>
              </w:rPr>
              <w:t>Advanced Semiconductor Manufacturing</w:t>
            </w:r>
          </w:p>
        </w:tc>
        <w:tc>
          <w:tcPr>
            <w:tcW w:w="3760"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tcPr>
          <w:p w14:paraId="51857E71" w14:textId="77777777" w:rsidR="00D605FA" w:rsidRDefault="00000000">
            <w:r>
              <w:rPr>
                <w:color w:val="444444"/>
                <w:sz w:val="19"/>
                <w:szCs w:val="19"/>
              </w:rPr>
              <w:t>TSMC manufactures 90%+ of advanced chips (&lt; 5nm). ASML holds a complete monopoly on EUV lithography - no advanced chip can be made without their machines. Both companies are indispensable to the entire technology industry.</w:t>
            </w:r>
          </w:p>
        </w:tc>
        <w:tc>
          <w:tcPr>
            <w:tcW w:w="1200"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tcPr>
          <w:p w14:paraId="51857E72" w14:textId="77777777" w:rsidR="00D605FA" w:rsidRDefault="00000000">
            <w:pPr>
              <w:jc w:val="center"/>
            </w:pPr>
            <w:r>
              <w:rPr>
                <w:b/>
                <w:bCs/>
                <w:color w:val="1A7A4A"/>
                <w:sz w:val="19"/>
                <w:szCs w:val="19"/>
              </w:rPr>
              <w:t>Very High</w:t>
            </w:r>
          </w:p>
        </w:tc>
        <w:tc>
          <w:tcPr>
            <w:tcW w:w="1200"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tcPr>
          <w:p w14:paraId="51857E73" w14:textId="77777777" w:rsidR="00D605FA" w:rsidRDefault="00000000">
            <w:pPr>
              <w:jc w:val="center"/>
            </w:pPr>
            <w:r>
              <w:rPr>
                <w:color w:val="444444"/>
                <w:sz w:val="19"/>
                <w:szCs w:val="19"/>
              </w:rPr>
              <w:t>2026-2035</w:t>
            </w:r>
          </w:p>
        </w:tc>
        <w:tc>
          <w:tcPr>
            <w:tcW w:w="1000"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tcPr>
          <w:p w14:paraId="51857E74" w14:textId="77777777" w:rsidR="00D605FA" w:rsidRDefault="00000000">
            <w:r>
              <w:rPr>
                <w:b/>
                <w:bCs/>
                <w:color w:val="2E6BA8"/>
                <w:sz w:val="18"/>
                <w:szCs w:val="18"/>
              </w:rPr>
              <w:t>TSM, ASML</w:t>
            </w:r>
          </w:p>
        </w:tc>
      </w:tr>
      <w:tr w:rsidR="00D605FA" w14:paraId="51857E7B" w14:textId="77777777">
        <w:tblPrEx>
          <w:tblCellMar>
            <w:top w:w="0" w:type="dxa"/>
            <w:bottom w:w="0" w:type="dxa"/>
          </w:tblCellMar>
        </w:tblPrEx>
        <w:tc>
          <w:tcPr>
            <w:tcW w:w="2200" w:type="dxa"/>
            <w:tcBorders>
              <w:top w:val="single" w:sz="1" w:space="0" w:color="C0D0E0"/>
              <w:left w:val="single" w:sz="1" w:space="0" w:color="C0D0E0"/>
              <w:bottom w:val="single" w:sz="1" w:space="0" w:color="C0D0E0"/>
              <w:right w:val="single" w:sz="1" w:space="0" w:color="C0D0E0"/>
            </w:tcBorders>
            <w:shd w:val="clear" w:color="auto" w:fill="D6E4F0"/>
            <w:tcMar>
              <w:top w:w="80" w:type="dxa"/>
              <w:left w:w="120" w:type="dxa"/>
              <w:bottom w:w="80" w:type="dxa"/>
              <w:right w:w="120" w:type="dxa"/>
            </w:tcMar>
          </w:tcPr>
          <w:p w14:paraId="51857E76" w14:textId="77777777" w:rsidR="00D605FA" w:rsidRDefault="00000000">
            <w:r>
              <w:rPr>
                <w:b/>
                <w:bCs/>
                <w:color w:val="0D2B55"/>
                <w:sz w:val="20"/>
                <w:szCs w:val="20"/>
              </w:rPr>
              <w:t>Clean Energy &amp; Power Infrastructure</w:t>
            </w:r>
          </w:p>
        </w:tc>
        <w:tc>
          <w:tcPr>
            <w:tcW w:w="3760" w:type="dxa"/>
            <w:tcBorders>
              <w:top w:val="single" w:sz="1" w:space="0" w:color="C0D0E0"/>
              <w:left w:val="single" w:sz="1" w:space="0" w:color="C0D0E0"/>
              <w:bottom w:val="single" w:sz="1" w:space="0" w:color="C0D0E0"/>
              <w:right w:val="single" w:sz="1" w:space="0" w:color="C0D0E0"/>
            </w:tcBorders>
            <w:shd w:val="clear" w:color="auto" w:fill="D6E4F0"/>
            <w:tcMar>
              <w:top w:w="80" w:type="dxa"/>
              <w:left w:w="120" w:type="dxa"/>
              <w:bottom w:w="80" w:type="dxa"/>
              <w:right w:w="120" w:type="dxa"/>
            </w:tcMar>
          </w:tcPr>
          <w:p w14:paraId="51857E77" w14:textId="77777777" w:rsidR="00D605FA" w:rsidRDefault="00000000">
            <w:r>
              <w:rPr>
                <w:color w:val="444444"/>
                <w:sz w:val="19"/>
                <w:szCs w:val="19"/>
              </w:rPr>
              <w:t>AI data centres require enormous and growing baseload power. NEE is the largest clean energy producer in the world and is directly contracted to supply new data centre campuses. The nuclear uranium cycle (CCJ) provides the critical baseload complement.</w:t>
            </w:r>
          </w:p>
        </w:tc>
        <w:tc>
          <w:tcPr>
            <w:tcW w:w="1200" w:type="dxa"/>
            <w:tcBorders>
              <w:top w:val="single" w:sz="1" w:space="0" w:color="C0D0E0"/>
              <w:left w:val="single" w:sz="1" w:space="0" w:color="C0D0E0"/>
              <w:bottom w:val="single" w:sz="1" w:space="0" w:color="C0D0E0"/>
              <w:right w:val="single" w:sz="1" w:space="0" w:color="C0D0E0"/>
            </w:tcBorders>
            <w:shd w:val="clear" w:color="auto" w:fill="D6E4F0"/>
            <w:tcMar>
              <w:top w:w="80" w:type="dxa"/>
              <w:left w:w="120" w:type="dxa"/>
              <w:bottom w:w="80" w:type="dxa"/>
              <w:right w:w="120" w:type="dxa"/>
            </w:tcMar>
          </w:tcPr>
          <w:p w14:paraId="51857E78" w14:textId="77777777" w:rsidR="00D605FA" w:rsidRDefault="00000000">
            <w:pPr>
              <w:jc w:val="center"/>
            </w:pPr>
            <w:r>
              <w:rPr>
                <w:b/>
                <w:bCs/>
                <w:color w:val="2E6BA8"/>
                <w:sz w:val="19"/>
                <w:szCs w:val="19"/>
              </w:rPr>
              <w:t>High</w:t>
            </w:r>
          </w:p>
        </w:tc>
        <w:tc>
          <w:tcPr>
            <w:tcW w:w="1200" w:type="dxa"/>
            <w:tcBorders>
              <w:top w:val="single" w:sz="1" w:space="0" w:color="C0D0E0"/>
              <w:left w:val="single" w:sz="1" w:space="0" w:color="C0D0E0"/>
              <w:bottom w:val="single" w:sz="1" w:space="0" w:color="C0D0E0"/>
              <w:right w:val="single" w:sz="1" w:space="0" w:color="C0D0E0"/>
            </w:tcBorders>
            <w:shd w:val="clear" w:color="auto" w:fill="D6E4F0"/>
            <w:tcMar>
              <w:top w:w="80" w:type="dxa"/>
              <w:left w:w="120" w:type="dxa"/>
              <w:bottom w:w="80" w:type="dxa"/>
              <w:right w:w="120" w:type="dxa"/>
            </w:tcMar>
          </w:tcPr>
          <w:p w14:paraId="51857E79" w14:textId="77777777" w:rsidR="00D605FA" w:rsidRDefault="00000000">
            <w:pPr>
              <w:jc w:val="center"/>
            </w:pPr>
            <w:r>
              <w:rPr>
                <w:color w:val="444444"/>
                <w:sz w:val="19"/>
                <w:szCs w:val="19"/>
              </w:rPr>
              <w:t>2027-2034</w:t>
            </w:r>
          </w:p>
        </w:tc>
        <w:tc>
          <w:tcPr>
            <w:tcW w:w="1000" w:type="dxa"/>
            <w:tcBorders>
              <w:top w:val="single" w:sz="1" w:space="0" w:color="C0D0E0"/>
              <w:left w:val="single" w:sz="1" w:space="0" w:color="C0D0E0"/>
              <w:bottom w:val="single" w:sz="1" w:space="0" w:color="C0D0E0"/>
              <w:right w:val="single" w:sz="1" w:space="0" w:color="C0D0E0"/>
            </w:tcBorders>
            <w:shd w:val="clear" w:color="auto" w:fill="D6E4F0"/>
            <w:tcMar>
              <w:top w:w="80" w:type="dxa"/>
              <w:left w:w="120" w:type="dxa"/>
              <w:bottom w:w="80" w:type="dxa"/>
              <w:right w:w="120" w:type="dxa"/>
            </w:tcMar>
          </w:tcPr>
          <w:p w14:paraId="51857E7A" w14:textId="77777777" w:rsidR="00D605FA" w:rsidRDefault="00000000">
            <w:r>
              <w:rPr>
                <w:b/>
                <w:bCs/>
                <w:color w:val="2E6BA8"/>
                <w:sz w:val="18"/>
                <w:szCs w:val="18"/>
              </w:rPr>
              <w:t>NEE, CCJ</w:t>
            </w:r>
          </w:p>
        </w:tc>
      </w:tr>
      <w:tr w:rsidR="00D605FA" w14:paraId="51857E81" w14:textId="77777777">
        <w:tblPrEx>
          <w:tblCellMar>
            <w:top w:w="0" w:type="dxa"/>
            <w:bottom w:w="0" w:type="dxa"/>
          </w:tblCellMar>
        </w:tblPrEx>
        <w:tc>
          <w:tcPr>
            <w:tcW w:w="2200"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tcPr>
          <w:p w14:paraId="51857E7C" w14:textId="77777777" w:rsidR="00D605FA" w:rsidRDefault="00000000">
            <w:r>
              <w:rPr>
                <w:b/>
                <w:bCs/>
                <w:color w:val="0D2B55"/>
                <w:sz w:val="20"/>
                <w:szCs w:val="20"/>
              </w:rPr>
              <w:t>Precision Medicine &amp; GLP-1 Drugs</w:t>
            </w:r>
          </w:p>
        </w:tc>
        <w:tc>
          <w:tcPr>
            <w:tcW w:w="3760"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tcPr>
          <w:p w14:paraId="51857E7D" w14:textId="77777777" w:rsidR="00D605FA" w:rsidRDefault="00000000">
            <w:r>
              <w:rPr>
                <w:color w:val="444444"/>
                <w:sz w:val="19"/>
                <w:szCs w:val="19"/>
              </w:rPr>
              <w:t xml:space="preserve">GLP-1 obesity drugs are projected to become the largest pharmaceutical market in history - treating obesity, diabetes and potentially cardiovascular disease. Eli Lilly leads this market with </w:t>
            </w:r>
            <w:proofErr w:type="spellStart"/>
            <w:r>
              <w:rPr>
                <w:color w:val="444444"/>
                <w:sz w:val="19"/>
                <w:szCs w:val="19"/>
              </w:rPr>
              <w:t>Mounjaro</w:t>
            </w:r>
            <w:proofErr w:type="spellEnd"/>
            <w:r>
              <w:rPr>
                <w:color w:val="444444"/>
                <w:sz w:val="19"/>
                <w:szCs w:val="19"/>
              </w:rPr>
              <w:t xml:space="preserve"> and </w:t>
            </w:r>
            <w:proofErr w:type="spellStart"/>
            <w:r>
              <w:rPr>
                <w:color w:val="444444"/>
                <w:sz w:val="19"/>
                <w:szCs w:val="19"/>
              </w:rPr>
              <w:t>Zepbound</w:t>
            </w:r>
            <w:proofErr w:type="spellEnd"/>
            <w:r>
              <w:rPr>
                <w:color w:val="444444"/>
                <w:sz w:val="19"/>
                <w:szCs w:val="19"/>
              </w:rPr>
              <w:t>.</w:t>
            </w:r>
          </w:p>
        </w:tc>
        <w:tc>
          <w:tcPr>
            <w:tcW w:w="1200"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tcPr>
          <w:p w14:paraId="51857E7E" w14:textId="77777777" w:rsidR="00D605FA" w:rsidRDefault="00000000">
            <w:pPr>
              <w:jc w:val="center"/>
            </w:pPr>
            <w:r>
              <w:rPr>
                <w:b/>
                <w:bCs/>
                <w:color w:val="2E6BA8"/>
                <w:sz w:val="19"/>
                <w:szCs w:val="19"/>
              </w:rPr>
              <w:t>High</w:t>
            </w:r>
          </w:p>
        </w:tc>
        <w:tc>
          <w:tcPr>
            <w:tcW w:w="1200"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tcPr>
          <w:p w14:paraId="51857E7F" w14:textId="77777777" w:rsidR="00D605FA" w:rsidRDefault="00000000">
            <w:pPr>
              <w:jc w:val="center"/>
            </w:pPr>
            <w:r>
              <w:rPr>
                <w:color w:val="444444"/>
                <w:sz w:val="19"/>
                <w:szCs w:val="19"/>
              </w:rPr>
              <w:t>2027-2033</w:t>
            </w:r>
          </w:p>
        </w:tc>
        <w:tc>
          <w:tcPr>
            <w:tcW w:w="1000"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tcPr>
          <w:p w14:paraId="51857E80" w14:textId="77777777" w:rsidR="00D605FA" w:rsidRDefault="00000000">
            <w:r>
              <w:rPr>
                <w:b/>
                <w:bCs/>
                <w:color w:val="2E6BA8"/>
                <w:sz w:val="18"/>
                <w:szCs w:val="18"/>
              </w:rPr>
              <w:t>LLY</w:t>
            </w:r>
          </w:p>
        </w:tc>
      </w:tr>
      <w:tr w:rsidR="00D605FA" w14:paraId="51857E87" w14:textId="77777777">
        <w:tblPrEx>
          <w:tblCellMar>
            <w:top w:w="0" w:type="dxa"/>
            <w:bottom w:w="0" w:type="dxa"/>
          </w:tblCellMar>
        </w:tblPrEx>
        <w:tc>
          <w:tcPr>
            <w:tcW w:w="2200" w:type="dxa"/>
            <w:tcBorders>
              <w:top w:val="single" w:sz="1" w:space="0" w:color="C0D0E0"/>
              <w:left w:val="single" w:sz="1" w:space="0" w:color="C0D0E0"/>
              <w:bottom w:val="single" w:sz="1" w:space="0" w:color="C0D0E0"/>
              <w:right w:val="single" w:sz="1" w:space="0" w:color="C0D0E0"/>
            </w:tcBorders>
            <w:shd w:val="clear" w:color="auto" w:fill="D6E4F0"/>
            <w:tcMar>
              <w:top w:w="80" w:type="dxa"/>
              <w:left w:w="120" w:type="dxa"/>
              <w:bottom w:w="80" w:type="dxa"/>
              <w:right w:w="120" w:type="dxa"/>
            </w:tcMar>
          </w:tcPr>
          <w:p w14:paraId="51857E82" w14:textId="77777777" w:rsidR="00D605FA" w:rsidRDefault="00000000">
            <w:r>
              <w:rPr>
                <w:b/>
                <w:bCs/>
                <w:color w:val="0D2B55"/>
                <w:sz w:val="20"/>
                <w:szCs w:val="20"/>
              </w:rPr>
              <w:t>Autonomous Transport, Robotics &amp; Industrial AI</w:t>
            </w:r>
          </w:p>
        </w:tc>
        <w:tc>
          <w:tcPr>
            <w:tcW w:w="3760" w:type="dxa"/>
            <w:tcBorders>
              <w:top w:val="single" w:sz="1" w:space="0" w:color="C0D0E0"/>
              <w:left w:val="single" w:sz="1" w:space="0" w:color="C0D0E0"/>
              <w:bottom w:val="single" w:sz="1" w:space="0" w:color="C0D0E0"/>
              <w:right w:val="single" w:sz="1" w:space="0" w:color="C0D0E0"/>
            </w:tcBorders>
            <w:shd w:val="clear" w:color="auto" w:fill="D6E4F0"/>
            <w:tcMar>
              <w:top w:w="80" w:type="dxa"/>
              <w:left w:w="120" w:type="dxa"/>
              <w:bottom w:w="80" w:type="dxa"/>
              <w:right w:w="120" w:type="dxa"/>
            </w:tcMar>
          </w:tcPr>
          <w:p w14:paraId="51857E83" w14:textId="77777777" w:rsidR="00D605FA" w:rsidRDefault="00000000">
            <w:r>
              <w:rPr>
                <w:color w:val="444444"/>
                <w:sz w:val="19"/>
                <w:szCs w:val="19"/>
              </w:rPr>
              <w:t>Tesla's full self-driving platform and Optimus humanoid robot represent multi-trillion dollar optionality. Palantir's AIP platform is embedding AI decision-making into governments and enterprises globally.</w:t>
            </w:r>
          </w:p>
        </w:tc>
        <w:tc>
          <w:tcPr>
            <w:tcW w:w="1200" w:type="dxa"/>
            <w:tcBorders>
              <w:top w:val="single" w:sz="1" w:space="0" w:color="C0D0E0"/>
              <w:left w:val="single" w:sz="1" w:space="0" w:color="C0D0E0"/>
              <w:bottom w:val="single" w:sz="1" w:space="0" w:color="C0D0E0"/>
              <w:right w:val="single" w:sz="1" w:space="0" w:color="C0D0E0"/>
            </w:tcBorders>
            <w:shd w:val="clear" w:color="auto" w:fill="D6E4F0"/>
            <w:tcMar>
              <w:top w:w="80" w:type="dxa"/>
              <w:left w:w="120" w:type="dxa"/>
              <w:bottom w:w="80" w:type="dxa"/>
              <w:right w:w="120" w:type="dxa"/>
            </w:tcMar>
          </w:tcPr>
          <w:p w14:paraId="51857E84" w14:textId="77777777" w:rsidR="00D605FA" w:rsidRDefault="00000000">
            <w:pPr>
              <w:jc w:val="center"/>
            </w:pPr>
            <w:r>
              <w:rPr>
                <w:b/>
                <w:bCs/>
                <w:color w:val="2E6BA8"/>
                <w:sz w:val="19"/>
                <w:szCs w:val="19"/>
              </w:rPr>
              <w:t>High</w:t>
            </w:r>
          </w:p>
        </w:tc>
        <w:tc>
          <w:tcPr>
            <w:tcW w:w="1200" w:type="dxa"/>
            <w:tcBorders>
              <w:top w:val="single" w:sz="1" w:space="0" w:color="C0D0E0"/>
              <w:left w:val="single" w:sz="1" w:space="0" w:color="C0D0E0"/>
              <w:bottom w:val="single" w:sz="1" w:space="0" w:color="C0D0E0"/>
              <w:right w:val="single" w:sz="1" w:space="0" w:color="C0D0E0"/>
            </w:tcBorders>
            <w:shd w:val="clear" w:color="auto" w:fill="D6E4F0"/>
            <w:tcMar>
              <w:top w:w="80" w:type="dxa"/>
              <w:left w:w="120" w:type="dxa"/>
              <w:bottom w:w="80" w:type="dxa"/>
              <w:right w:w="120" w:type="dxa"/>
            </w:tcMar>
          </w:tcPr>
          <w:p w14:paraId="51857E85" w14:textId="77777777" w:rsidR="00D605FA" w:rsidRDefault="00000000">
            <w:pPr>
              <w:jc w:val="center"/>
            </w:pPr>
            <w:r>
              <w:rPr>
                <w:color w:val="444444"/>
                <w:sz w:val="19"/>
                <w:szCs w:val="19"/>
              </w:rPr>
              <w:t>2029-2035</w:t>
            </w:r>
          </w:p>
        </w:tc>
        <w:tc>
          <w:tcPr>
            <w:tcW w:w="1000" w:type="dxa"/>
            <w:tcBorders>
              <w:top w:val="single" w:sz="1" w:space="0" w:color="C0D0E0"/>
              <w:left w:val="single" w:sz="1" w:space="0" w:color="C0D0E0"/>
              <w:bottom w:val="single" w:sz="1" w:space="0" w:color="C0D0E0"/>
              <w:right w:val="single" w:sz="1" w:space="0" w:color="C0D0E0"/>
            </w:tcBorders>
            <w:shd w:val="clear" w:color="auto" w:fill="D6E4F0"/>
            <w:tcMar>
              <w:top w:w="80" w:type="dxa"/>
              <w:left w:w="120" w:type="dxa"/>
              <w:bottom w:w="80" w:type="dxa"/>
              <w:right w:w="120" w:type="dxa"/>
            </w:tcMar>
          </w:tcPr>
          <w:p w14:paraId="51857E86" w14:textId="77777777" w:rsidR="00D605FA" w:rsidRDefault="00000000">
            <w:r>
              <w:rPr>
                <w:b/>
                <w:bCs/>
                <w:color w:val="2E6BA8"/>
                <w:sz w:val="18"/>
                <w:szCs w:val="18"/>
              </w:rPr>
              <w:t>TSLA, PLTR</w:t>
            </w:r>
          </w:p>
        </w:tc>
      </w:tr>
      <w:tr w:rsidR="00D605FA" w14:paraId="51857E8D" w14:textId="77777777">
        <w:tblPrEx>
          <w:tblCellMar>
            <w:top w:w="0" w:type="dxa"/>
            <w:bottom w:w="0" w:type="dxa"/>
          </w:tblCellMar>
        </w:tblPrEx>
        <w:tc>
          <w:tcPr>
            <w:tcW w:w="2200"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tcPr>
          <w:p w14:paraId="51857E88" w14:textId="77777777" w:rsidR="00D605FA" w:rsidRDefault="00000000">
            <w:r>
              <w:rPr>
                <w:b/>
                <w:bCs/>
                <w:color w:val="0D2B55"/>
                <w:sz w:val="20"/>
                <w:szCs w:val="20"/>
              </w:rPr>
              <w:t>Precision Agriculture &amp; Food Security</w:t>
            </w:r>
          </w:p>
        </w:tc>
        <w:tc>
          <w:tcPr>
            <w:tcW w:w="3760"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tcPr>
          <w:p w14:paraId="51857E89" w14:textId="77777777" w:rsidR="00D605FA" w:rsidRDefault="00000000">
            <w:r>
              <w:rPr>
                <w:color w:val="444444"/>
                <w:sz w:val="19"/>
                <w:szCs w:val="19"/>
              </w:rPr>
              <w:t>Climate stress on global food supply is accelerating. Deere's autonomous farming platform (self-driving tractors, AI crop management) is already deployed at scale with near-monopoly pricing power in large-scale agriculture.</w:t>
            </w:r>
          </w:p>
        </w:tc>
        <w:tc>
          <w:tcPr>
            <w:tcW w:w="1200"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tcPr>
          <w:p w14:paraId="51857E8A" w14:textId="77777777" w:rsidR="00D605FA" w:rsidRDefault="00000000">
            <w:pPr>
              <w:jc w:val="center"/>
            </w:pPr>
            <w:r>
              <w:rPr>
                <w:b/>
                <w:bCs/>
                <w:color w:val="2E6BA8"/>
                <w:sz w:val="19"/>
                <w:szCs w:val="19"/>
              </w:rPr>
              <w:t>High</w:t>
            </w:r>
          </w:p>
        </w:tc>
        <w:tc>
          <w:tcPr>
            <w:tcW w:w="1200"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tcPr>
          <w:p w14:paraId="51857E8B" w14:textId="77777777" w:rsidR="00D605FA" w:rsidRDefault="00000000">
            <w:pPr>
              <w:jc w:val="center"/>
            </w:pPr>
            <w:r>
              <w:rPr>
                <w:color w:val="444444"/>
                <w:sz w:val="19"/>
                <w:szCs w:val="19"/>
              </w:rPr>
              <w:t>2026-2034</w:t>
            </w:r>
          </w:p>
        </w:tc>
        <w:tc>
          <w:tcPr>
            <w:tcW w:w="1000"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tcPr>
          <w:p w14:paraId="51857E8C" w14:textId="77777777" w:rsidR="00D605FA" w:rsidRDefault="00000000">
            <w:r>
              <w:rPr>
                <w:b/>
                <w:bCs/>
                <w:color w:val="2E6BA8"/>
                <w:sz w:val="18"/>
                <w:szCs w:val="18"/>
              </w:rPr>
              <w:t>DE</w:t>
            </w:r>
          </w:p>
        </w:tc>
      </w:tr>
      <w:tr w:rsidR="00D605FA" w14:paraId="51857E93" w14:textId="77777777">
        <w:tblPrEx>
          <w:tblCellMar>
            <w:top w:w="0" w:type="dxa"/>
            <w:bottom w:w="0" w:type="dxa"/>
          </w:tblCellMar>
        </w:tblPrEx>
        <w:tc>
          <w:tcPr>
            <w:tcW w:w="2200" w:type="dxa"/>
            <w:tcBorders>
              <w:top w:val="single" w:sz="1" w:space="0" w:color="C0D0E0"/>
              <w:left w:val="single" w:sz="1" w:space="0" w:color="C0D0E0"/>
              <w:bottom w:val="single" w:sz="1" w:space="0" w:color="C0D0E0"/>
              <w:right w:val="single" w:sz="1" w:space="0" w:color="C0D0E0"/>
            </w:tcBorders>
            <w:shd w:val="clear" w:color="auto" w:fill="D6E4F0"/>
            <w:tcMar>
              <w:top w:w="80" w:type="dxa"/>
              <w:left w:w="120" w:type="dxa"/>
              <w:bottom w:w="80" w:type="dxa"/>
              <w:right w:w="120" w:type="dxa"/>
            </w:tcMar>
          </w:tcPr>
          <w:p w14:paraId="51857E8E" w14:textId="77777777" w:rsidR="00D605FA" w:rsidRDefault="00000000">
            <w:r>
              <w:rPr>
                <w:b/>
                <w:bCs/>
                <w:color w:val="0D2B55"/>
                <w:sz w:val="20"/>
                <w:szCs w:val="20"/>
              </w:rPr>
              <w:t>Quantum Computing Commercialisation</w:t>
            </w:r>
          </w:p>
        </w:tc>
        <w:tc>
          <w:tcPr>
            <w:tcW w:w="3760" w:type="dxa"/>
            <w:tcBorders>
              <w:top w:val="single" w:sz="1" w:space="0" w:color="C0D0E0"/>
              <w:left w:val="single" w:sz="1" w:space="0" w:color="C0D0E0"/>
              <w:bottom w:val="single" w:sz="1" w:space="0" w:color="C0D0E0"/>
              <w:right w:val="single" w:sz="1" w:space="0" w:color="C0D0E0"/>
            </w:tcBorders>
            <w:shd w:val="clear" w:color="auto" w:fill="D6E4F0"/>
            <w:tcMar>
              <w:top w:w="80" w:type="dxa"/>
              <w:left w:w="120" w:type="dxa"/>
              <w:bottom w:w="80" w:type="dxa"/>
              <w:right w:w="120" w:type="dxa"/>
            </w:tcMar>
          </w:tcPr>
          <w:p w14:paraId="51857E8F" w14:textId="77777777" w:rsidR="00D605FA" w:rsidRDefault="00000000">
            <w:r>
              <w:rPr>
                <w:color w:val="444444"/>
                <w:sz w:val="19"/>
                <w:szCs w:val="19"/>
              </w:rPr>
              <w:t>Quantum advantage for specific applications (chemistry simulation, logistics, cryptography) expected 2028-</w:t>
            </w:r>
            <w:r>
              <w:rPr>
                <w:color w:val="444444"/>
                <w:sz w:val="19"/>
                <w:szCs w:val="19"/>
              </w:rPr>
              <w:lastRenderedPageBreak/>
              <w:t>2032. Early-mover platforms will capture enterprise contracts in financial services and pharma.</w:t>
            </w:r>
          </w:p>
        </w:tc>
        <w:tc>
          <w:tcPr>
            <w:tcW w:w="1200" w:type="dxa"/>
            <w:tcBorders>
              <w:top w:val="single" w:sz="1" w:space="0" w:color="C0D0E0"/>
              <w:left w:val="single" w:sz="1" w:space="0" w:color="C0D0E0"/>
              <w:bottom w:val="single" w:sz="1" w:space="0" w:color="C0D0E0"/>
              <w:right w:val="single" w:sz="1" w:space="0" w:color="C0D0E0"/>
            </w:tcBorders>
            <w:shd w:val="clear" w:color="auto" w:fill="D6E4F0"/>
            <w:tcMar>
              <w:top w:w="80" w:type="dxa"/>
              <w:left w:w="120" w:type="dxa"/>
              <w:bottom w:w="80" w:type="dxa"/>
              <w:right w:w="120" w:type="dxa"/>
            </w:tcMar>
          </w:tcPr>
          <w:p w14:paraId="51857E90" w14:textId="77777777" w:rsidR="00D605FA" w:rsidRDefault="00000000">
            <w:pPr>
              <w:jc w:val="center"/>
            </w:pPr>
            <w:r>
              <w:rPr>
                <w:b/>
                <w:bCs/>
                <w:color w:val="E8A020"/>
                <w:sz w:val="19"/>
                <w:szCs w:val="19"/>
              </w:rPr>
              <w:lastRenderedPageBreak/>
              <w:t>Medium</w:t>
            </w:r>
          </w:p>
        </w:tc>
        <w:tc>
          <w:tcPr>
            <w:tcW w:w="1200" w:type="dxa"/>
            <w:tcBorders>
              <w:top w:val="single" w:sz="1" w:space="0" w:color="C0D0E0"/>
              <w:left w:val="single" w:sz="1" w:space="0" w:color="C0D0E0"/>
              <w:bottom w:val="single" w:sz="1" w:space="0" w:color="C0D0E0"/>
              <w:right w:val="single" w:sz="1" w:space="0" w:color="C0D0E0"/>
            </w:tcBorders>
            <w:shd w:val="clear" w:color="auto" w:fill="D6E4F0"/>
            <w:tcMar>
              <w:top w:w="80" w:type="dxa"/>
              <w:left w:w="120" w:type="dxa"/>
              <w:bottom w:w="80" w:type="dxa"/>
              <w:right w:w="120" w:type="dxa"/>
            </w:tcMar>
          </w:tcPr>
          <w:p w14:paraId="51857E91" w14:textId="77777777" w:rsidR="00D605FA" w:rsidRDefault="00000000">
            <w:pPr>
              <w:jc w:val="center"/>
            </w:pPr>
            <w:r>
              <w:rPr>
                <w:color w:val="444444"/>
                <w:sz w:val="19"/>
                <w:szCs w:val="19"/>
              </w:rPr>
              <w:t>2030-2036</w:t>
            </w:r>
          </w:p>
        </w:tc>
        <w:tc>
          <w:tcPr>
            <w:tcW w:w="1000" w:type="dxa"/>
            <w:tcBorders>
              <w:top w:val="single" w:sz="1" w:space="0" w:color="C0D0E0"/>
              <w:left w:val="single" w:sz="1" w:space="0" w:color="C0D0E0"/>
              <w:bottom w:val="single" w:sz="1" w:space="0" w:color="C0D0E0"/>
              <w:right w:val="single" w:sz="1" w:space="0" w:color="C0D0E0"/>
            </w:tcBorders>
            <w:shd w:val="clear" w:color="auto" w:fill="D6E4F0"/>
            <w:tcMar>
              <w:top w:w="80" w:type="dxa"/>
              <w:left w:w="120" w:type="dxa"/>
              <w:bottom w:w="80" w:type="dxa"/>
              <w:right w:w="120" w:type="dxa"/>
            </w:tcMar>
          </w:tcPr>
          <w:p w14:paraId="51857E92" w14:textId="77777777" w:rsidR="00D605FA" w:rsidRDefault="00000000">
            <w:r>
              <w:rPr>
                <w:b/>
                <w:bCs/>
                <w:color w:val="2E6BA8"/>
                <w:sz w:val="18"/>
                <w:szCs w:val="18"/>
              </w:rPr>
              <w:t>IONQ</w:t>
            </w:r>
          </w:p>
        </w:tc>
      </w:tr>
    </w:tbl>
    <w:p w14:paraId="51857E94" w14:textId="77777777" w:rsidR="00D605FA" w:rsidRDefault="00D605FA">
      <w:pPr>
        <w:spacing w:before="160" w:after="60"/>
      </w:pPr>
    </w:p>
    <w:p w14:paraId="51857E95" w14:textId="77777777" w:rsidR="00D605FA" w:rsidRDefault="00000000">
      <w:pPr>
        <w:pStyle w:val="Heading2"/>
      </w:pPr>
      <w:r>
        <w:t>6.1 Technology Transitions - Timeline View</w:t>
      </w:r>
    </w:p>
    <w:p w14:paraId="51857E96" w14:textId="77777777" w:rsidR="00D605FA" w:rsidRDefault="00D605FA">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D605FA" w14:paraId="51857E9A"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0D2B55"/>
          </w:tcPr>
          <w:p w14:paraId="51857E97" w14:textId="77777777" w:rsidR="00D605FA" w:rsidRDefault="00D605FA"/>
        </w:tc>
        <w:tc>
          <w:tcPr>
            <w:tcW w:w="9160" w:type="dxa"/>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200" w:type="dxa"/>
            </w:tcMar>
          </w:tcPr>
          <w:p w14:paraId="51857E98" w14:textId="77777777" w:rsidR="00D605FA" w:rsidRDefault="00000000">
            <w:r>
              <w:rPr>
                <w:b/>
                <w:bCs/>
                <w:color w:val="0D2B55"/>
              </w:rPr>
              <w:t>2026-2028: The Monetisation Phase</w:t>
            </w:r>
          </w:p>
          <w:p w14:paraId="51857E99" w14:textId="77777777" w:rsidR="00D605FA" w:rsidRDefault="00000000">
            <w:pPr>
              <w:spacing w:before="60"/>
            </w:pPr>
            <w:r>
              <w:rPr>
                <w:color w:val="444444"/>
                <w:sz w:val="21"/>
                <w:szCs w:val="21"/>
              </w:rPr>
              <w:t>AI software begins delivering measurable enterprise ROI. ASML order backlog extends as chipmakers race to scale EUV capacity. NEE signs new data centre power contracts. GLP-1 drugs gain wider insurance coverage and international approval. Deere's autonomous tractor fleet reaches commercial scale across US and European agriculture. Quantum computing remains research-phase but early government contracts emerge.</w:t>
            </w:r>
          </w:p>
        </w:tc>
      </w:tr>
    </w:tbl>
    <w:p w14:paraId="51857E9B" w14:textId="77777777" w:rsidR="00D605FA" w:rsidRDefault="00D605F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D605FA" w14:paraId="51857E9F"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2E6BA8"/>
          </w:tcPr>
          <w:p w14:paraId="51857E9C" w14:textId="77777777" w:rsidR="00D605FA" w:rsidRDefault="00D605FA"/>
        </w:tc>
        <w:tc>
          <w:tcPr>
            <w:tcW w:w="9160" w:type="dxa"/>
            <w:tcBorders>
              <w:top w:val="none" w:sz="0" w:space="0" w:color="FFFFFF"/>
              <w:left w:val="none" w:sz="0" w:space="0" w:color="FFFFFF"/>
              <w:bottom w:val="none" w:sz="0" w:space="0" w:color="FFFFFF"/>
              <w:right w:val="none" w:sz="0" w:space="0" w:color="FFFFFF"/>
            </w:tcBorders>
            <w:shd w:val="clear" w:color="auto" w:fill="E8F4FF"/>
            <w:tcMar>
              <w:top w:w="120" w:type="dxa"/>
              <w:left w:w="200" w:type="dxa"/>
              <w:bottom w:w="120" w:type="dxa"/>
              <w:right w:w="200" w:type="dxa"/>
            </w:tcMar>
          </w:tcPr>
          <w:p w14:paraId="51857E9D" w14:textId="77777777" w:rsidR="00D605FA" w:rsidRDefault="00000000">
            <w:r>
              <w:rPr>
                <w:b/>
                <w:bCs/>
                <w:color w:val="2E6BA8"/>
              </w:rPr>
              <w:t>2028-2031: The Infrastructure Buildout</w:t>
            </w:r>
          </w:p>
          <w:p w14:paraId="51857E9E" w14:textId="77777777" w:rsidR="00D605FA" w:rsidRDefault="00000000">
            <w:pPr>
              <w:spacing w:before="60"/>
            </w:pPr>
            <w:r>
              <w:rPr>
                <w:color w:val="444444"/>
                <w:sz w:val="21"/>
                <w:szCs w:val="21"/>
              </w:rPr>
              <w:t>Hyperscaler data centre capex peaks - NEE and nuclear utilities are primary beneficiaries of power demand surge. TSMC's 2nm nodes enter production, supply bottleneck tightens. AMD's MI300X successors challenge NVIDIA's data centre dominance. Tesla FSD reaches Level 4 autonomy in major markets. Uranium spot price elevated as reactor pipeline fills. First commercial quantum use cases emerge in pharma simulation and logistics.</w:t>
            </w:r>
          </w:p>
        </w:tc>
      </w:tr>
    </w:tbl>
    <w:p w14:paraId="51857EA0" w14:textId="77777777" w:rsidR="00D605FA" w:rsidRDefault="00D605F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D605FA" w14:paraId="51857EA4"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1A7A4A"/>
          </w:tcPr>
          <w:p w14:paraId="51857EA1" w14:textId="77777777" w:rsidR="00D605FA" w:rsidRDefault="00D605FA"/>
        </w:tc>
        <w:tc>
          <w:tcPr>
            <w:tcW w:w="9160" w:type="dxa"/>
            <w:tcBorders>
              <w:top w:val="none" w:sz="0" w:space="0" w:color="FFFFFF"/>
              <w:left w:val="none" w:sz="0" w:space="0" w:color="FFFFFF"/>
              <w:bottom w:val="none" w:sz="0" w:space="0" w:color="FFFFFF"/>
              <w:right w:val="none" w:sz="0" w:space="0" w:color="FFFFFF"/>
            </w:tcBorders>
            <w:shd w:val="clear" w:color="auto" w:fill="D4EDDA"/>
            <w:tcMar>
              <w:top w:w="120" w:type="dxa"/>
              <w:left w:w="200" w:type="dxa"/>
              <w:bottom w:w="120" w:type="dxa"/>
              <w:right w:w="200" w:type="dxa"/>
            </w:tcMar>
          </w:tcPr>
          <w:p w14:paraId="51857EA2" w14:textId="77777777" w:rsidR="00D605FA" w:rsidRDefault="00000000">
            <w:r>
              <w:rPr>
                <w:b/>
                <w:bCs/>
                <w:color w:val="1A7A4A"/>
              </w:rPr>
              <w:t>2031-2034: The Maturation &amp; Disruption Phase</w:t>
            </w:r>
          </w:p>
          <w:p w14:paraId="51857EA3" w14:textId="77777777" w:rsidR="00D605FA" w:rsidRDefault="00000000">
            <w:pPr>
              <w:spacing w:before="60"/>
            </w:pPr>
            <w:r>
              <w:rPr>
                <w:color w:val="444444"/>
                <w:sz w:val="21"/>
                <w:szCs w:val="21"/>
              </w:rPr>
              <w:t>Autonomous AI agents replace white-collar workflows at scale - Palantir's AIP platform embedded in major governments and Fortune 500 companies. Tesla Optimus humanoid robots begin commercial manufacturing deployment. Second-generation GLP-1 drugs approved for cardiovascular indications. Deere's fully autonomous farm operations commercially deployed. Small modular reactors (SMRs) begin grid connection. Quantum cryptography begins replacing current encryption standards.</w:t>
            </w:r>
          </w:p>
        </w:tc>
      </w:tr>
    </w:tbl>
    <w:p w14:paraId="51857EA5" w14:textId="77777777" w:rsidR="00D605FA" w:rsidRDefault="00D605F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D605FA" w14:paraId="51857EA9"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E8A020"/>
          </w:tcPr>
          <w:p w14:paraId="51857EA6" w14:textId="77777777" w:rsidR="00D605FA" w:rsidRDefault="00D605FA"/>
        </w:tc>
        <w:tc>
          <w:tcPr>
            <w:tcW w:w="9160" w:type="dxa"/>
            <w:tcBorders>
              <w:top w:val="none" w:sz="0" w:space="0" w:color="FFFFFF"/>
              <w:left w:val="none" w:sz="0" w:space="0" w:color="FFFFFF"/>
              <w:bottom w:val="none" w:sz="0" w:space="0" w:color="FFFFFF"/>
              <w:right w:val="none" w:sz="0" w:space="0" w:color="FFFFFF"/>
            </w:tcBorders>
            <w:shd w:val="clear" w:color="auto" w:fill="FFF0D4"/>
            <w:tcMar>
              <w:top w:w="120" w:type="dxa"/>
              <w:left w:w="200" w:type="dxa"/>
              <w:bottom w:w="120" w:type="dxa"/>
              <w:right w:w="200" w:type="dxa"/>
            </w:tcMar>
          </w:tcPr>
          <w:p w14:paraId="51857EA7" w14:textId="77777777" w:rsidR="00D605FA" w:rsidRDefault="00000000">
            <w:r>
              <w:rPr>
                <w:b/>
                <w:bCs/>
                <w:color w:val="E8A020"/>
              </w:rPr>
              <w:t>2034-2036: Portfolio Exit Preparation</w:t>
            </w:r>
          </w:p>
          <w:p w14:paraId="51857EA8" w14:textId="77777777" w:rsidR="00D605FA" w:rsidRDefault="00000000">
            <w:pPr>
              <w:spacing w:before="60"/>
            </w:pPr>
            <w:r>
              <w:rPr>
                <w:color w:val="444444"/>
                <w:sz w:val="21"/>
                <w:szCs w:val="21"/>
              </w:rPr>
              <w:t>Begin systematically trimming positions approaching peak penetration rates. Rotate proceeds into value names or next-cycle themes. NEE and DE may be retained as long-term compounders beyond the 10-year period. Prepare full portfolio review for orderly wind-down or continuation mandate.</w:t>
            </w:r>
          </w:p>
        </w:tc>
      </w:tr>
    </w:tbl>
    <w:p w14:paraId="51857EAA" w14:textId="77777777" w:rsidR="00D605FA" w:rsidRDefault="00000000">
      <w:pPr>
        <w:pStyle w:val="Heading1"/>
        <w:pageBreakBefore/>
        <w:pBdr>
          <w:bottom w:val="single" w:sz="8" w:space="4" w:color="2E6BA8"/>
        </w:pBdr>
      </w:pPr>
      <w:r>
        <w:lastRenderedPageBreak/>
        <w:t>7. Portfolio Analytics &amp; Daily Monitoring System</w:t>
      </w:r>
    </w:p>
    <w:p w14:paraId="51857EAB" w14:textId="77777777" w:rsidR="00D605FA" w:rsidRDefault="00000000">
      <w:pPr>
        <w:pStyle w:val="Heading2"/>
      </w:pPr>
      <w:r>
        <w:t>7.1 System Architecture</w:t>
      </w:r>
    </w:p>
    <w:p w14:paraId="51857EAC" w14:textId="77777777" w:rsidR="00D605FA" w:rsidRDefault="00000000">
      <w:pPr>
        <w:spacing w:before="80" w:after="80"/>
      </w:pPr>
      <w:r>
        <w:rPr>
          <w:color w:val="1A1A1A"/>
        </w:rPr>
        <w:t>A Python-based daily analytics engine runs automatically at 07:00 GMT each trading day to ingest market data, calculate technical and fundamental signals, and generate an actionable morning briefing for the portfolio manager. The system is designed to flag opportunities and risks - it does not execute trades autonomously.</w:t>
      </w:r>
    </w:p>
    <w:p w14:paraId="51857EAD" w14:textId="77777777" w:rsidR="00D605FA" w:rsidRDefault="00000000">
      <w:pPr>
        <w:pStyle w:val="Heading2"/>
      </w:pPr>
      <w:r>
        <w:t>7.2 Analytics Framework</w:t>
      </w:r>
    </w:p>
    <w:p w14:paraId="51857EAE" w14:textId="77777777" w:rsidR="00D605FA" w:rsidRDefault="00000000">
      <w:pPr>
        <w:pStyle w:val="Heading3"/>
      </w:pPr>
      <w:r>
        <w:t>Technical Analysis Layer</w:t>
      </w:r>
    </w:p>
    <w:p w14:paraId="51857EAF" w14:textId="77777777" w:rsidR="00D605FA" w:rsidRDefault="00000000">
      <w:pPr>
        <w:pStyle w:val="ListParagraph"/>
        <w:numPr>
          <w:ilvl w:val="0"/>
          <w:numId w:val="2"/>
        </w:numPr>
        <w:spacing w:before="60" w:after="60"/>
      </w:pPr>
      <w:r>
        <w:rPr>
          <w:color w:val="1A1A1A"/>
        </w:rPr>
        <w:t>RSI (14-day): Overbought &gt; 70, Oversold &lt; 30 - primary momentum signal for entry/exit timing</w:t>
      </w:r>
    </w:p>
    <w:p w14:paraId="51857EB0" w14:textId="77777777" w:rsidR="00D605FA" w:rsidRDefault="00000000">
      <w:pPr>
        <w:pStyle w:val="ListParagraph"/>
        <w:numPr>
          <w:ilvl w:val="0"/>
          <w:numId w:val="2"/>
        </w:numPr>
        <w:spacing w:before="60" w:after="60"/>
      </w:pPr>
      <w:r>
        <w:rPr>
          <w:color w:val="1A1A1A"/>
        </w:rPr>
        <w:t>MACD (12/26/9): Crossover signals used to confirm momentum direction</w:t>
      </w:r>
    </w:p>
    <w:p w14:paraId="51857EB1" w14:textId="77777777" w:rsidR="00D605FA" w:rsidRDefault="00000000">
      <w:pPr>
        <w:pStyle w:val="ListParagraph"/>
        <w:numPr>
          <w:ilvl w:val="0"/>
          <w:numId w:val="2"/>
        </w:numPr>
        <w:spacing w:before="60" w:after="60"/>
      </w:pPr>
      <w:r>
        <w:rPr>
          <w:color w:val="1A1A1A"/>
        </w:rPr>
        <w:t>Bollinger Bands (20-day, 2 SD): Band touch used for mean reversion identification</w:t>
      </w:r>
    </w:p>
    <w:p w14:paraId="51857EB2" w14:textId="77777777" w:rsidR="00D605FA" w:rsidRDefault="00000000">
      <w:pPr>
        <w:pStyle w:val="ListParagraph"/>
        <w:numPr>
          <w:ilvl w:val="0"/>
          <w:numId w:val="2"/>
        </w:numPr>
        <w:spacing w:before="60" w:after="60"/>
      </w:pPr>
      <w:r>
        <w:rPr>
          <w:color w:val="1A1A1A"/>
        </w:rPr>
        <w:t>50-day and 200-day SMA: Golden/Death Cross provides medium-term trend context</w:t>
      </w:r>
    </w:p>
    <w:p w14:paraId="51857EB3" w14:textId="77777777" w:rsidR="00D605FA" w:rsidRDefault="00000000">
      <w:pPr>
        <w:pStyle w:val="ListParagraph"/>
        <w:numPr>
          <w:ilvl w:val="0"/>
          <w:numId w:val="2"/>
        </w:numPr>
        <w:spacing w:before="60" w:after="60"/>
      </w:pPr>
      <w:r>
        <w:rPr>
          <w:color w:val="1A1A1A"/>
        </w:rPr>
        <w:t>Volume analysis: Unusual volume (&gt; 1.5x 20-day average) flags institutional activity</w:t>
      </w:r>
    </w:p>
    <w:p w14:paraId="51857EB4" w14:textId="77777777" w:rsidR="00D605FA" w:rsidRDefault="00000000">
      <w:pPr>
        <w:pStyle w:val="ListParagraph"/>
        <w:numPr>
          <w:ilvl w:val="0"/>
          <w:numId w:val="2"/>
        </w:numPr>
        <w:spacing w:before="60" w:after="60"/>
      </w:pPr>
      <w:r>
        <w:rPr>
          <w:color w:val="1A1A1A"/>
        </w:rPr>
        <w:t>ATR (14-day): Average True Range used to size positions and set stop levels</w:t>
      </w:r>
    </w:p>
    <w:p w14:paraId="51857EB5" w14:textId="77777777" w:rsidR="00D605FA" w:rsidRDefault="00000000">
      <w:pPr>
        <w:pStyle w:val="Heading3"/>
      </w:pPr>
      <w:r>
        <w:t>Fundamental Analysis Layer</w:t>
      </w:r>
    </w:p>
    <w:p w14:paraId="51857EB6" w14:textId="77777777" w:rsidR="00D605FA" w:rsidRDefault="00000000">
      <w:pPr>
        <w:pStyle w:val="ListParagraph"/>
        <w:numPr>
          <w:ilvl w:val="0"/>
          <w:numId w:val="2"/>
        </w:numPr>
        <w:spacing w:before="60" w:after="60"/>
      </w:pPr>
      <w:r>
        <w:rPr>
          <w:color w:val="1A1A1A"/>
        </w:rPr>
        <w:t>P/E, Forward P/E, PEG ratio: Assessed relative to sector median and 5-year own history</w:t>
      </w:r>
    </w:p>
    <w:p w14:paraId="51857EB7" w14:textId="77777777" w:rsidR="00D605FA" w:rsidRDefault="00000000">
      <w:pPr>
        <w:pStyle w:val="ListParagraph"/>
        <w:numPr>
          <w:ilvl w:val="0"/>
          <w:numId w:val="2"/>
        </w:numPr>
        <w:spacing w:before="60" w:after="60"/>
      </w:pPr>
      <w:r>
        <w:rPr>
          <w:color w:val="1A1A1A"/>
        </w:rPr>
        <w:t>EV/EBITDA and EV/Revenue: Used for pre-earnings or loss-making growth companies</w:t>
      </w:r>
    </w:p>
    <w:p w14:paraId="51857EB8" w14:textId="77777777" w:rsidR="00D605FA" w:rsidRDefault="00000000">
      <w:pPr>
        <w:pStyle w:val="ListParagraph"/>
        <w:numPr>
          <w:ilvl w:val="0"/>
          <w:numId w:val="2"/>
        </w:numPr>
        <w:spacing w:before="60" w:after="60"/>
      </w:pPr>
      <w:r>
        <w:rPr>
          <w:color w:val="1A1A1A"/>
        </w:rPr>
        <w:t>Revenue and EPS growth rate: Trailing 4Q vs. consensus forward estimates</w:t>
      </w:r>
    </w:p>
    <w:p w14:paraId="51857EB9" w14:textId="77777777" w:rsidR="00D605FA" w:rsidRDefault="00000000">
      <w:pPr>
        <w:pStyle w:val="ListParagraph"/>
        <w:numPr>
          <w:ilvl w:val="0"/>
          <w:numId w:val="2"/>
        </w:numPr>
        <w:spacing w:before="60" w:after="60"/>
      </w:pPr>
      <w:r>
        <w:rPr>
          <w:color w:val="1A1A1A"/>
        </w:rPr>
        <w:t>Free cash flow generation: FCF yield and FCF margin trend</w:t>
      </w:r>
    </w:p>
    <w:p w14:paraId="51857EBA" w14:textId="77777777" w:rsidR="00D605FA" w:rsidRDefault="00000000">
      <w:pPr>
        <w:pStyle w:val="ListParagraph"/>
        <w:numPr>
          <w:ilvl w:val="0"/>
          <w:numId w:val="2"/>
        </w:numPr>
        <w:spacing w:before="60" w:after="60"/>
      </w:pPr>
      <w:r>
        <w:rPr>
          <w:color w:val="1A1A1A"/>
        </w:rPr>
        <w:t>Insider transactions: SEC Form 4 and equivalent filings monitored for directional signals</w:t>
      </w:r>
    </w:p>
    <w:p w14:paraId="51857EBB" w14:textId="77777777" w:rsidR="00D605FA" w:rsidRDefault="00000000">
      <w:pPr>
        <w:pStyle w:val="ListParagraph"/>
        <w:numPr>
          <w:ilvl w:val="0"/>
          <w:numId w:val="2"/>
        </w:numPr>
        <w:spacing w:before="60" w:after="60"/>
      </w:pPr>
      <w:r>
        <w:rPr>
          <w:color w:val="1A1A1A"/>
        </w:rPr>
        <w:t>Analyst rating changes: Upgrades/downgrades from tier-1 banks flagged immediately</w:t>
      </w:r>
    </w:p>
    <w:p w14:paraId="51857EBC" w14:textId="77777777" w:rsidR="00D605FA" w:rsidRDefault="00000000">
      <w:pPr>
        <w:pStyle w:val="Heading3"/>
      </w:pPr>
      <w:r>
        <w:t>Portfolio-Level Analytics</w:t>
      </w:r>
    </w:p>
    <w:p w14:paraId="51857EBD" w14:textId="77777777" w:rsidR="00D605FA" w:rsidRDefault="00000000">
      <w:pPr>
        <w:pStyle w:val="ListParagraph"/>
        <w:numPr>
          <w:ilvl w:val="0"/>
          <w:numId w:val="2"/>
        </w:numPr>
        <w:spacing w:before="60" w:after="60"/>
      </w:pPr>
      <w:r>
        <w:rPr>
          <w:color w:val="1A1A1A"/>
        </w:rPr>
        <w:t>Position-level P&amp;L: Daily, weekly, MTD, QTD, YTD, inception-to-date</w:t>
      </w:r>
    </w:p>
    <w:p w14:paraId="51857EBE" w14:textId="77777777" w:rsidR="00D605FA" w:rsidRDefault="00000000">
      <w:pPr>
        <w:pStyle w:val="ListParagraph"/>
        <w:numPr>
          <w:ilvl w:val="0"/>
          <w:numId w:val="2"/>
        </w:numPr>
        <w:spacing w:before="60" w:after="60"/>
      </w:pPr>
      <w:r>
        <w:rPr>
          <w:color w:val="1A1A1A"/>
        </w:rPr>
        <w:t>Portfolio beta and correlation matrix: Updated weekly</w:t>
      </w:r>
    </w:p>
    <w:p w14:paraId="51857EBF" w14:textId="77777777" w:rsidR="00D605FA" w:rsidRDefault="00000000">
      <w:pPr>
        <w:pStyle w:val="ListParagraph"/>
        <w:numPr>
          <w:ilvl w:val="0"/>
          <w:numId w:val="2"/>
        </w:numPr>
        <w:spacing w:before="60" w:after="60"/>
      </w:pPr>
      <w:r>
        <w:rPr>
          <w:color w:val="1A1A1A"/>
        </w:rPr>
        <w:t>Sector and geographic concentration: Flagged when breaching mandate limits</w:t>
      </w:r>
    </w:p>
    <w:p w14:paraId="51857EC0" w14:textId="77777777" w:rsidR="00D605FA" w:rsidRDefault="00000000">
      <w:pPr>
        <w:pStyle w:val="ListParagraph"/>
        <w:numPr>
          <w:ilvl w:val="0"/>
          <w:numId w:val="2"/>
        </w:numPr>
        <w:spacing w:before="60" w:after="60"/>
      </w:pPr>
      <w:r>
        <w:rPr>
          <w:color w:val="1A1A1A"/>
        </w:rPr>
        <w:t>Sharpe ratio: Rolling 12-month risk-adjusted return vs. benchmark</w:t>
      </w:r>
    </w:p>
    <w:p w14:paraId="51857EC1" w14:textId="77777777" w:rsidR="00D605FA" w:rsidRDefault="00000000">
      <w:pPr>
        <w:pStyle w:val="ListParagraph"/>
        <w:numPr>
          <w:ilvl w:val="0"/>
          <w:numId w:val="2"/>
        </w:numPr>
        <w:spacing w:before="60" w:after="60"/>
      </w:pPr>
      <w:r>
        <w:rPr>
          <w:color w:val="1A1A1A"/>
        </w:rPr>
        <w:t>Maximum drawdown tracker: High water mark and current drawdown per position and portfolio</w:t>
      </w:r>
    </w:p>
    <w:p w14:paraId="51857EC2" w14:textId="77777777" w:rsidR="00D605FA" w:rsidRDefault="00000000">
      <w:pPr>
        <w:pStyle w:val="ListParagraph"/>
        <w:numPr>
          <w:ilvl w:val="0"/>
          <w:numId w:val="2"/>
        </w:numPr>
        <w:spacing w:before="60" w:after="60"/>
      </w:pPr>
      <w:r>
        <w:rPr>
          <w:color w:val="1A1A1A"/>
        </w:rPr>
        <w:t>Cash deployment signal: Triggers when cash reserve &lt; 5% or &gt; 20%</w:t>
      </w:r>
    </w:p>
    <w:p w14:paraId="51857EC3" w14:textId="77777777" w:rsidR="00D605FA" w:rsidRDefault="00000000">
      <w:pPr>
        <w:pStyle w:val="Heading2"/>
      </w:pPr>
      <w:r>
        <w:t>7.3 Daily Agent Briefing</w:t>
      </w:r>
    </w:p>
    <w:p w14:paraId="51857EC4" w14:textId="77777777" w:rsidR="00D605FA" w:rsidRDefault="00000000">
      <w:pPr>
        <w:spacing w:before="80" w:after="80"/>
      </w:pPr>
      <w:r>
        <w:rPr>
          <w:color w:val="1A1A1A"/>
        </w:rPr>
        <w:t>Each morning, the analytics engine produces a structured briefing containing: (1) overnight market summary, (2) portfolio P&amp;L snapshot, (3) technical signal alerts for all held positions, (4) upcoming earnings and macro events for the next 5 trading days, (5) any conviction change flags. The briefing is output as an HTML report and is reviewed by the portfolio manager before market open.</w:t>
      </w:r>
    </w:p>
    <w:p w14:paraId="51857EC5" w14:textId="77777777" w:rsidR="00D605FA" w:rsidRDefault="00000000">
      <w:pPr>
        <w:pStyle w:val="Heading1"/>
        <w:pageBreakBefore/>
        <w:pBdr>
          <w:bottom w:val="single" w:sz="8" w:space="4" w:color="2E6BA8"/>
        </w:pBdr>
      </w:pPr>
      <w:r>
        <w:lastRenderedPageBreak/>
        <w:t>8. Quarterly Review Process</w:t>
      </w:r>
    </w:p>
    <w:p w14:paraId="51857EC6" w14:textId="77777777" w:rsidR="00D605FA" w:rsidRDefault="00000000">
      <w:pPr>
        <w:pStyle w:val="Heading2"/>
      </w:pPr>
      <w:r>
        <w:t>8.1 Review Schedule</w:t>
      </w:r>
    </w:p>
    <w:p w14:paraId="51857EC7" w14:textId="77777777" w:rsidR="00D605FA" w:rsidRDefault="00000000">
      <w:pPr>
        <w:spacing w:before="80" w:after="80"/>
      </w:pPr>
      <w:r>
        <w:rPr>
          <w:color w:val="1A1A1A"/>
        </w:rPr>
        <w:t>Formal quarterly reviews are conducted in March, June, September, and December. Each review covers performance attribution, rebalancing decisions, conviction reassessment, and macroeconomic regime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D605FA" w14:paraId="51857ECA" w14:textId="77777777">
        <w:tblPrEx>
          <w:tblCellMar>
            <w:top w:w="0" w:type="dxa"/>
            <w:bottom w:w="0" w:type="dxa"/>
          </w:tblCellMar>
        </w:tblPrEx>
        <w:tc>
          <w:tcPr>
            <w:tcW w:w="2340" w:type="dxa"/>
            <w:tcBorders>
              <w:top w:val="single" w:sz="1" w:space="0" w:color="C0D0E0"/>
              <w:left w:val="single" w:sz="1" w:space="0" w:color="C0D0E0"/>
              <w:bottom w:val="single" w:sz="1" w:space="0" w:color="C0D0E0"/>
              <w:right w:val="single" w:sz="1" w:space="0" w:color="C0D0E0"/>
            </w:tcBorders>
            <w:shd w:val="clear" w:color="auto" w:fill="0D2B55"/>
            <w:tcMar>
              <w:top w:w="80" w:type="dxa"/>
              <w:left w:w="160" w:type="dxa"/>
              <w:bottom w:w="80" w:type="dxa"/>
              <w:right w:w="160" w:type="dxa"/>
            </w:tcMar>
          </w:tcPr>
          <w:p w14:paraId="51857EC8" w14:textId="77777777" w:rsidR="00D605FA" w:rsidRDefault="00000000">
            <w:r>
              <w:rPr>
                <w:b/>
                <w:bCs/>
                <w:color w:val="FFFFFF"/>
                <w:sz w:val="21"/>
                <w:szCs w:val="21"/>
              </w:rPr>
              <w:t>Review Item</w:t>
            </w:r>
          </w:p>
        </w:tc>
        <w:tc>
          <w:tcPr>
            <w:tcW w:w="7020" w:type="dxa"/>
            <w:tcBorders>
              <w:top w:val="single" w:sz="1" w:space="0" w:color="C0D0E0"/>
              <w:left w:val="single" w:sz="1" w:space="0" w:color="C0D0E0"/>
              <w:bottom w:val="single" w:sz="1" w:space="0" w:color="C0D0E0"/>
              <w:right w:val="single" w:sz="1" w:space="0" w:color="C0D0E0"/>
            </w:tcBorders>
            <w:shd w:val="clear" w:color="auto" w:fill="0D2B55"/>
            <w:tcMar>
              <w:top w:w="80" w:type="dxa"/>
              <w:left w:w="160" w:type="dxa"/>
              <w:bottom w:w="80" w:type="dxa"/>
              <w:right w:w="160" w:type="dxa"/>
            </w:tcMar>
          </w:tcPr>
          <w:p w14:paraId="51857EC9" w14:textId="77777777" w:rsidR="00D605FA" w:rsidRDefault="00000000">
            <w:r>
              <w:rPr>
                <w:b/>
                <w:bCs/>
                <w:color w:val="FFFFFF"/>
                <w:sz w:val="21"/>
                <w:szCs w:val="21"/>
              </w:rPr>
              <w:t>Description</w:t>
            </w:r>
          </w:p>
        </w:tc>
      </w:tr>
      <w:tr w:rsidR="00D605FA" w14:paraId="51857ECD" w14:textId="77777777">
        <w:tblPrEx>
          <w:tblCellMar>
            <w:top w:w="0" w:type="dxa"/>
            <w:bottom w:w="0" w:type="dxa"/>
          </w:tblCellMar>
        </w:tblPrEx>
        <w:tc>
          <w:tcPr>
            <w:tcW w:w="2340" w:type="dxa"/>
            <w:tcBorders>
              <w:top w:val="single" w:sz="1" w:space="0" w:color="C0D0E0"/>
              <w:left w:val="single" w:sz="1" w:space="0" w:color="C0D0E0"/>
              <w:bottom w:val="single" w:sz="1" w:space="0" w:color="C0D0E0"/>
              <w:right w:val="single" w:sz="1" w:space="0" w:color="C0D0E0"/>
            </w:tcBorders>
            <w:shd w:val="clear" w:color="auto" w:fill="F5F7FA"/>
            <w:tcMar>
              <w:top w:w="80" w:type="dxa"/>
              <w:left w:w="160" w:type="dxa"/>
              <w:bottom w:w="80" w:type="dxa"/>
              <w:right w:w="160" w:type="dxa"/>
            </w:tcMar>
          </w:tcPr>
          <w:p w14:paraId="51857ECB" w14:textId="77777777" w:rsidR="00D605FA" w:rsidRDefault="00000000">
            <w:r>
              <w:rPr>
                <w:b/>
                <w:bCs/>
                <w:color w:val="1A1A1A"/>
                <w:sz w:val="21"/>
                <w:szCs w:val="21"/>
              </w:rPr>
              <w:t>Performance Attribution</w:t>
            </w:r>
          </w:p>
        </w:tc>
        <w:tc>
          <w:tcPr>
            <w:tcW w:w="7020" w:type="dxa"/>
            <w:tcBorders>
              <w:top w:val="single" w:sz="1" w:space="0" w:color="C0D0E0"/>
              <w:left w:val="single" w:sz="1" w:space="0" w:color="C0D0E0"/>
              <w:bottom w:val="single" w:sz="1" w:space="0" w:color="C0D0E0"/>
              <w:right w:val="single" w:sz="1" w:space="0" w:color="C0D0E0"/>
            </w:tcBorders>
            <w:shd w:val="clear" w:color="auto" w:fill="F5F7FA"/>
            <w:tcMar>
              <w:top w:w="80" w:type="dxa"/>
              <w:left w:w="160" w:type="dxa"/>
              <w:bottom w:w="80" w:type="dxa"/>
              <w:right w:w="160" w:type="dxa"/>
            </w:tcMar>
          </w:tcPr>
          <w:p w14:paraId="51857ECC" w14:textId="77777777" w:rsidR="00D605FA" w:rsidRDefault="00000000">
            <w:r>
              <w:rPr>
                <w:color w:val="444444"/>
                <w:sz w:val="21"/>
                <w:szCs w:val="21"/>
              </w:rPr>
              <w:t>Decompose total return into contribution by position, sector, and asset class. Compare vs. composite benchmark. Identify alpha sources and detractors.</w:t>
            </w:r>
          </w:p>
        </w:tc>
      </w:tr>
      <w:tr w:rsidR="00D605FA" w14:paraId="51857ED0" w14:textId="77777777">
        <w:tblPrEx>
          <w:tblCellMar>
            <w:top w:w="0" w:type="dxa"/>
            <w:bottom w:w="0" w:type="dxa"/>
          </w:tblCellMar>
        </w:tblPrEx>
        <w:tc>
          <w:tcPr>
            <w:tcW w:w="2340" w:type="dxa"/>
            <w:tcBorders>
              <w:top w:val="single" w:sz="1" w:space="0" w:color="C0D0E0"/>
              <w:left w:val="single" w:sz="1" w:space="0" w:color="C0D0E0"/>
              <w:bottom w:val="single" w:sz="1" w:space="0" w:color="C0D0E0"/>
              <w:right w:val="single" w:sz="1" w:space="0" w:color="C0D0E0"/>
            </w:tcBorders>
            <w:shd w:val="clear" w:color="auto" w:fill="FFFFFF"/>
            <w:tcMar>
              <w:top w:w="80" w:type="dxa"/>
              <w:left w:w="160" w:type="dxa"/>
              <w:bottom w:w="80" w:type="dxa"/>
              <w:right w:w="160" w:type="dxa"/>
            </w:tcMar>
          </w:tcPr>
          <w:p w14:paraId="51857ECE" w14:textId="77777777" w:rsidR="00D605FA" w:rsidRDefault="00000000">
            <w:r>
              <w:rPr>
                <w:b/>
                <w:bCs/>
                <w:color w:val="1A1A1A"/>
                <w:sz w:val="21"/>
                <w:szCs w:val="21"/>
              </w:rPr>
              <w:t>Conviction Review</w:t>
            </w:r>
          </w:p>
        </w:tc>
        <w:tc>
          <w:tcPr>
            <w:tcW w:w="7020" w:type="dxa"/>
            <w:tcBorders>
              <w:top w:val="single" w:sz="1" w:space="0" w:color="C0D0E0"/>
              <w:left w:val="single" w:sz="1" w:space="0" w:color="C0D0E0"/>
              <w:bottom w:val="single" w:sz="1" w:space="0" w:color="C0D0E0"/>
              <w:right w:val="single" w:sz="1" w:space="0" w:color="C0D0E0"/>
            </w:tcBorders>
            <w:shd w:val="clear" w:color="auto" w:fill="FFFFFF"/>
            <w:tcMar>
              <w:top w:w="80" w:type="dxa"/>
              <w:left w:w="160" w:type="dxa"/>
              <w:bottom w:w="80" w:type="dxa"/>
              <w:right w:w="160" w:type="dxa"/>
            </w:tcMar>
          </w:tcPr>
          <w:p w14:paraId="51857ECF" w14:textId="77777777" w:rsidR="00D605FA" w:rsidRDefault="00000000">
            <w:r>
              <w:rPr>
                <w:color w:val="444444"/>
                <w:sz w:val="21"/>
                <w:szCs w:val="21"/>
              </w:rPr>
              <w:t>Reassess investment thesis for each position. Grade as Maintain / Increase / Reduce / Exit. Any position with thesis impairment is flagged for exit within 30 days.</w:t>
            </w:r>
          </w:p>
        </w:tc>
      </w:tr>
      <w:tr w:rsidR="00D605FA" w14:paraId="51857ED3" w14:textId="77777777">
        <w:tblPrEx>
          <w:tblCellMar>
            <w:top w:w="0" w:type="dxa"/>
            <w:bottom w:w="0" w:type="dxa"/>
          </w:tblCellMar>
        </w:tblPrEx>
        <w:tc>
          <w:tcPr>
            <w:tcW w:w="2340" w:type="dxa"/>
            <w:tcBorders>
              <w:top w:val="single" w:sz="1" w:space="0" w:color="C0D0E0"/>
              <w:left w:val="single" w:sz="1" w:space="0" w:color="C0D0E0"/>
              <w:bottom w:val="single" w:sz="1" w:space="0" w:color="C0D0E0"/>
              <w:right w:val="single" w:sz="1" w:space="0" w:color="C0D0E0"/>
            </w:tcBorders>
            <w:shd w:val="clear" w:color="auto" w:fill="F5F7FA"/>
            <w:tcMar>
              <w:top w:w="80" w:type="dxa"/>
              <w:left w:w="160" w:type="dxa"/>
              <w:bottom w:w="80" w:type="dxa"/>
              <w:right w:w="160" w:type="dxa"/>
            </w:tcMar>
          </w:tcPr>
          <w:p w14:paraId="51857ED1" w14:textId="77777777" w:rsidR="00D605FA" w:rsidRDefault="00000000">
            <w:r>
              <w:rPr>
                <w:b/>
                <w:bCs/>
                <w:color w:val="1A1A1A"/>
                <w:sz w:val="21"/>
                <w:szCs w:val="21"/>
              </w:rPr>
              <w:t>Rebalancing</w:t>
            </w:r>
          </w:p>
        </w:tc>
        <w:tc>
          <w:tcPr>
            <w:tcW w:w="7020" w:type="dxa"/>
            <w:tcBorders>
              <w:top w:val="single" w:sz="1" w:space="0" w:color="C0D0E0"/>
              <w:left w:val="single" w:sz="1" w:space="0" w:color="C0D0E0"/>
              <w:bottom w:val="single" w:sz="1" w:space="0" w:color="C0D0E0"/>
              <w:right w:val="single" w:sz="1" w:space="0" w:color="C0D0E0"/>
            </w:tcBorders>
            <w:shd w:val="clear" w:color="auto" w:fill="F5F7FA"/>
            <w:tcMar>
              <w:top w:w="80" w:type="dxa"/>
              <w:left w:w="160" w:type="dxa"/>
              <w:bottom w:w="80" w:type="dxa"/>
              <w:right w:w="160" w:type="dxa"/>
            </w:tcMar>
          </w:tcPr>
          <w:p w14:paraId="51857ED2" w14:textId="77777777" w:rsidR="00D605FA" w:rsidRDefault="00000000">
            <w:r>
              <w:rPr>
                <w:color w:val="444444"/>
                <w:sz w:val="21"/>
                <w:szCs w:val="21"/>
              </w:rPr>
              <w:t>Trim positions that have grown &gt; 12% of portfolio. Deploy proceeds into underweight positions or new opportunities from the watchlist.</w:t>
            </w:r>
          </w:p>
        </w:tc>
      </w:tr>
      <w:tr w:rsidR="00D605FA" w14:paraId="51857ED6" w14:textId="77777777">
        <w:tblPrEx>
          <w:tblCellMar>
            <w:top w:w="0" w:type="dxa"/>
            <w:bottom w:w="0" w:type="dxa"/>
          </w:tblCellMar>
        </w:tblPrEx>
        <w:tc>
          <w:tcPr>
            <w:tcW w:w="2340" w:type="dxa"/>
            <w:tcBorders>
              <w:top w:val="single" w:sz="1" w:space="0" w:color="C0D0E0"/>
              <w:left w:val="single" w:sz="1" w:space="0" w:color="C0D0E0"/>
              <w:bottom w:val="single" w:sz="1" w:space="0" w:color="C0D0E0"/>
              <w:right w:val="single" w:sz="1" w:space="0" w:color="C0D0E0"/>
            </w:tcBorders>
            <w:shd w:val="clear" w:color="auto" w:fill="FFFFFF"/>
            <w:tcMar>
              <w:top w:w="80" w:type="dxa"/>
              <w:left w:w="160" w:type="dxa"/>
              <w:bottom w:w="80" w:type="dxa"/>
              <w:right w:w="160" w:type="dxa"/>
            </w:tcMar>
          </w:tcPr>
          <w:p w14:paraId="51857ED4" w14:textId="77777777" w:rsidR="00D605FA" w:rsidRDefault="00000000">
            <w:r>
              <w:rPr>
                <w:b/>
                <w:bCs/>
                <w:color w:val="1A1A1A"/>
                <w:sz w:val="21"/>
                <w:szCs w:val="21"/>
              </w:rPr>
              <w:t>Macro Regime Assessment</w:t>
            </w:r>
          </w:p>
        </w:tc>
        <w:tc>
          <w:tcPr>
            <w:tcW w:w="7020" w:type="dxa"/>
            <w:tcBorders>
              <w:top w:val="single" w:sz="1" w:space="0" w:color="C0D0E0"/>
              <w:left w:val="single" w:sz="1" w:space="0" w:color="C0D0E0"/>
              <w:bottom w:val="single" w:sz="1" w:space="0" w:color="C0D0E0"/>
              <w:right w:val="single" w:sz="1" w:space="0" w:color="C0D0E0"/>
            </w:tcBorders>
            <w:shd w:val="clear" w:color="auto" w:fill="FFFFFF"/>
            <w:tcMar>
              <w:top w:w="80" w:type="dxa"/>
              <w:left w:w="160" w:type="dxa"/>
              <w:bottom w:w="80" w:type="dxa"/>
              <w:right w:w="160" w:type="dxa"/>
            </w:tcMar>
          </w:tcPr>
          <w:p w14:paraId="51857ED5" w14:textId="77777777" w:rsidR="00D605FA" w:rsidRDefault="00000000">
            <w:r>
              <w:rPr>
                <w:color w:val="444444"/>
                <w:sz w:val="21"/>
                <w:szCs w:val="21"/>
              </w:rPr>
              <w:t>Evaluate interest rate environment, inflation trajectory, credit conditions, and geopolitical risk. Adjust duration in fixed income sleeve accordingly.</w:t>
            </w:r>
          </w:p>
        </w:tc>
      </w:tr>
      <w:tr w:rsidR="00D605FA" w14:paraId="51857ED9" w14:textId="77777777">
        <w:tblPrEx>
          <w:tblCellMar>
            <w:top w:w="0" w:type="dxa"/>
            <w:bottom w:w="0" w:type="dxa"/>
          </w:tblCellMar>
        </w:tblPrEx>
        <w:tc>
          <w:tcPr>
            <w:tcW w:w="2340" w:type="dxa"/>
            <w:tcBorders>
              <w:top w:val="single" w:sz="1" w:space="0" w:color="C0D0E0"/>
              <w:left w:val="single" w:sz="1" w:space="0" w:color="C0D0E0"/>
              <w:bottom w:val="single" w:sz="1" w:space="0" w:color="C0D0E0"/>
              <w:right w:val="single" w:sz="1" w:space="0" w:color="C0D0E0"/>
            </w:tcBorders>
            <w:shd w:val="clear" w:color="auto" w:fill="F5F7FA"/>
            <w:tcMar>
              <w:top w:w="80" w:type="dxa"/>
              <w:left w:w="160" w:type="dxa"/>
              <w:bottom w:w="80" w:type="dxa"/>
              <w:right w:w="160" w:type="dxa"/>
            </w:tcMar>
          </w:tcPr>
          <w:p w14:paraId="51857ED7" w14:textId="77777777" w:rsidR="00D605FA" w:rsidRDefault="00000000">
            <w:r>
              <w:rPr>
                <w:b/>
                <w:bCs/>
                <w:color w:val="1A1A1A"/>
                <w:sz w:val="21"/>
                <w:szCs w:val="21"/>
              </w:rPr>
              <w:t>Watchlist Review</w:t>
            </w:r>
          </w:p>
        </w:tc>
        <w:tc>
          <w:tcPr>
            <w:tcW w:w="7020" w:type="dxa"/>
            <w:tcBorders>
              <w:top w:val="single" w:sz="1" w:space="0" w:color="C0D0E0"/>
              <w:left w:val="single" w:sz="1" w:space="0" w:color="C0D0E0"/>
              <w:bottom w:val="single" w:sz="1" w:space="0" w:color="C0D0E0"/>
              <w:right w:val="single" w:sz="1" w:space="0" w:color="C0D0E0"/>
            </w:tcBorders>
            <w:shd w:val="clear" w:color="auto" w:fill="F5F7FA"/>
            <w:tcMar>
              <w:top w:w="80" w:type="dxa"/>
              <w:left w:w="160" w:type="dxa"/>
              <w:bottom w:w="80" w:type="dxa"/>
              <w:right w:w="160" w:type="dxa"/>
            </w:tcMar>
          </w:tcPr>
          <w:p w14:paraId="51857ED8" w14:textId="77777777" w:rsidR="00D605FA" w:rsidRDefault="00000000">
            <w:r>
              <w:rPr>
                <w:color w:val="444444"/>
                <w:sz w:val="21"/>
                <w:szCs w:val="21"/>
              </w:rPr>
              <w:t>Assess 5–10 stocks on the watchlist for possible portfolio entry. Update fair value estimates.</w:t>
            </w:r>
          </w:p>
        </w:tc>
      </w:tr>
      <w:tr w:rsidR="00D605FA" w14:paraId="51857EDC" w14:textId="77777777">
        <w:tblPrEx>
          <w:tblCellMar>
            <w:top w:w="0" w:type="dxa"/>
            <w:bottom w:w="0" w:type="dxa"/>
          </w:tblCellMar>
        </w:tblPrEx>
        <w:tc>
          <w:tcPr>
            <w:tcW w:w="2340" w:type="dxa"/>
            <w:tcBorders>
              <w:top w:val="single" w:sz="1" w:space="0" w:color="C0D0E0"/>
              <w:left w:val="single" w:sz="1" w:space="0" w:color="C0D0E0"/>
              <w:bottom w:val="single" w:sz="1" w:space="0" w:color="C0D0E0"/>
              <w:right w:val="single" w:sz="1" w:space="0" w:color="C0D0E0"/>
            </w:tcBorders>
            <w:shd w:val="clear" w:color="auto" w:fill="FFFFFF"/>
            <w:tcMar>
              <w:top w:w="80" w:type="dxa"/>
              <w:left w:w="160" w:type="dxa"/>
              <w:bottom w:w="80" w:type="dxa"/>
              <w:right w:w="160" w:type="dxa"/>
            </w:tcMar>
          </w:tcPr>
          <w:p w14:paraId="51857EDA" w14:textId="77777777" w:rsidR="00D605FA" w:rsidRDefault="00000000">
            <w:r>
              <w:rPr>
                <w:b/>
                <w:bCs/>
                <w:color w:val="1A1A1A"/>
                <w:sz w:val="21"/>
                <w:szCs w:val="21"/>
              </w:rPr>
              <w:t>Client Communication</w:t>
            </w:r>
          </w:p>
        </w:tc>
        <w:tc>
          <w:tcPr>
            <w:tcW w:w="7020" w:type="dxa"/>
            <w:tcBorders>
              <w:top w:val="single" w:sz="1" w:space="0" w:color="C0D0E0"/>
              <w:left w:val="single" w:sz="1" w:space="0" w:color="C0D0E0"/>
              <w:bottom w:val="single" w:sz="1" w:space="0" w:color="C0D0E0"/>
              <w:right w:val="single" w:sz="1" w:space="0" w:color="C0D0E0"/>
            </w:tcBorders>
            <w:shd w:val="clear" w:color="auto" w:fill="FFFFFF"/>
            <w:tcMar>
              <w:top w:w="80" w:type="dxa"/>
              <w:left w:w="160" w:type="dxa"/>
              <w:bottom w:w="80" w:type="dxa"/>
              <w:right w:w="160" w:type="dxa"/>
            </w:tcMar>
          </w:tcPr>
          <w:p w14:paraId="51857EDB" w14:textId="77777777" w:rsidR="00D605FA" w:rsidRDefault="00000000">
            <w:r>
              <w:rPr>
                <w:color w:val="444444"/>
                <w:sz w:val="21"/>
                <w:szCs w:val="21"/>
              </w:rPr>
              <w:t>Produce quarterly client letter summarising performance, decisions made, and forward outlook. Share questionnaire updates if circumstances changed.</w:t>
            </w:r>
          </w:p>
        </w:tc>
      </w:tr>
    </w:tbl>
    <w:p w14:paraId="51857EDD" w14:textId="77777777" w:rsidR="00D605FA" w:rsidRDefault="00000000">
      <w:pPr>
        <w:pStyle w:val="Heading1"/>
        <w:pageBreakBefore/>
        <w:pBdr>
          <w:bottom w:val="single" w:sz="8" w:space="4" w:color="2E6BA8"/>
        </w:pBdr>
      </w:pPr>
      <w:r>
        <w:lastRenderedPageBreak/>
        <w:t>9. Disclaimer &amp; Governance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D605FA" w14:paraId="51857EE1"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A31515"/>
          </w:tcPr>
          <w:p w14:paraId="51857EDE" w14:textId="77777777" w:rsidR="00D605FA" w:rsidRDefault="00D605FA"/>
        </w:tc>
        <w:tc>
          <w:tcPr>
            <w:tcW w:w="9160" w:type="dxa"/>
            <w:tcBorders>
              <w:top w:val="none" w:sz="0" w:space="0" w:color="FFFFFF"/>
              <w:left w:val="none" w:sz="0" w:space="0" w:color="FFFFFF"/>
              <w:bottom w:val="none" w:sz="0" w:space="0" w:color="FFFFFF"/>
              <w:right w:val="none" w:sz="0" w:space="0" w:color="FFFFFF"/>
            </w:tcBorders>
            <w:shd w:val="clear" w:color="auto" w:fill="FDECEA"/>
            <w:tcMar>
              <w:top w:w="120" w:type="dxa"/>
              <w:left w:w="200" w:type="dxa"/>
              <w:bottom w:w="120" w:type="dxa"/>
              <w:right w:w="200" w:type="dxa"/>
            </w:tcMar>
          </w:tcPr>
          <w:p w14:paraId="51857EDF" w14:textId="77777777" w:rsidR="00D605FA" w:rsidRDefault="00000000">
            <w:r>
              <w:rPr>
                <w:b/>
                <w:bCs/>
                <w:color w:val="A31515"/>
              </w:rPr>
              <w:t>Important Notice</w:t>
            </w:r>
          </w:p>
          <w:p w14:paraId="51857EE0" w14:textId="77777777" w:rsidR="00D605FA" w:rsidRDefault="00000000">
            <w:pPr>
              <w:spacing w:before="60"/>
            </w:pPr>
            <w:r>
              <w:rPr>
                <w:color w:val="444444"/>
                <w:sz w:val="21"/>
                <w:szCs w:val="21"/>
              </w:rPr>
              <w:t>This Investment Policy Statement is a planning and governance document prepared by Cameron Murdoch Portfolio Management for the purpose of managing a discretionary portfolio on behalf of a named client. It does not constitute regulated financial advice. Past performance is not indicative of future results. All equity investments carry the risk of total loss. The portfolio manager is not authorised by the Financial Conduct Authority (FCA). Clients are encouraged to seek independent regulated advice before committing capital.</w:t>
            </w:r>
          </w:p>
        </w:tc>
      </w:tr>
    </w:tbl>
    <w:p w14:paraId="51857EE2" w14:textId="77777777" w:rsidR="00D605FA" w:rsidRDefault="00D605FA">
      <w:pPr>
        <w:spacing w:before="60" w:after="60"/>
      </w:pPr>
    </w:p>
    <w:p w14:paraId="51857EE3" w14:textId="77777777" w:rsidR="00D605FA" w:rsidRDefault="00000000">
      <w:pPr>
        <w:spacing w:before="80" w:after="80"/>
      </w:pPr>
      <w:r>
        <w:rPr>
          <w:color w:val="1A1A1A"/>
        </w:rPr>
        <w:t>This document is reviewed quarterly. The client must be notified of any material amendments within 5 business days of the review date. All investment decisions are made in the exclusive interests of the client, with portfolio manager independence from any third-party commissions or inducements.</w:t>
      </w:r>
    </w:p>
    <w:p w14:paraId="51857EE4" w14:textId="77777777" w:rsidR="00D605FA" w:rsidRDefault="00D605FA">
      <w:pPr>
        <w:spacing w:before="2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605FA" w14:paraId="51857EF1" w14:textId="77777777">
        <w:tblPrEx>
          <w:tblCellMar>
            <w:top w:w="0" w:type="dxa"/>
            <w:bottom w:w="0" w:type="dxa"/>
          </w:tblCellMar>
        </w:tblPrEx>
        <w:tc>
          <w:tcPr>
            <w:tcW w:w="4680" w:type="dxa"/>
            <w:tcBorders>
              <w:top w:val="single" w:sz="1" w:space="0" w:color="C0D0E0"/>
              <w:left w:val="single" w:sz="1" w:space="0" w:color="C0D0E0"/>
              <w:bottom w:val="single" w:sz="1" w:space="0" w:color="C0D0E0"/>
              <w:right w:val="single" w:sz="1" w:space="0" w:color="C0D0E0"/>
            </w:tcBorders>
            <w:shd w:val="clear" w:color="auto" w:fill="F5F7FA"/>
            <w:tcMar>
              <w:top w:w="120" w:type="dxa"/>
              <w:left w:w="200" w:type="dxa"/>
              <w:bottom w:w="160" w:type="dxa"/>
              <w:right w:w="200" w:type="dxa"/>
            </w:tcMar>
          </w:tcPr>
          <w:p w14:paraId="51857EE5" w14:textId="77777777" w:rsidR="00D605FA" w:rsidRDefault="00000000">
            <w:pPr>
              <w:spacing w:before="80" w:after="80"/>
            </w:pPr>
            <w:r>
              <w:rPr>
                <w:b/>
                <w:bCs/>
                <w:color w:val="1A1A1A"/>
              </w:rPr>
              <w:t>Portfolio Manager Signature:</w:t>
            </w:r>
          </w:p>
          <w:p w14:paraId="51857EE6" w14:textId="77777777" w:rsidR="00D605FA" w:rsidRDefault="00D605FA">
            <w:pPr>
              <w:spacing w:before="160" w:after="60"/>
            </w:pPr>
          </w:p>
          <w:p w14:paraId="51857EE7" w14:textId="77777777" w:rsidR="00D605FA" w:rsidRDefault="00D605FA">
            <w:pPr>
              <w:spacing w:before="160" w:after="60"/>
            </w:pPr>
          </w:p>
          <w:p w14:paraId="51857EE8" w14:textId="77777777" w:rsidR="00D605FA" w:rsidRDefault="00000000">
            <w:pPr>
              <w:spacing w:before="80" w:after="80"/>
            </w:pPr>
            <w:r>
              <w:rPr>
                <w:color w:val="1A1A1A"/>
              </w:rPr>
              <w:t>_____________________________</w:t>
            </w:r>
          </w:p>
          <w:p w14:paraId="51857EE9" w14:textId="77777777" w:rsidR="00D605FA" w:rsidRDefault="00000000">
            <w:pPr>
              <w:spacing w:before="80" w:after="80"/>
            </w:pPr>
            <w:r>
              <w:rPr>
                <w:color w:val="1A1A1A"/>
              </w:rPr>
              <w:t>Cameron Murdoch</w:t>
            </w:r>
          </w:p>
          <w:p w14:paraId="51857EEA" w14:textId="77777777" w:rsidR="00D605FA" w:rsidRDefault="00000000">
            <w:pPr>
              <w:spacing w:before="80" w:after="80"/>
            </w:pPr>
            <w:r>
              <w:rPr>
                <w:color w:val="1A1A1A"/>
              </w:rPr>
              <w:t>Date: 9 March 2026</w:t>
            </w:r>
          </w:p>
        </w:tc>
        <w:tc>
          <w:tcPr>
            <w:tcW w:w="4680" w:type="dxa"/>
            <w:tcBorders>
              <w:top w:val="single" w:sz="1" w:space="0" w:color="C0D0E0"/>
              <w:left w:val="single" w:sz="1" w:space="0" w:color="C0D0E0"/>
              <w:bottom w:val="single" w:sz="1" w:space="0" w:color="C0D0E0"/>
              <w:right w:val="single" w:sz="1" w:space="0" w:color="C0D0E0"/>
            </w:tcBorders>
            <w:shd w:val="clear" w:color="auto" w:fill="F5F7FA"/>
            <w:tcMar>
              <w:top w:w="120" w:type="dxa"/>
              <w:left w:w="200" w:type="dxa"/>
              <w:bottom w:w="160" w:type="dxa"/>
              <w:right w:w="200" w:type="dxa"/>
            </w:tcMar>
          </w:tcPr>
          <w:p w14:paraId="51857EEB" w14:textId="77777777" w:rsidR="00D605FA" w:rsidRDefault="00000000">
            <w:pPr>
              <w:spacing w:before="80" w:after="80"/>
            </w:pPr>
            <w:r>
              <w:rPr>
                <w:b/>
                <w:bCs/>
                <w:color w:val="1A1A1A"/>
              </w:rPr>
              <w:t>Client Acknowledgement:</w:t>
            </w:r>
          </w:p>
          <w:p w14:paraId="51857EEC" w14:textId="77777777" w:rsidR="00D605FA" w:rsidRDefault="00D605FA">
            <w:pPr>
              <w:spacing w:before="160" w:after="60"/>
            </w:pPr>
          </w:p>
          <w:p w14:paraId="51857EED" w14:textId="77777777" w:rsidR="00D605FA" w:rsidRDefault="00D605FA">
            <w:pPr>
              <w:spacing w:before="160" w:after="60"/>
            </w:pPr>
          </w:p>
          <w:p w14:paraId="51857EEE" w14:textId="77777777" w:rsidR="00D605FA" w:rsidRDefault="00000000">
            <w:pPr>
              <w:spacing w:before="80" w:after="80"/>
            </w:pPr>
            <w:r>
              <w:rPr>
                <w:color w:val="1A1A1A"/>
              </w:rPr>
              <w:t>_____________________________</w:t>
            </w:r>
          </w:p>
          <w:p w14:paraId="51857EEF" w14:textId="77777777" w:rsidR="00D605FA" w:rsidRDefault="00000000">
            <w:pPr>
              <w:spacing w:before="80" w:after="80"/>
            </w:pPr>
            <w:r>
              <w:rPr>
                <w:color w:val="1A1A1A"/>
              </w:rPr>
              <w:t>Client Name: _________________</w:t>
            </w:r>
          </w:p>
          <w:p w14:paraId="51857EF0" w14:textId="77777777" w:rsidR="00D605FA" w:rsidRDefault="00000000">
            <w:pPr>
              <w:spacing w:before="80" w:after="80"/>
            </w:pPr>
            <w:r>
              <w:rPr>
                <w:color w:val="1A1A1A"/>
              </w:rPr>
              <w:t>Date: _______________________</w:t>
            </w:r>
          </w:p>
        </w:tc>
      </w:tr>
    </w:tbl>
    <w:p w14:paraId="51857EF2" w14:textId="77777777" w:rsidR="00B315A5" w:rsidRDefault="00B315A5"/>
    <w:sectPr w:rsidR="00B315A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3D316" w14:textId="77777777" w:rsidR="00B315A5" w:rsidRDefault="00B315A5">
      <w:r>
        <w:separator/>
      </w:r>
    </w:p>
  </w:endnote>
  <w:endnote w:type="continuationSeparator" w:id="0">
    <w:p w14:paraId="4E9EE672" w14:textId="77777777" w:rsidR="00B315A5" w:rsidRDefault="00B315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57EF3" w14:textId="06A0A124" w:rsidR="00D605FA" w:rsidRDefault="00000000">
    <w:pPr>
      <w:pBdr>
        <w:top w:val="single" w:sz="4" w:space="1" w:color="0D2B55"/>
      </w:pBdr>
      <w:tabs>
        <w:tab w:val="right" w:pos="9360"/>
      </w:tabs>
    </w:pPr>
    <w:r>
      <w:rPr>
        <w:i/>
        <w:iCs/>
        <w:color w:val="444444"/>
        <w:sz w:val="16"/>
        <w:szCs w:val="16"/>
      </w:rPr>
      <w:t>NOT FINANCIAL ADVICE  |  For information and planning purposes only.</w:t>
    </w:r>
    <w:r>
      <w:rPr>
        <w:color w:val="2E6BA8"/>
        <w:sz w:val="18"/>
        <w:szCs w:val="18"/>
      </w:rPr>
      <w:tab/>
      <w:t xml:space="preserve">Page </w:t>
    </w:r>
    <w:r>
      <w:rPr>
        <w:color w:val="2E6BA8"/>
        <w:sz w:val="18"/>
        <w:szCs w:val="18"/>
      </w:rPr>
      <w:fldChar w:fldCharType="begin"/>
    </w:r>
    <w:r>
      <w:rPr>
        <w:color w:val="2E6BA8"/>
        <w:sz w:val="18"/>
        <w:szCs w:val="18"/>
      </w:rPr>
      <w:instrText>PAGE</w:instrText>
    </w:r>
    <w:r>
      <w:rPr>
        <w:color w:val="2E6BA8"/>
        <w:sz w:val="18"/>
        <w:szCs w:val="18"/>
      </w:rPr>
      <w:fldChar w:fldCharType="separate"/>
    </w:r>
    <w:r w:rsidR="00FE54FF">
      <w:rPr>
        <w:noProof/>
        <w:color w:val="2E6BA8"/>
        <w:sz w:val="18"/>
        <w:szCs w:val="18"/>
      </w:rPr>
      <w:t>1</w:t>
    </w:r>
    <w:r>
      <w:rPr>
        <w:color w:val="2E6BA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DF1D6" w14:textId="77777777" w:rsidR="00B315A5" w:rsidRDefault="00B315A5">
      <w:r>
        <w:separator/>
      </w:r>
    </w:p>
  </w:footnote>
  <w:footnote w:type="continuationSeparator" w:id="0">
    <w:p w14:paraId="5A95A8FF" w14:textId="77777777" w:rsidR="00B315A5" w:rsidRDefault="00B315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57EF2" w14:textId="77777777" w:rsidR="00D605FA" w:rsidRDefault="00000000">
    <w:pPr>
      <w:pBdr>
        <w:bottom w:val="single" w:sz="6" w:space="1" w:color="0D2B55"/>
      </w:pBdr>
      <w:tabs>
        <w:tab w:val="right" w:pos="9360"/>
      </w:tabs>
    </w:pPr>
    <w:r>
      <w:rPr>
        <w:b/>
        <w:bCs/>
        <w:color w:val="2E6BA8"/>
        <w:sz w:val="18"/>
        <w:szCs w:val="18"/>
      </w:rPr>
      <w:t>INVESTMENT POLICY STATEMENT  |  CONFIDENTIAL</w:t>
    </w:r>
    <w:r>
      <w:rPr>
        <w:color w:val="444444"/>
        <w:sz w:val="18"/>
        <w:szCs w:val="18"/>
      </w:rPr>
      <w:tab/>
      <w:t>Cameron Murdoch Portfolio Management  |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92D3C"/>
    <w:multiLevelType w:val="hybridMultilevel"/>
    <w:tmpl w:val="200CD944"/>
    <w:lvl w:ilvl="0" w:tplc="B3F2DB62">
      <w:start w:val="1"/>
      <w:numFmt w:val="bullet"/>
      <w:lvlText w:val="●"/>
      <w:lvlJc w:val="left"/>
      <w:pPr>
        <w:ind w:left="720" w:hanging="360"/>
      </w:pPr>
    </w:lvl>
    <w:lvl w:ilvl="1" w:tplc="E5CC57A4">
      <w:start w:val="1"/>
      <w:numFmt w:val="bullet"/>
      <w:lvlText w:val="○"/>
      <w:lvlJc w:val="left"/>
      <w:pPr>
        <w:ind w:left="1440" w:hanging="360"/>
      </w:pPr>
    </w:lvl>
    <w:lvl w:ilvl="2" w:tplc="7FF0BB44">
      <w:start w:val="1"/>
      <w:numFmt w:val="bullet"/>
      <w:lvlText w:val="■"/>
      <w:lvlJc w:val="left"/>
      <w:pPr>
        <w:ind w:left="2160" w:hanging="360"/>
      </w:pPr>
    </w:lvl>
    <w:lvl w:ilvl="3" w:tplc="B2864908">
      <w:start w:val="1"/>
      <w:numFmt w:val="bullet"/>
      <w:lvlText w:val="●"/>
      <w:lvlJc w:val="left"/>
      <w:pPr>
        <w:ind w:left="2880" w:hanging="360"/>
      </w:pPr>
    </w:lvl>
    <w:lvl w:ilvl="4" w:tplc="09427196">
      <w:start w:val="1"/>
      <w:numFmt w:val="bullet"/>
      <w:lvlText w:val="○"/>
      <w:lvlJc w:val="left"/>
      <w:pPr>
        <w:ind w:left="3600" w:hanging="360"/>
      </w:pPr>
    </w:lvl>
    <w:lvl w:ilvl="5" w:tplc="2AE60E0A">
      <w:start w:val="1"/>
      <w:numFmt w:val="bullet"/>
      <w:lvlText w:val="■"/>
      <w:lvlJc w:val="left"/>
      <w:pPr>
        <w:ind w:left="4320" w:hanging="360"/>
      </w:pPr>
    </w:lvl>
    <w:lvl w:ilvl="6" w:tplc="077C8F86">
      <w:start w:val="1"/>
      <w:numFmt w:val="bullet"/>
      <w:lvlText w:val="●"/>
      <w:lvlJc w:val="left"/>
      <w:pPr>
        <w:ind w:left="5040" w:hanging="360"/>
      </w:pPr>
    </w:lvl>
    <w:lvl w:ilvl="7" w:tplc="83969114">
      <w:start w:val="1"/>
      <w:numFmt w:val="bullet"/>
      <w:lvlText w:val="●"/>
      <w:lvlJc w:val="left"/>
      <w:pPr>
        <w:ind w:left="5760" w:hanging="360"/>
      </w:pPr>
    </w:lvl>
    <w:lvl w:ilvl="8" w:tplc="2A9ABDFA">
      <w:start w:val="1"/>
      <w:numFmt w:val="bullet"/>
      <w:lvlText w:val="●"/>
      <w:lvlJc w:val="left"/>
      <w:pPr>
        <w:ind w:left="6480" w:hanging="360"/>
      </w:pPr>
    </w:lvl>
  </w:abstractNum>
  <w:abstractNum w:abstractNumId="1" w15:restartNumberingAfterBreak="0">
    <w:nsid w:val="30FA36A2"/>
    <w:multiLevelType w:val="hybridMultilevel"/>
    <w:tmpl w:val="26FCE18E"/>
    <w:lvl w:ilvl="0" w:tplc="80C462DA">
      <w:start w:val="1"/>
      <w:numFmt w:val="bullet"/>
      <w:lvlText w:val="•"/>
      <w:lvlJc w:val="left"/>
      <w:pPr>
        <w:ind w:left="720" w:hanging="360"/>
      </w:pPr>
    </w:lvl>
    <w:lvl w:ilvl="1" w:tplc="D6A2A0E0">
      <w:numFmt w:val="decimal"/>
      <w:lvlText w:val=""/>
      <w:lvlJc w:val="left"/>
    </w:lvl>
    <w:lvl w:ilvl="2" w:tplc="4DCCF8F0">
      <w:numFmt w:val="decimal"/>
      <w:lvlText w:val=""/>
      <w:lvlJc w:val="left"/>
    </w:lvl>
    <w:lvl w:ilvl="3" w:tplc="A51217AC">
      <w:numFmt w:val="decimal"/>
      <w:lvlText w:val=""/>
      <w:lvlJc w:val="left"/>
    </w:lvl>
    <w:lvl w:ilvl="4" w:tplc="7F1A7D88">
      <w:numFmt w:val="decimal"/>
      <w:lvlText w:val=""/>
      <w:lvlJc w:val="left"/>
    </w:lvl>
    <w:lvl w:ilvl="5" w:tplc="5F6055DC">
      <w:numFmt w:val="decimal"/>
      <w:lvlText w:val=""/>
      <w:lvlJc w:val="left"/>
    </w:lvl>
    <w:lvl w:ilvl="6" w:tplc="2F985B90">
      <w:numFmt w:val="decimal"/>
      <w:lvlText w:val=""/>
      <w:lvlJc w:val="left"/>
    </w:lvl>
    <w:lvl w:ilvl="7" w:tplc="1C36B708">
      <w:numFmt w:val="decimal"/>
      <w:lvlText w:val=""/>
      <w:lvlJc w:val="left"/>
    </w:lvl>
    <w:lvl w:ilvl="8" w:tplc="4B767E0E">
      <w:numFmt w:val="decimal"/>
      <w:lvlText w:val=""/>
      <w:lvlJc w:val="left"/>
    </w:lvl>
  </w:abstractNum>
  <w:abstractNum w:abstractNumId="2" w15:restartNumberingAfterBreak="0">
    <w:nsid w:val="41C0171C"/>
    <w:multiLevelType w:val="hybridMultilevel"/>
    <w:tmpl w:val="988CB6FE"/>
    <w:lvl w:ilvl="0" w:tplc="B2C0FAE2">
      <w:start w:val="1"/>
      <w:numFmt w:val="decimal"/>
      <w:lvlText w:val="%1."/>
      <w:lvlJc w:val="left"/>
      <w:pPr>
        <w:ind w:left="720" w:hanging="360"/>
      </w:pPr>
    </w:lvl>
    <w:lvl w:ilvl="1" w:tplc="64023A8A">
      <w:numFmt w:val="decimal"/>
      <w:lvlText w:val=""/>
      <w:lvlJc w:val="left"/>
    </w:lvl>
    <w:lvl w:ilvl="2" w:tplc="1FD47B68">
      <w:numFmt w:val="decimal"/>
      <w:lvlText w:val=""/>
      <w:lvlJc w:val="left"/>
    </w:lvl>
    <w:lvl w:ilvl="3" w:tplc="AD8413B4">
      <w:numFmt w:val="decimal"/>
      <w:lvlText w:val=""/>
      <w:lvlJc w:val="left"/>
    </w:lvl>
    <w:lvl w:ilvl="4" w:tplc="38DA5AEA">
      <w:numFmt w:val="decimal"/>
      <w:lvlText w:val=""/>
      <w:lvlJc w:val="left"/>
    </w:lvl>
    <w:lvl w:ilvl="5" w:tplc="49FA8538">
      <w:numFmt w:val="decimal"/>
      <w:lvlText w:val=""/>
      <w:lvlJc w:val="left"/>
    </w:lvl>
    <w:lvl w:ilvl="6" w:tplc="2B9EB114">
      <w:numFmt w:val="decimal"/>
      <w:lvlText w:val=""/>
      <w:lvlJc w:val="left"/>
    </w:lvl>
    <w:lvl w:ilvl="7" w:tplc="C4AEEF62">
      <w:numFmt w:val="decimal"/>
      <w:lvlText w:val=""/>
      <w:lvlJc w:val="left"/>
    </w:lvl>
    <w:lvl w:ilvl="8" w:tplc="12BADF58">
      <w:numFmt w:val="decimal"/>
      <w:lvlText w:val=""/>
      <w:lvlJc w:val="left"/>
    </w:lvl>
  </w:abstractNum>
  <w:num w:numId="1" w16cid:durableId="1014260219">
    <w:abstractNumId w:val="0"/>
    <w:lvlOverride w:ilvl="0">
      <w:startOverride w:val="1"/>
    </w:lvlOverride>
  </w:num>
  <w:num w:numId="2" w16cid:durableId="16461638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05FA"/>
    <w:rsid w:val="000F3272"/>
    <w:rsid w:val="004D0AB7"/>
    <w:rsid w:val="00B315A5"/>
    <w:rsid w:val="00D605FA"/>
    <w:rsid w:val="00FE54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57D70"/>
  <w15:docId w15:val="{EFB3AD34-C8E1-4A99-AE5B-F37FCD078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b/>
      <w:bCs/>
      <w:color w:val="0D2B55"/>
      <w:sz w:val="32"/>
      <w:szCs w:val="32"/>
    </w:rPr>
  </w:style>
  <w:style w:type="paragraph" w:styleId="Heading2">
    <w:name w:val="heading 2"/>
    <w:uiPriority w:val="9"/>
    <w:unhideWhenUsed/>
    <w:qFormat/>
    <w:pPr>
      <w:spacing w:before="240" w:after="120"/>
      <w:outlineLvl w:val="1"/>
    </w:pPr>
    <w:rPr>
      <w:b/>
      <w:bCs/>
      <w:color w:val="2E6BA8"/>
      <w:sz w:val="26"/>
      <w:szCs w:val="26"/>
    </w:rPr>
  </w:style>
  <w:style w:type="paragraph" w:styleId="Heading3">
    <w:name w:val="heading 3"/>
    <w:uiPriority w:val="9"/>
    <w:unhideWhenUsed/>
    <w:qFormat/>
    <w:pPr>
      <w:spacing w:before="180" w:after="80"/>
      <w:outlineLvl w:val="2"/>
    </w:pPr>
    <w:rPr>
      <w:b/>
      <w:bCs/>
      <w:color w:val="1B3A6B"/>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2679</Words>
  <Characters>15276</Characters>
  <Application>Microsoft Office Word</Application>
  <DocSecurity>0</DocSecurity>
  <Lines>127</Lines>
  <Paragraphs>35</Paragraphs>
  <ScaleCrop>false</ScaleCrop>
  <Company/>
  <LinksUpToDate>false</LinksUpToDate>
  <CharactersWithSpaces>17920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Cameron Murdoch</cp:lastModifiedBy>
  <cp:revision>3</cp:revision>
  <dcterms:created xsi:type="dcterms:W3CDTF">2026-03-09T21:55:00Z</dcterms:created>
  <dcterms:modified xsi:type="dcterms:W3CDTF">2026-03-09T22:43:00Z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870f0205-1f61-458b-acce-dec4fca247e9</vt:lpwstr>
  </property>
</Properties>
</file>