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7A6F3" w14:textId="2E72796B" w:rsidR="00F571F4" w:rsidRDefault="00F571F4" w:rsidP="00C6554A">
      <w:pPr>
        <w:pStyle w:val="Foto"/>
        <w:rPr>
          <w:lang w:val="en-GB"/>
        </w:rPr>
      </w:pPr>
    </w:p>
    <w:p w14:paraId="13FEF8A3" w14:textId="7E7168D5" w:rsidR="00F571F4" w:rsidRDefault="00F571F4">
      <w:pPr>
        <w:rPr>
          <w:color w:val="FF0000"/>
          <w:sz w:val="52"/>
          <w:szCs w:val="52"/>
          <w:lang w:val="en-GB"/>
        </w:rPr>
      </w:pPr>
      <w:r>
        <w:rPr>
          <w:color w:val="FF0000"/>
          <w:sz w:val="52"/>
          <w:szCs w:val="52"/>
          <w:lang w:val="en-GB"/>
        </w:rPr>
        <w:t>FOR YOUR EYES ONLY – THIS DOCUMENT CONTAINS CONFIDENTIAL INFORMATION.</w:t>
      </w:r>
    </w:p>
    <w:p w14:paraId="3BDEC742" w14:textId="0461D4B2" w:rsidR="00F571F4" w:rsidRDefault="00F571F4">
      <w:pPr>
        <w:rPr>
          <w:color w:val="FF0000"/>
          <w:sz w:val="52"/>
          <w:szCs w:val="52"/>
          <w:lang w:val="en-GB"/>
        </w:rPr>
      </w:pPr>
      <w:r>
        <w:rPr>
          <w:color w:val="FF0000"/>
          <w:sz w:val="52"/>
          <w:szCs w:val="52"/>
          <w:lang w:val="en-GB"/>
        </w:rPr>
        <w:t>GIVEN TO PATRICK SIRICH, CASPER FROST ANDERSEN, CHRISTIAN MØLLER STRUNGE &amp; MATTHIAS SKOU. CAN ONLY BE VIEWED BY THEM AND THOSE PARTICIPATING IN THIS SPECIFIC EXAM.</w:t>
      </w:r>
      <w:bookmarkStart w:id="0" w:name="_GoBack"/>
      <w:bookmarkEnd w:id="0"/>
    </w:p>
    <w:p w14:paraId="78A8C7AC" w14:textId="53E58501" w:rsidR="00F571F4" w:rsidRPr="00F571F4" w:rsidRDefault="00F571F4">
      <w:pPr>
        <w:rPr>
          <w:color w:val="FF0000"/>
          <w:sz w:val="48"/>
          <w:szCs w:val="48"/>
          <w:lang w:val="en-GB"/>
        </w:rPr>
      </w:pPr>
      <w:r>
        <w:rPr>
          <w:color w:val="FF0000"/>
          <w:sz w:val="52"/>
          <w:szCs w:val="52"/>
          <w:lang w:val="en-GB"/>
        </w:rPr>
        <w:t>DISTRIBUTION OF THIS DOCUMENT IS FORBIDDEN.</w:t>
      </w:r>
      <w:r>
        <w:rPr>
          <w:lang w:val="en-GB"/>
        </w:rPr>
        <w:br w:type="page"/>
      </w:r>
    </w:p>
    <w:p w14:paraId="78BAB9AF" w14:textId="77777777" w:rsidR="000321EF" w:rsidRDefault="000321EF" w:rsidP="00C6554A">
      <w:pPr>
        <w:pStyle w:val="Foto"/>
        <w:rPr>
          <w:lang w:val="en-GB"/>
        </w:rPr>
      </w:pPr>
    </w:p>
    <w:p w14:paraId="76D41D59" w14:textId="77777777" w:rsidR="00C6554A" w:rsidRPr="00DE454E" w:rsidRDefault="0045171F" w:rsidP="00DE454E">
      <w:pPr>
        <w:pStyle w:val="Titel"/>
        <w:rPr>
          <w:lang w:val="en-GB"/>
        </w:rPr>
      </w:pPr>
      <w:sdt>
        <w:sdtPr>
          <w:rPr>
            <w:lang w:val="en-GB"/>
          </w:rPr>
          <w:alias w:val="Titel"/>
          <w:tag w:val=""/>
          <w:id w:val="1790474242"/>
          <w:placeholder>
            <w:docPart w:val="23B222D22CF84BE08129ECC03719F850"/>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DE454E" w:rsidRPr="00DE454E">
            <w:rPr>
              <w:lang w:val="en-GB"/>
            </w:rPr>
            <w:t>TheNext – Helping banks</w:t>
          </w:r>
        </w:sdtContent>
      </w:sdt>
    </w:p>
    <w:p w14:paraId="3C942D6E" w14:textId="69C334FD" w:rsidR="0011404D" w:rsidRDefault="00DE454E" w:rsidP="00DE454E">
      <w:pPr>
        <w:pStyle w:val="Undertitel"/>
        <w:rPr>
          <w:noProof/>
          <w:lang w:val="en-GB" w:eastAsia="da-DK"/>
        </w:rPr>
      </w:pPr>
      <w:r w:rsidRPr="00DE454E">
        <w:rPr>
          <w:sz w:val="24"/>
          <w:lang w:val="en-GB"/>
        </w:rPr>
        <w:t xml:space="preserve">becoming a Customer Centric Orchestrator of eco-systems </w:t>
      </w:r>
      <w:r w:rsidRPr="00DE454E">
        <w:rPr>
          <w:lang w:val="en-GB"/>
        </w:rPr>
        <w:t>– first!</w:t>
      </w:r>
    </w:p>
    <w:p w14:paraId="54B1C64B" w14:textId="77777777" w:rsidR="0011404D" w:rsidRDefault="0011404D" w:rsidP="00DE454E">
      <w:pPr>
        <w:pStyle w:val="Undertitel"/>
        <w:rPr>
          <w:sz w:val="24"/>
          <w:lang w:val="en-GB"/>
        </w:rPr>
      </w:pPr>
    </w:p>
    <w:p w14:paraId="02E261CB" w14:textId="41CE5135" w:rsidR="0011404D" w:rsidRDefault="0011404D" w:rsidP="00DE454E">
      <w:pPr>
        <w:pStyle w:val="Undertitel"/>
        <w:rPr>
          <w:sz w:val="24"/>
          <w:lang w:val="en-GB"/>
        </w:rPr>
      </w:pPr>
    </w:p>
    <w:p w14:paraId="230E3B65" w14:textId="740953B3" w:rsidR="0011404D" w:rsidRDefault="0011404D" w:rsidP="00DE454E">
      <w:pPr>
        <w:pStyle w:val="Undertitel"/>
        <w:rPr>
          <w:sz w:val="24"/>
          <w:lang w:val="en-GB"/>
        </w:rPr>
      </w:pPr>
    </w:p>
    <w:p w14:paraId="24DCFB35" w14:textId="77777777" w:rsidR="0011404D" w:rsidRDefault="0011404D" w:rsidP="00DE454E">
      <w:pPr>
        <w:pStyle w:val="Undertitel"/>
        <w:rPr>
          <w:sz w:val="24"/>
          <w:lang w:val="en-GB"/>
        </w:rPr>
      </w:pPr>
    </w:p>
    <w:p w14:paraId="4276DF9C" w14:textId="43111F16" w:rsidR="00DE454E" w:rsidRPr="00DE454E" w:rsidRDefault="0011404D" w:rsidP="00DE454E">
      <w:pPr>
        <w:pStyle w:val="Undertitel"/>
        <w:rPr>
          <w:sz w:val="24"/>
          <w:lang w:val="en-GB"/>
        </w:rPr>
      </w:pPr>
      <w:r w:rsidRPr="00DE454E">
        <w:rPr>
          <w:noProof/>
          <w:lang w:val="en-GB" w:eastAsia="da-DK"/>
        </w:rPr>
        <w:drawing>
          <wp:inline distT="0" distB="0" distL="0" distR="0" wp14:anchorId="5FCCCCCD" wp14:editId="072DCE04">
            <wp:extent cx="5274310" cy="4603115"/>
            <wp:effectExtent l="0" t="0" r="2540" b="6985"/>
            <wp:docPr id="2" name="Billede 2" descr="New ecosystems emerging in retail and institutional sp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0_ctl22_imgExhibitGraphic" descr="New ecosystems emerging in retail and institutional spac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4603115"/>
                    </a:xfrm>
                    <a:prstGeom prst="rect">
                      <a:avLst/>
                    </a:prstGeom>
                    <a:noFill/>
                    <a:ln>
                      <a:noFill/>
                    </a:ln>
                  </pic:spPr>
                </pic:pic>
              </a:graphicData>
            </a:graphic>
          </wp:inline>
        </w:drawing>
      </w:r>
    </w:p>
    <w:p w14:paraId="5EAAF4C6" w14:textId="77777777" w:rsidR="0011404D" w:rsidRDefault="0011404D" w:rsidP="00C6554A">
      <w:pPr>
        <w:pStyle w:val="Kontaktoplysninger"/>
        <w:rPr>
          <w:lang w:val="en-GB"/>
        </w:rPr>
      </w:pPr>
    </w:p>
    <w:p w14:paraId="647545A9" w14:textId="77777777" w:rsidR="0011404D" w:rsidRDefault="0011404D" w:rsidP="00C6554A">
      <w:pPr>
        <w:pStyle w:val="Kontaktoplysninger"/>
        <w:rPr>
          <w:lang w:val="en-GB"/>
        </w:rPr>
      </w:pPr>
    </w:p>
    <w:p w14:paraId="156C2A05" w14:textId="77777777" w:rsidR="0011404D" w:rsidRDefault="0011404D" w:rsidP="00C6554A">
      <w:pPr>
        <w:pStyle w:val="Kontaktoplysninger"/>
        <w:rPr>
          <w:lang w:val="en-GB"/>
        </w:rPr>
      </w:pPr>
    </w:p>
    <w:p w14:paraId="7060ADE7" w14:textId="77777777" w:rsidR="0011404D" w:rsidRDefault="0011404D" w:rsidP="00C6554A">
      <w:pPr>
        <w:pStyle w:val="Kontaktoplysninger"/>
        <w:rPr>
          <w:lang w:val="en-GB"/>
        </w:rPr>
      </w:pPr>
    </w:p>
    <w:p w14:paraId="656D3C4F" w14:textId="73DDBEB9" w:rsidR="00C6554A" w:rsidRPr="00DE454E" w:rsidRDefault="00DE454E" w:rsidP="00C6554A">
      <w:pPr>
        <w:pStyle w:val="Kontaktoplysninger"/>
        <w:rPr>
          <w:lang w:val="en-GB"/>
        </w:rPr>
      </w:pPr>
      <w:r w:rsidRPr="00DE454E">
        <w:rPr>
          <w:lang w:val="en-GB"/>
        </w:rPr>
        <w:t>Jan Sirich</w:t>
      </w:r>
      <w:r w:rsidR="00C6554A" w:rsidRPr="00DE454E">
        <w:rPr>
          <w:lang w:val="en-GB" w:bidi="da-DK"/>
        </w:rPr>
        <w:t xml:space="preserve"> | </w:t>
      </w:r>
      <w:r w:rsidRPr="00DE454E">
        <w:rPr>
          <w:lang w:val="en-GB"/>
        </w:rPr>
        <w:t>TheNext ApS</w:t>
      </w:r>
      <w:r w:rsidR="00C6554A" w:rsidRPr="00DE454E">
        <w:rPr>
          <w:lang w:val="en-GB" w:bidi="da-DK"/>
        </w:rPr>
        <w:t xml:space="preserve"> | </w:t>
      </w:r>
      <w:r w:rsidR="00E64FC4">
        <w:rPr>
          <w:lang w:val="en-GB"/>
        </w:rPr>
        <w:t>Dec</w:t>
      </w:r>
      <w:r w:rsidRPr="00DE454E">
        <w:rPr>
          <w:lang w:val="en-GB"/>
        </w:rPr>
        <w:t>ember 2018</w:t>
      </w:r>
      <w:r w:rsidR="00C6554A" w:rsidRPr="00DE454E">
        <w:rPr>
          <w:lang w:val="en-GB" w:bidi="da-DK"/>
        </w:rPr>
        <w:br w:type="page"/>
      </w:r>
    </w:p>
    <w:p w14:paraId="2AAF9E55" w14:textId="77777777" w:rsidR="00DE454E" w:rsidRPr="00DE454E" w:rsidRDefault="00DE454E" w:rsidP="00DE454E">
      <w:pPr>
        <w:pStyle w:val="Overskrift1"/>
        <w:rPr>
          <w:sz w:val="29"/>
          <w:szCs w:val="29"/>
          <w:lang w:val="en-GB"/>
        </w:rPr>
      </w:pPr>
      <w:bookmarkStart w:id="1" w:name="_Toc526424834"/>
      <w:r w:rsidRPr="00DE454E">
        <w:rPr>
          <w:sz w:val="29"/>
          <w:szCs w:val="29"/>
          <w:lang w:val="en-GB"/>
        </w:rPr>
        <w:lastRenderedPageBreak/>
        <w:t>Preface</w:t>
      </w:r>
      <w:bookmarkEnd w:id="1"/>
    </w:p>
    <w:p w14:paraId="2E59F17B" w14:textId="77777777" w:rsidR="00DE454E" w:rsidRPr="00DE454E" w:rsidRDefault="00DE454E" w:rsidP="00DE454E">
      <w:pPr>
        <w:pStyle w:val="Overskrift2"/>
        <w:rPr>
          <w:lang w:val="en-GB"/>
        </w:rPr>
      </w:pPr>
      <w:r w:rsidRPr="00DE454E">
        <w:rPr>
          <w:lang w:val="en-GB"/>
        </w:rPr>
        <w:t>Threats and opportunities</w:t>
      </w:r>
    </w:p>
    <w:p w14:paraId="4B91C3EA" w14:textId="64603872" w:rsidR="00DE454E" w:rsidRPr="00DE454E" w:rsidRDefault="00DE454E" w:rsidP="00DE454E">
      <w:pPr>
        <w:rPr>
          <w:i/>
          <w:sz w:val="24"/>
          <w:szCs w:val="24"/>
          <w:lang w:val="en-GB"/>
        </w:rPr>
      </w:pPr>
      <w:r w:rsidRPr="00DE454E">
        <w:rPr>
          <w:sz w:val="24"/>
          <w:szCs w:val="24"/>
          <w:lang w:val="en-GB"/>
        </w:rPr>
        <w:t xml:space="preserve">The frontpage picture of this memo, illustrates McKinsey’s suggestion of today’s industries with clear boundaries that may change into </w:t>
      </w:r>
      <w:hyperlink r:id="rId8" w:history="1">
        <w:r w:rsidRPr="00DE454E">
          <w:rPr>
            <w:rStyle w:val="Hyperlink"/>
            <w:color w:val="0070C0"/>
            <w:sz w:val="24"/>
            <w:szCs w:val="24"/>
            <w:lang w:val="en-GB"/>
          </w:rPr>
          <w:t>a world of sectors without borders</w:t>
        </w:r>
      </w:hyperlink>
      <w:r w:rsidR="00A71EAF">
        <w:rPr>
          <w:sz w:val="24"/>
          <w:szCs w:val="24"/>
          <w:lang w:val="en-GB"/>
        </w:rPr>
        <w:t>, quote</w:t>
      </w:r>
      <w:r w:rsidR="00883694">
        <w:rPr>
          <w:sz w:val="24"/>
          <w:szCs w:val="24"/>
          <w:lang w:val="en-GB"/>
        </w:rPr>
        <w:t>:</w:t>
      </w:r>
      <w:r w:rsidRPr="00DE454E">
        <w:rPr>
          <w:sz w:val="24"/>
          <w:szCs w:val="24"/>
          <w:lang w:val="en-GB"/>
        </w:rPr>
        <w:t xml:space="preserve"> </w:t>
      </w:r>
      <w:r w:rsidR="00883694">
        <w:rPr>
          <w:sz w:val="24"/>
          <w:szCs w:val="24"/>
          <w:lang w:val="en-GB"/>
        </w:rPr>
        <w:t>“</w:t>
      </w:r>
      <w:r w:rsidRPr="00DE454E">
        <w:rPr>
          <w:i/>
          <w:sz w:val="24"/>
          <w:szCs w:val="24"/>
          <w:lang w:val="en-GB"/>
        </w:rPr>
        <w:t xml:space="preserve">… we believe an increasing number of industries will converge under newer, broader, and more dynamic alignments: Digital ecosystems. A world of ecosystems will be a highly customer-centric model, where users can enjoy an end-to-end experience for a wide range of products and services through </w:t>
      </w:r>
      <w:r w:rsidRPr="00DE454E">
        <w:rPr>
          <w:i/>
          <w:sz w:val="24"/>
          <w:szCs w:val="24"/>
          <w:u w:val="single"/>
          <w:lang w:val="en-GB"/>
        </w:rPr>
        <w:t>a single access gateway, without leaving the ecosystem</w:t>
      </w:r>
      <w:r w:rsidRPr="00DE454E">
        <w:rPr>
          <w:i/>
          <w:sz w:val="24"/>
          <w:szCs w:val="24"/>
          <w:lang w:val="en-GB"/>
        </w:rPr>
        <w:t xml:space="preserve"> …</w:t>
      </w:r>
      <w:r w:rsidR="00883694">
        <w:rPr>
          <w:i/>
          <w:sz w:val="24"/>
          <w:szCs w:val="24"/>
          <w:lang w:val="en-GB"/>
        </w:rPr>
        <w:t>”.</w:t>
      </w:r>
      <w:r w:rsidRPr="00DE454E">
        <w:rPr>
          <w:i/>
          <w:sz w:val="24"/>
          <w:szCs w:val="24"/>
          <w:lang w:val="en-GB"/>
        </w:rPr>
        <w:t xml:space="preserve"> </w:t>
      </w:r>
    </w:p>
    <w:p w14:paraId="3215C5BF" w14:textId="765975A5" w:rsidR="00DE454E" w:rsidRPr="00DE454E" w:rsidRDefault="00DE454E" w:rsidP="00DE454E">
      <w:pPr>
        <w:rPr>
          <w:sz w:val="24"/>
          <w:szCs w:val="24"/>
          <w:lang w:val="en-GB"/>
        </w:rPr>
      </w:pPr>
      <w:r w:rsidRPr="00DE454E">
        <w:rPr>
          <w:sz w:val="24"/>
          <w:szCs w:val="24"/>
          <w:lang w:val="en-GB"/>
        </w:rPr>
        <w:t xml:space="preserve">There is no banking eco-system in McKinsey’s forecast! We claim that part of the winning formula is also the ability to create a coherent UX and UI experience and </w:t>
      </w:r>
      <w:r w:rsidR="002142E4" w:rsidRPr="00DE454E">
        <w:rPr>
          <w:sz w:val="24"/>
          <w:szCs w:val="24"/>
          <w:lang w:val="en-GB"/>
        </w:rPr>
        <w:t>can</w:t>
      </w:r>
      <w:r w:rsidRPr="00DE454E">
        <w:rPr>
          <w:sz w:val="24"/>
          <w:szCs w:val="24"/>
          <w:lang w:val="en-GB"/>
        </w:rPr>
        <w:t xml:space="preserve"> service their customers’ individual interests with thorough understanding of their individual needs, dreams and preferences, i.e. in an eco-system context beyond banking services.</w:t>
      </w:r>
    </w:p>
    <w:p w14:paraId="084FECC8" w14:textId="77777777" w:rsidR="00DE454E" w:rsidRPr="00DE454E" w:rsidRDefault="00DE454E" w:rsidP="00DE454E">
      <w:pPr>
        <w:rPr>
          <w:sz w:val="24"/>
          <w:szCs w:val="24"/>
          <w:lang w:val="en-GB"/>
        </w:rPr>
      </w:pPr>
      <w:r w:rsidRPr="00DE454E">
        <w:rPr>
          <w:sz w:val="24"/>
          <w:szCs w:val="24"/>
          <w:lang w:val="en-GB"/>
        </w:rPr>
        <w:t>Today, banks strongest assets are the huge and loyal customer bases (very high switching cost), distribution position, systemic position, and customer trust. But as McKinsey suggests it may change, and it could even transform the existing banking business model to new models (e.g. platform economy).</w:t>
      </w:r>
    </w:p>
    <w:p w14:paraId="6D66D761" w14:textId="77777777" w:rsidR="00DE454E" w:rsidRPr="00DE454E" w:rsidRDefault="00DE454E" w:rsidP="00DE454E">
      <w:pPr>
        <w:rPr>
          <w:sz w:val="24"/>
          <w:szCs w:val="24"/>
          <w:lang w:val="en-GB"/>
        </w:rPr>
      </w:pPr>
      <w:r w:rsidRPr="00DE454E">
        <w:rPr>
          <w:sz w:val="24"/>
          <w:szCs w:val="24"/>
          <w:lang w:val="en-GB"/>
        </w:rPr>
        <w:t xml:space="preserve">It’s TheNext’s mission to help incumbent banks becoming an eco-system orchestrator, so they can keep their position as a value creator towards customers. </w:t>
      </w:r>
    </w:p>
    <w:p w14:paraId="1D619F0C" w14:textId="77777777" w:rsidR="00DE454E" w:rsidRPr="00DE454E" w:rsidRDefault="00DE454E" w:rsidP="00DE454E">
      <w:pPr>
        <w:rPr>
          <w:sz w:val="24"/>
          <w:szCs w:val="24"/>
          <w:lang w:val="en-GB"/>
        </w:rPr>
      </w:pPr>
      <w:r w:rsidRPr="00DE454E">
        <w:rPr>
          <w:sz w:val="24"/>
          <w:szCs w:val="24"/>
          <w:lang w:val="en-GB"/>
        </w:rPr>
        <w:t xml:space="preserve">So, you should partner up with TheNext and explore “the new opportunities” in a setting outside your current banking setup. </w:t>
      </w:r>
    </w:p>
    <w:p w14:paraId="451F5E1C" w14:textId="77777777" w:rsidR="00DE454E" w:rsidRPr="00DE454E" w:rsidRDefault="00DE454E" w:rsidP="00DE454E">
      <w:pPr>
        <w:rPr>
          <w:sz w:val="24"/>
          <w:szCs w:val="24"/>
          <w:lang w:val="en-GB"/>
        </w:rPr>
      </w:pPr>
      <w:r w:rsidRPr="00DE454E">
        <w:rPr>
          <w:sz w:val="24"/>
          <w:szCs w:val="24"/>
          <w:lang w:val="en-GB"/>
        </w:rPr>
        <w:t xml:space="preserve">TheNext will orchestrate establishing, evolving and running the eco-system of content partners, as well as being the technology provider, enabling all this to happen. </w:t>
      </w:r>
    </w:p>
    <w:p w14:paraId="5EBE13CA" w14:textId="6956ED70" w:rsidR="00DE454E" w:rsidRPr="00D81C50" w:rsidRDefault="00DE454E" w:rsidP="00DE454E">
      <w:pPr>
        <w:rPr>
          <w:sz w:val="24"/>
          <w:szCs w:val="24"/>
          <w:lang w:val="en-GB"/>
        </w:rPr>
      </w:pPr>
      <w:r w:rsidRPr="00DE454E">
        <w:rPr>
          <w:sz w:val="24"/>
          <w:szCs w:val="24"/>
          <w:lang w:val="en-GB"/>
        </w:rPr>
        <w:t>This is radical thinking for some incumbent banks, but through several conversations with various banks in Europe, the timing to start exploring these new opportunities seems to be righ</w:t>
      </w:r>
      <w:r w:rsidR="00D81C50">
        <w:rPr>
          <w:sz w:val="24"/>
          <w:szCs w:val="24"/>
          <w:lang w:val="en-GB"/>
        </w:rPr>
        <w:t>t.</w:t>
      </w:r>
    </w:p>
    <w:p w14:paraId="467AB4E9" w14:textId="77777777" w:rsidR="00DE454E" w:rsidRPr="00DE454E" w:rsidRDefault="00DE454E" w:rsidP="00DE454E">
      <w:pPr>
        <w:rPr>
          <w:lang w:val="en-GB"/>
        </w:rPr>
      </w:pPr>
    </w:p>
    <w:p w14:paraId="6C7B2E7A" w14:textId="77777777" w:rsidR="00DE454E" w:rsidRPr="00DE454E" w:rsidRDefault="00DE454E" w:rsidP="00DE454E">
      <w:pPr>
        <w:pStyle w:val="Ingenafstand"/>
        <w:rPr>
          <w:lang w:val="en-GB"/>
        </w:rPr>
      </w:pPr>
      <w:r w:rsidRPr="00DE454E">
        <w:rPr>
          <w:sz w:val="24"/>
          <w:lang w:val="en-GB"/>
        </w:rPr>
        <w:t>Jan Sirich</w:t>
      </w:r>
      <w:r w:rsidRPr="00DE454E">
        <w:rPr>
          <w:lang w:val="en-GB"/>
        </w:rPr>
        <w:t>, CEO and Founder of TheNext</w:t>
      </w:r>
    </w:p>
    <w:p w14:paraId="4CB2E45F" w14:textId="77777777" w:rsidR="00DE454E" w:rsidRPr="00DE454E" w:rsidRDefault="00DE454E" w:rsidP="00DE454E">
      <w:pPr>
        <w:pStyle w:val="Ingenafstand"/>
        <w:rPr>
          <w:lang w:val="en-GB"/>
        </w:rPr>
      </w:pPr>
      <w:r w:rsidRPr="00DE454E">
        <w:rPr>
          <w:lang w:val="en-GB"/>
        </w:rPr>
        <w:t>+45 4058 8712</w:t>
      </w:r>
    </w:p>
    <w:p w14:paraId="05EFF9A4" w14:textId="77777777" w:rsidR="00DE454E" w:rsidRPr="00DE454E" w:rsidRDefault="0045171F" w:rsidP="00DE454E">
      <w:pPr>
        <w:pStyle w:val="Ingenafstand"/>
        <w:rPr>
          <w:lang w:val="en-GB"/>
        </w:rPr>
      </w:pPr>
      <w:hyperlink r:id="rId9" w:history="1">
        <w:r w:rsidR="00DE454E" w:rsidRPr="00DE454E">
          <w:rPr>
            <w:rStyle w:val="Hyperlink"/>
            <w:lang w:val="en-GB"/>
          </w:rPr>
          <w:t>Jan.sirich@thenext.dk</w:t>
        </w:r>
      </w:hyperlink>
    </w:p>
    <w:p w14:paraId="6248B5FC" w14:textId="77777777" w:rsidR="00DE454E" w:rsidRPr="00DE454E" w:rsidRDefault="00DE454E" w:rsidP="00DE454E">
      <w:pPr>
        <w:pStyle w:val="Ingenafstand"/>
        <w:rPr>
          <w:lang w:val="en-GB"/>
        </w:rPr>
      </w:pPr>
      <w:r w:rsidRPr="00DE454E">
        <w:rPr>
          <w:lang w:val="en-GB"/>
        </w:rPr>
        <w:t>www.thenext.dk</w:t>
      </w:r>
    </w:p>
    <w:p w14:paraId="63F108B8" w14:textId="77777777" w:rsidR="00DE454E" w:rsidRPr="00DE454E" w:rsidRDefault="00DE454E" w:rsidP="00DE454E">
      <w:pPr>
        <w:pStyle w:val="Ingenafstand"/>
        <w:rPr>
          <w:lang w:val="en-GB"/>
        </w:rPr>
      </w:pPr>
      <w:r w:rsidRPr="00DE454E">
        <w:rPr>
          <w:lang w:val="en-GB"/>
        </w:rPr>
        <w:t xml:space="preserve">TheNext ApS, CVR: </w:t>
      </w:r>
      <w:r w:rsidRPr="00DE454E">
        <w:rPr>
          <w:rFonts w:cs="Arial"/>
          <w:bCs/>
          <w:sz w:val="18"/>
          <w:szCs w:val="18"/>
          <w:lang w:val="en-GB"/>
        </w:rPr>
        <w:t>39378574</w:t>
      </w:r>
    </w:p>
    <w:p w14:paraId="30E87773" w14:textId="77777777" w:rsidR="00DE454E" w:rsidRPr="00DE454E" w:rsidRDefault="00DE454E" w:rsidP="00DE454E">
      <w:pPr>
        <w:pStyle w:val="Ingenafstand"/>
        <w:rPr>
          <w:lang w:val="en-GB"/>
        </w:rPr>
      </w:pPr>
      <w:r w:rsidRPr="00DE454E">
        <w:rPr>
          <w:lang w:val="en-GB"/>
        </w:rPr>
        <w:t xml:space="preserve">Hornbækgårdsvej 15, </w:t>
      </w:r>
    </w:p>
    <w:p w14:paraId="613B533D" w14:textId="77777777" w:rsidR="00DE454E" w:rsidRPr="00DE454E" w:rsidRDefault="00DE454E" w:rsidP="00DE454E">
      <w:pPr>
        <w:pStyle w:val="Ingenafstand"/>
        <w:rPr>
          <w:lang w:val="en-GB"/>
        </w:rPr>
      </w:pPr>
      <w:r w:rsidRPr="00DE454E">
        <w:rPr>
          <w:lang w:val="en-GB"/>
        </w:rPr>
        <w:t>3100 Hornbæk, Denmark</w:t>
      </w:r>
    </w:p>
    <w:p w14:paraId="60FA35C8" w14:textId="77777777" w:rsidR="00DE454E" w:rsidRPr="00DE454E" w:rsidRDefault="00DE454E" w:rsidP="00DE454E">
      <w:pPr>
        <w:pStyle w:val="Overskrift1"/>
        <w:rPr>
          <w:sz w:val="28"/>
          <w:szCs w:val="28"/>
          <w:lang w:val="en-GB"/>
        </w:rPr>
      </w:pPr>
      <w:r w:rsidRPr="00DE454E">
        <w:rPr>
          <w:sz w:val="28"/>
          <w:szCs w:val="28"/>
          <w:lang w:val="en-GB"/>
        </w:rPr>
        <w:lastRenderedPageBreak/>
        <w:t>Appendix a) Roles and operational framework</w:t>
      </w:r>
    </w:p>
    <w:p w14:paraId="79EE239A" w14:textId="77777777" w:rsidR="00DE454E" w:rsidRPr="00DE454E" w:rsidRDefault="00DE454E" w:rsidP="00DE454E">
      <w:pPr>
        <w:keepNext/>
        <w:jc w:val="center"/>
        <w:rPr>
          <w:lang w:val="en-GB"/>
        </w:rPr>
      </w:pPr>
      <w:r w:rsidRPr="00DE454E">
        <w:rPr>
          <w:noProof/>
          <w:lang w:val="en-GB"/>
        </w:rPr>
        <w:drawing>
          <wp:inline distT="0" distB="0" distL="0" distR="0" wp14:anchorId="0952E3DD" wp14:editId="0A416AFC">
            <wp:extent cx="5852162" cy="3291840"/>
            <wp:effectExtent l="0" t="0" r="0" b="381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14953" cy="3383410"/>
                    </a:xfrm>
                    <a:prstGeom prst="rect">
                      <a:avLst/>
                    </a:prstGeom>
                  </pic:spPr>
                </pic:pic>
              </a:graphicData>
            </a:graphic>
          </wp:inline>
        </w:drawing>
      </w:r>
    </w:p>
    <w:p w14:paraId="3FD8C501" w14:textId="77777777" w:rsidR="00DE454E" w:rsidRPr="00DE454E" w:rsidRDefault="00DE454E" w:rsidP="00DE454E">
      <w:pPr>
        <w:rPr>
          <w:lang w:val="en-GB"/>
        </w:rPr>
      </w:pPr>
    </w:p>
    <w:p w14:paraId="7A0A8D27" w14:textId="77777777" w:rsidR="00DE454E" w:rsidRPr="00DE454E" w:rsidRDefault="00DE454E" w:rsidP="00DE454E">
      <w:pPr>
        <w:keepNext/>
        <w:jc w:val="center"/>
        <w:rPr>
          <w:lang w:val="en-GB"/>
        </w:rPr>
      </w:pPr>
      <w:r w:rsidRPr="00DE454E">
        <w:rPr>
          <w:noProof/>
          <w:lang w:val="en-GB"/>
        </w:rPr>
        <w:drawing>
          <wp:inline distT="0" distB="0" distL="0" distR="0" wp14:anchorId="271EADEC" wp14:editId="5F03009D">
            <wp:extent cx="5852160" cy="3291840"/>
            <wp:effectExtent l="0" t="0" r="0" b="381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2160" cy="3291840"/>
                    </a:xfrm>
                    <a:prstGeom prst="rect">
                      <a:avLst/>
                    </a:prstGeom>
                  </pic:spPr>
                </pic:pic>
              </a:graphicData>
            </a:graphic>
          </wp:inline>
        </w:drawing>
      </w:r>
    </w:p>
    <w:p w14:paraId="01D6108D" w14:textId="77777777" w:rsidR="00DE454E" w:rsidRDefault="00DE454E">
      <w:pPr>
        <w:rPr>
          <w:rFonts w:asciiTheme="majorHAnsi" w:eastAsiaTheme="majorEastAsia" w:hAnsiTheme="majorHAnsi" w:cstheme="majorBidi"/>
          <w:color w:val="007789" w:themeColor="accent1" w:themeShade="BF"/>
          <w:sz w:val="32"/>
          <w:lang w:val="en-GB"/>
        </w:rPr>
      </w:pPr>
      <w:r>
        <w:rPr>
          <w:lang w:val="en-GB"/>
        </w:rPr>
        <w:br w:type="page"/>
      </w:r>
    </w:p>
    <w:p w14:paraId="0C459C9C" w14:textId="77777777" w:rsidR="00DE454E" w:rsidRPr="00DE454E" w:rsidRDefault="00DE454E" w:rsidP="00DE454E">
      <w:pPr>
        <w:pStyle w:val="Overskrift1"/>
        <w:rPr>
          <w:sz w:val="28"/>
          <w:lang w:val="en-GB"/>
        </w:rPr>
      </w:pPr>
      <w:r w:rsidRPr="00DE454E">
        <w:rPr>
          <w:sz w:val="28"/>
          <w:lang w:val="en-GB"/>
        </w:rPr>
        <w:lastRenderedPageBreak/>
        <w:t>Appendix b) About TheNext and Jan Sirich</w:t>
      </w:r>
    </w:p>
    <w:p w14:paraId="6595C6AB" w14:textId="77777777" w:rsidR="00DE454E" w:rsidRPr="00DE454E" w:rsidRDefault="00DE454E" w:rsidP="00DE454E">
      <w:pPr>
        <w:pStyle w:val="Overskrift2"/>
        <w:rPr>
          <w:lang w:val="en-GB"/>
        </w:rPr>
      </w:pPr>
      <w:r w:rsidRPr="00DE454E">
        <w:rPr>
          <w:lang w:val="en-GB"/>
        </w:rPr>
        <w:t>TheNext mission, Vision and position</w:t>
      </w:r>
    </w:p>
    <w:p w14:paraId="3DF36F38" w14:textId="77777777" w:rsidR="00DE454E" w:rsidRPr="000321EF" w:rsidRDefault="00DE454E" w:rsidP="00DE454E">
      <w:pPr>
        <w:rPr>
          <w:sz w:val="24"/>
          <w:szCs w:val="24"/>
          <w:lang w:val="en-GB"/>
        </w:rPr>
      </w:pPr>
      <w:r w:rsidRPr="000321EF">
        <w:rPr>
          <w:sz w:val="24"/>
          <w:szCs w:val="24"/>
          <w:lang w:val="en-GB"/>
        </w:rPr>
        <w:t>It’s TheNext’s mission to help banks becoming an eco-system orchestrator, so they can keep their position as a value creator towards customers, addressing the risk of becoming a systemic</w:t>
      </w:r>
      <w:r w:rsidRPr="000321EF">
        <w:rPr>
          <w:rStyle w:val="Fodnotehenvisning"/>
          <w:sz w:val="24"/>
          <w:szCs w:val="24"/>
          <w:lang w:val="en-GB"/>
        </w:rPr>
        <w:footnoteReference w:id="1"/>
      </w:r>
      <w:r w:rsidRPr="000321EF">
        <w:rPr>
          <w:sz w:val="24"/>
          <w:szCs w:val="24"/>
          <w:lang w:val="en-GB"/>
        </w:rPr>
        <w:t xml:space="preserve"> important infrastructure provider / product pusher of traditional banking products and services only. Given the technological evolution, political wish for competition in banking, customers’ increased digital savviness and incumbent banks’ lacking abilities to transform to new potential business models (e.g. platform economy and api-fication), there is now a tiny open window gap for new entrants, but soon it may be a huge open door impossible to shut or catch up with for the incumbents who then gradually become disintermediated.</w:t>
      </w:r>
    </w:p>
    <w:p w14:paraId="3EFE917C" w14:textId="77777777" w:rsidR="00DE454E" w:rsidRPr="000321EF" w:rsidRDefault="00DE454E" w:rsidP="00DE454E">
      <w:pPr>
        <w:rPr>
          <w:sz w:val="24"/>
          <w:szCs w:val="24"/>
          <w:lang w:val="en-GB"/>
        </w:rPr>
      </w:pPr>
      <w:r w:rsidRPr="000321EF">
        <w:rPr>
          <w:sz w:val="24"/>
          <w:szCs w:val="24"/>
          <w:lang w:val="en-GB"/>
        </w:rPr>
        <w:t>TheNext’s vision goes beyond “just” the eco-system orchestration, as TheNext also wants to include financial services into the eco-system orchestration leveraging Open Banking (PSD2 etc.) and xTech integration opportunities (payments, cards, financing etc.). TheNext bases all this on a core banking platform thus TheNext ultimately will be able to offer banking services end-to-end from UX/IU all the way through transaction and ledger management to compliance management and reporting, all fully detached from current legacies and designed for new business models.</w:t>
      </w:r>
    </w:p>
    <w:p w14:paraId="4720093B" w14:textId="77777777" w:rsidR="00DE454E" w:rsidRPr="000321EF" w:rsidRDefault="00DE454E" w:rsidP="00DE454E">
      <w:pPr>
        <w:rPr>
          <w:sz w:val="24"/>
          <w:lang w:val="en-GB"/>
        </w:rPr>
      </w:pPr>
      <w:r w:rsidRPr="000321EF">
        <w:rPr>
          <w:sz w:val="24"/>
          <w:lang w:val="en-GB"/>
        </w:rPr>
        <w:t>TheNext’s mission and vision is rooted in the overall ambition of improving customer experiences through value adding innovations leveraging the various “new digital” opportunities and partnering up with 3</w:t>
      </w:r>
      <w:r w:rsidRPr="000321EF">
        <w:rPr>
          <w:sz w:val="24"/>
          <w:vertAlign w:val="superscript"/>
          <w:lang w:val="en-GB"/>
        </w:rPr>
        <w:t>rd</w:t>
      </w:r>
      <w:r w:rsidRPr="000321EF">
        <w:rPr>
          <w:sz w:val="24"/>
          <w:lang w:val="en-GB"/>
        </w:rPr>
        <w:t xml:space="preserve"> parties in general.</w:t>
      </w:r>
    </w:p>
    <w:p w14:paraId="330EE557" w14:textId="77777777" w:rsidR="00DE454E" w:rsidRPr="000321EF" w:rsidRDefault="00DE454E" w:rsidP="00DE454E">
      <w:pPr>
        <w:rPr>
          <w:sz w:val="24"/>
          <w:lang w:val="en-GB"/>
        </w:rPr>
      </w:pPr>
      <w:r w:rsidRPr="000321EF">
        <w:rPr>
          <w:sz w:val="24"/>
          <w:lang w:val="en-GB"/>
        </w:rPr>
        <w:t xml:space="preserve">TheNext’s overarching design and business model principle is </w:t>
      </w:r>
      <w:r w:rsidRPr="000321EF">
        <w:rPr>
          <w:i/>
          <w:sz w:val="24"/>
          <w:lang w:val="en-GB"/>
        </w:rPr>
        <w:t>“€ flows when customer value is created”</w:t>
      </w:r>
      <w:r w:rsidRPr="000321EF">
        <w:rPr>
          <w:sz w:val="24"/>
          <w:lang w:val="en-GB"/>
        </w:rPr>
        <w:t>, which is rooted in the Platform business model and desire for being outside-in customer centric in all design.</w:t>
      </w:r>
    </w:p>
    <w:p w14:paraId="5D810A54" w14:textId="77777777" w:rsidR="00DE454E" w:rsidRPr="000321EF" w:rsidRDefault="00DE454E" w:rsidP="00DE454E">
      <w:pPr>
        <w:rPr>
          <w:sz w:val="24"/>
          <w:lang w:val="en-GB"/>
        </w:rPr>
      </w:pPr>
      <w:r w:rsidRPr="000321EF">
        <w:rPr>
          <w:sz w:val="24"/>
          <w:lang w:val="en-GB"/>
        </w:rPr>
        <w:t>TheNext is a company offering services globally in the financial industry and You can buy services and deliveries through normal consulting agreement (e.g. PoC) or through a Corporate Ventures investment for larger engagement and strategic positioning.</w:t>
      </w:r>
    </w:p>
    <w:p w14:paraId="3A761C8C" w14:textId="77777777" w:rsidR="00DE454E" w:rsidRPr="000321EF" w:rsidRDefault="00DE454E" w:rsidP="00DE454E">
      <w:pPr>
        <w:rPr>
          <w:sz w:val="24"/>
          <w:lang w:val="en-GB"/>
        </w:rPr>
      </w:pPr>
      <w:r w:rsidRPr="000321EF">
        <w:rPr>
          <w:sz w:val="24"/>
          <w:lang w:val="en-GB"/>
        </w:rPr>
        <w:t>TheNext partners with TCS as primary technology provider and has through TCS’ numerous patented and IP-protected solutions and the COIN network access to global competence and connectivity.</w:t>
      </w:r>
    </w:p>
    <w:p w14:paraId="6031ED24" w14:textId="77777777" w:rsidR="00DE454E" w:rsidRPr="000321EF" w:rsidRDefault="00DE454E" w:rsidP="00DE454E">
      <w:pPr>
        <w:rPr>
          <w:sz w:val="24"/>
          <w:szCs w:val="24"/>
          <w:lang w:val="en-GB"/>
        </w:rPr>
      </w:pPr>
      <w:r w:rsidRPr="000321EF">
        <w:rPr>
          <w:sz w:val="24"/>
          <w:szCs w:val="24"/>
          <w:lang w:val="en-GB"/>
        </w:rPr>
        <w:t>TheNext is currently solely funded by Founder and CEO Jan Sirich, but that will change over time through various investment rounds.</w:t>
      </w:r>
    </w:p>
    <w:p w14:paraId="76636673" w14:textId="77777777" w:rsidR="00DE454E" w:rsidRPr="000321EF" w:rsidRDefault="00DE454E" w:rsidP="00DE454E">
      <w:pPr>
        <w:rPr>
          <w:sz w:val="24"/>
          <w:szCs w:val="24"/>
          <w:lang w:val="en-GB"/>
        </w:rPr>
      </w:pPr>
      <w:r w:rsidRPr="000321EF">
        <w:rPr>
          <w:noProof/>
          <w:sz w:val="24"/>
          <w:szCs w:val="24"/>
          <w:lang w:val="en-GB"/>
        </w:rPr>
        <w:lastRenderedPageBreak/>
        <w:drawing>
          <wp:inline distT="0" distB="0" distL="0" distR="0" wp14:anchorId="77C305D7" wp14:editId="0FC405F0">
            <wp:extent cx="5852160" cy="3291840"/>
            <wp:effectExtent l="0" t="0" r="0" b="381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2160" cy="3291840"/>
                    </a:xfrm>
                    <a:prstGeom prst="rect">
                      <a:avLst/>
                    </a:prstGeom>
                  </pic:spPr>
                </pic:pic>
              </a:graphicData>
            </a:graphic>
          </wp:inline>
        </w:drawing>
      </w:r>
    </w:p>
    <w:p w14:paraId="361DA16A" w14:textId="6A5F8B5B" w:rsidR="00DE454E" w:rsidRPr="00DE454E" w:rsidRDefault="00DE454E">
      <w:pPr>
        <w:rPr>
          <w:lang w:val="en-GB"/>
        </w:rPr>
      </w:pPr>
    </w:p>
    <w:sectPr w:rsidR="00DE454E" w:rsidRPr="00DE454E" w:rsidSect="00FC4784">
      <w:footerReference w:type="default" r:id="rId13"/>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1E616" w14:textId="77777777" w:rsidR="0045171F" w:rsidRDefault="0045171F" w:rsidP="00C6554A">
      <w:pPr>
        <w:spacing w:before="0" w:after="0" w:line="240" w:lineRule="auto"/>
      </w:pPr>
      <w:r>
        <w:separator/>
      </w:r>
    </w:p>
  </w:endnote>
  <w:endnote w:type="continuationSeparator" w:id="0">
    <w:p w14:paraId="472C18F2" w14:textId="77777777" w:rsidR="0045171F" w:rsidRDefault="0045171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78B98" w14:textId="77777777" w:rsidR="002163EE" w:rsidRDefault="00ED7C44">
    <w:pPr>
      <w:pStyle w:val="Sidefod"/>
    </w:pPr>
    <w:r>
      <w:rPr>
        <w:lang w:bidi="da-DK"/>
      </w:rPr>
      <w:t xml:space="preserve">Side </w:t>
    </w:r>
    <w:r>
      <w:rPr>
        <w:lang w:bidi="da-DK"/>
      </w:rPr>
      <w:fldChar w:fldCharType="begin"/>
    </w:r>
    <w:r>
      <w:rPr>
        <w:lang w:bidi="da-DK"/>
      </w:rPr>
      <w:instrText xml:space="preserve"> PAGE  \* Arabic  \* MERGEFORMAT </w:instrText>
    </w:r>
    <w:r>
      <w:rPr>
        <w:lang w:bidi="da-DK"/>
      </w:rPr>
      <w:fldChar w:fldCharType="separate"/>
    </w:r>
    <w:r w:rsidR="000B3FA2">
      <w:rPr>
        <w:noProof/>
        <w:lang w:bidi="da-DK"/>
      </w:rPr>
      <w:t>1</w:t>
    </w:r>
    <w:r>
      <w:rPr>
        <w:lang w:bidi="da-D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7D96D" w14:textId="77777777" w:rsidR="0045171F" w:rsidRDefault="0045171F" w:rsidP="00C6554A">
      <w:pPr>
        <w:spacing w:before="0" w:after="0" w:line="240" w:lineRule="auto"/>
      </w:pPr>
      <w:r>
        <w:separator/>
      </w:r>
    </w:p>
  </w:footnote>
  <w:footnote w:type="continuationSeparator" w:id="0">
    <w:p w14:paraId="35529736" w14:textId="77777777" w:rsidR="0045171F" w:rsidRDefault="0045171F" w:rsidP="00C6554A">
      <w:pPr>
        <w:spacing w:before="0" w:after="0" w:line="240" w:lineRule="auto"/>
      </w:pPr>
      <w:r>
        <w:continuationSeparator/>
      </w:r>
    </w:p>
  </w:footnote>
  <w:footnote w:id="1">
    <w:p w14:paraId="26D228BA" w14:textId="77777777" w:rsidR="00DE454E" w:rsidRPr="00DE454E" w:rsidRDefault="00DE454E" w:rsidP="00DE454E">
      <w:pPr>
        <w:pStyle w:val="Fodnotetekst"/>
        <w:rPr>
          <w:lang w:val="en-GB"/>
        </w:rPr>
      </w:pPr>
      <w:r>
        <w:rPr>
          <w:rStyle w:val="Fodnotehenvisning"/>
        </w:rPr>
        <w:footnoteRef/>
      </w:r>
      <w:r w:rsidRPr="00DE454E">
        <w:rPr>
          <w:lang w:val="en-GB"/>
        </w:rPr>
        <w:t xml:space="preserve"> </w:t>
      </w:r>
      <w:r>
        <w:rPr>
          <w:lang w:val="en-US"/>
        </w:rPr>
        <w:t>Societal growth, consumer protection and financial stability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2BA3DF0"/>
    <w:multiLevelType w:val="hybridMultilevel"/>
    <w:tmpl w:val="BD7E313C"/>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E8909E2"/>
    <w:multiLevelType w:val="hybridMultilevel"/>
    <w:tmpl w:val="B67C65E4"/>
    <w:lvl w:ilvl="0" w:tplc="3408A392">
      <w:start w:val="1"/>
      <w:numFmt w:val="bullet"/>
      <w:lvlText w:val="•"/>
      <w:lvlJc w:val="left"/>
      <w:pPr>
        <w:tabs>
          <w:tab w:val="num" w:pos="720"/>
        </w:tabs>
        <w:ind w:left="720" w:hanging="360"/>
      </w:pPr>
      <w:rPr>
        <w:rFonts w:ascii="Arial" w:hAnsi="Arial" w:hint="default"/>
      </w:rPr>
    </w:lvl>
    <w:lvl w:ilvl="1" w:tplc="C6A89426">
      <w:start w:val="142"/>
      <w:numFmt w:val="bullet"/>
      <w:lvlText w:val="•"/>
      <w:lvlJc w:val="left"/>
      <w:pPr>
        <w:tabs>
          <w:tab w:val="num" w:pos="1440"/>
        </w:tabs>
        <w:ind w:left="1440" w:hanging="360"/>
      </w:pPr>
      <w:rPr>
        <w:rFonts w:ascii="Arial" w:hAnsi="Arial" w:hint="default"/>
      </w:rPr>
    </w:lvl>
    <w:lvl w:ilvl="2" w:tplc="2104D756" w:tentative="1">
      <w:start w:val="1"/>
      <w:numFmt w:val="bullet"/>
      <w:lvlText w:val="•"/>
      <w:lvlJc w:val="left"/>
      <w:pPr>
        <w:tabs>
          <w:tab w:val="num" w:pos="2160"/>
        </w:tabs>
        <w:ind w:left="2160" w:hanging="360"/>
      </w:pPr>
      <w:rPr>
        <w:rFonts w:ascii="Arial" w:hAnsi="Arial" w:hint="default"/>
      </w:rPr>
    </w:lvl>
    <w:lvl w:ilvl="3" w:tplc="86D8ACB2" w:tentative="1">
      <w:start w:val="1"/>
      <w:numFmt w:val="bullet"/>
      <w:lvlText w:val="•"/>
      <w:lvlJc w:val="left"/>
      <w:pPr>
        <w:tabs>
          <w:tab w:val="num" w:pos="2880"/>
        </w:tabs>
        <w:ind w:left="2880" w:hanging="360"/>
      </w:pPr>
      <w:rPr>
        <w:rFonts w:ascii="Arial" w:hAnsi="Arial" w:hint="default"/>
      </w:rPr>
    </w:lvl>
    <w:lvl w:ilvl="4" w:tplc="9F3EA2E6" w:tentative="1">
      <w:start w:val="1"/>
      <w:numFmt w:val="bullet"/>
      <w:lvlText w:val="•"/>
      <w:lvlJc w:val="left"/>
      <w:pPr>
        <w:tabs>
          <w:tab w:val="num" w:pos="3600"/>
        </w:tabs>
        <w:ind w:left="3600" w:hanging="360"/>
      </w:pPr>
      <w:rPr>
        <w:rFonts w:ascii="Arial" w:hAnsi="Arial" w:hint="default"/>
      </w:rPr>
    </w:lvl>
    <w:lvl w:ilvl="5" w:tplc="F74A6EAE" w:tentative="1">
      <w:start w:val="1"/>
      <w:numFmt w:val="bullet"/>
      <w:lvlText w:val="•"/>
      <w:lvlJc w:val="left"/>
      <w:pPr>
        <w:tabs>
          <w:tab w:val="num" w:pos="4320"/>
        </w:tabs>
        <w:ind w:left="4320" w:hanging="360"/>
      </w:pPr>
      <w:rPr>
        <w:rFonts w:ascii="Arial" w:hAnsi="Arial" w:hint="default"/>
      </w:rPr>
    </w:lvl>
    <w:lvl w:ilvl="6" w:tplc="86B2F466" w:tentative="1">
      <w:start w:val="1"/>
      <w:numFmt w:val="bullet"/>
      <w:lvlText w:val="•"/>
      <w:lvlJc w:val="left"/>
      <w:pPr>
        <w:tabs>
          <w:tab w:val="num" w:pos="5040"/>
        </w:tabs>
        <w:ind w:left="5040" w:hanging="360"/>
      </w:pPr>
      <w:rPr>
        <w:rFonts w:ascii="Arial" w:hAnsi="Arial" w:hint="default"/>
      </w:rPr>
    </w:lvl>
    <w:lvl w:ilvl="7" w:tplc="B8ECCBC4" w:tentative="1">
      <w:start w:val="1"/>
      <w:numFmt w:val="bullet"/>
      <w:lvlText w:val="•"/>
      <w:lvlJc w:val="left"/>
      <w:pPr>
        <w:tabs>
          <w:tab w:val="num" w:pos="5760"/>
        </w:tabs>
        <w:ind w:left="5760" w:hanging="360"/>
      </w:pPr>
      <w:rPr>
        <w:rFonts w:ascii="Arial" w:hAnsi="Arial" w:hint="default"/>
      </w:rPr>
    </w:lvl>
    <w:lvl w:ilvl="8" w:tplc="976C820A"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54E"/>
    <w:rsid w:val="00022D39"/>
    <w:rsid w:val="000321EF"/>
    <w:rsid w:val="0007417C"/>
    <w:rsid w:val="000B3FA2"/>
    <w:rsid w:val="0011404D"/>
    <w:rsid w:val="002142E4"/>
    <w:rsid w:val="002554CD"/>
    <w:rsid w:val="00293B83"/>
    <w:rsid w:val="002B4294"/>
    <w:rsid w:val="002C4FFD"/>
    <w:rsid w:val="00333D0D"/>
    <w:rsid w:val="00386A43"/>
    <w:rsid w:val="0045171F"/>
    <w:rsid w:val="00474FB7"/>
    <w:rsid w:val="004C049F"/>
    <w:rsid w:val="004D5EDA"/>
    <w:rsid w:val="005000E2"/>
    <w:rsid w:val="005D1889"/>
    <w:rsid w:val="00660CF9"/>
    <w:rsid w:val="006A3CE7"/>
    <w:rsid w:val="0074446D"/>
    <w:rsid w:val="00883694"/>
    <w:rsid w:val="008864A9"/>
    <w:rsid w:val="0093364E"/>
    <w:rsid w:val="00A069DD"/>
    <w:rsid w:val="00A71EAF"/>
    <w:rsid w:val="00B055F6"/>
    <w:rsid w:val="00BE1D83"/>
    <w:rsid w:val="00C46A43"/>
    <w:rsid w:val="00C6554A"/>
    <w:rsid w:val="00CC0AC2"/>
    <w:rsid w:val="00D81C50"/>
    <w:rsid w:val="00DE454E"/>
    <w:rsid w:val="00E60A6F"/>
    <w:rsid w:val="00E64FC4"/>
    <w:rsid w:val="00ED7C44"/>
    <w:rsid w:val="00F571F4"/>
    <w:rsid w:val="00FC4784"/>
    <w:rsid w:val="00FE0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0C255"/>
  <w15:chartTrackingRefBased/>
  <w15:docId w15:val="{6A3D1AE5-D168-4A32-89D0-ED14782DB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da-DK"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Overskrift1">
    <w:name w:val="heading 1"/>
    <w:basedOn w:val="Normal"/>
    <w:next w:val="Normal"/>
    <w:link w:val="Overskrift1Tegn"/>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Overskrift2">
    <w:name w:val="heading 2"/>
    <w:basedOn w:val="Normal"/>
    <w:next w:val="Normal"/>
    <w:link w:val="Overskrift2Tegn"/>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Overskrift3">
    <w:name w:val="heading 3"/>
    <w:basedOn w:val="Normal"/>
    <w:next w:val="Normal"/>
    <w:link w:val="Overskrift3Tegn"/>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Overskrift6">
    <w:name w:val="heading 6"/>
    <w:basedOn w:val="Normal"/>
    <w:next w:val="Normal"/>
    <w:link w:val="Overskrift6Tegn"/>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Overskrift7">
    <w:name w:val="heading 7"/>
    <w:basedOn w:val="Normal"/>
    <w:next w:val="Normal"/>
    <w:link w:val="Overskrift7Tegn"/>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Overskrift8">
    <w:name w:val="heading 8"/>
    <w:basedOn w:val="Normal"/>
    <w:next w:val="Normal"/>
    <w:link w:val="Overskrift8Tegn"/>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33D0D"/>
    <w:rPr>
      <w:rFonts w:asciiTheme="majorHAnsi" w:eastAsiaTheme="majorEastAsia" w:hAnsiTheme="majorHAnsi" w:cstheme="majorBidi"/>
      <w:color w:val="007789" w:themeColor="accent1" w:themeShade="BF"/>
      <w:sz w:val="32"/>
    </w:rPr>
  </w:style>
  <w:style w:type="character" w:customStyle="1" w:styleId="Overskrift2Tegn">
    <w:name w:val="Overskrift 2 Tegn"/>
    <w:basedOn w:val="Standardskrifttypeiafsnit"/>
    <w:link w:val="Overskrift2"/>
    <w:uiPriority w:val="9"/>
    <w:rsid w:val="00333D0D"/>
    <w:rPr>
      <w:rFonts w:asciiTheme="majorHAnsi" w:eastAsiaTheme="majorEastAsia" w:hAnsiTheme="majorHAnsi" w:cstheme="majorBidi"/>
      <w:caps/>
      <w:color w:val="007789" w:themeColor="accent1" w:themeShade="BF"/>
      <w:sz w:val="24"/>
    </w:rPr>
  </w:style>
  <w:style w:type="paragraph" w:customStyle="1" w:styleId="Kontaktoplysninger">
    <w:name w:val="Kontaktoplysninger"/>
    <w:basedOn w:val="Normal"/>
    <w:uiPriority w:val="4"/>
    <w:qFormat/>
    <w:rsid w:val="00C6554A"/>
    <w:pPr>
      <w:spacing w:before="0" w:after="0"/>
      <w:jc w:val="center"/>
    </w:pPr>
  </w:style>
  <w:style w:type="paragraph" w:styleId="Opstilling-punkttegn">
    <w:name w:val="List Bullet"/>
    <w:basedOn w:val="Normal"/>
    <w:uiPriority w:val="10"/>
    <w:unhideWhenUsed/>
    <w:qFormat/>
    <w:rsid w:val="00C6554A"/>
    <w:pPr>
      <w:numPr>
        <w:numId w:val="4"/>
      </w:numPr>
    </w:pPr>
  </w:style>
  <w:style w:type="paragraph" w:styleId="Titel">
    <w:name w:val="Title"/>
    <w:basedOn w:val="Normal"/>
    <w:link w:val="TitelTegn"/>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Tegn">
    <w:name w:val="Titel Tegn"/>
    <w:basedOn w:val="Standardskrifttypeiafsnit"/>
    <w:link w:val="Titel"/>
    <w:uiPriority w:val="2"/>
    <w:rsid w:val="00333D0D"/>
    <w:rPr>
      <w:rFonts w:asciiTheme="majorHAnsi" w:eastAsiaTheme="majorEastAsia" w:hAnsiTheme="majorHAnsi" w:cstheme="majorBidi"/>
      <w:color w:val="007789" w:themeColor="accent1" w:themeShade="BF"/>
      <w:kern w:val="28"/>
      <w:sz w:val="60"/>
    </w:rPr>
  </w:style>
  <w:style w:type="paragraph" w:styleId="Undertitel">
    <w:name w:val="Subtitle"/>
    <w:basedOn w:val="Normal"/>
    <w:link w:val="UndertitelTegn"/>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dertitelTegn">
    <w:name w:val="Undertitel Tegn"/>
    <w:basedOn w:val="Standardskrifttypeiafsnit"/>
    <w:link w:val="Undertitel"/>
    <w:uiPriority w:val="3"/>
    <w:rsid w:val="00333D0D"/>
    <w:rPr>
      <w:rFonts w:asciiTheme="majorHAnsi" w:eastAsiaTheme="majorEastAsia" w:hAnsiTheme="majorHAnsi" w:cstheme="majorBidi"/>
      <w:caps/>
      <w:sz w:val="26"/>
    </w:rPr>
  </w:style>
  <w:style w:type="paragraph" w:styleId="Sidefod">
    <w:name w:val="footer"/>
    <w:basedOn w:val="Normal"/>
    <w:link w:val="SidefodTegn"/>
    <w:uiPriority w:val="99"/>
    <w:unhideWhenUsed/>
    <w:rsid w:val="00C6554A"/>
    <w:pPr>
      <w:spacing w:before="0" w:after="0" w:line="240" w:lineRule="auto"/>
      <w:jc w:val="right"/>
    </w:pPr>
    <w:rPr>
      <w:caps/>
    </w:rPr>
  </w:style>
  <w:style w:type="character" w:customStyle="1" w:styleId="SidefodTegn">
    <w:name w:val="Sidefod Tegn"/>
    <w:basedOn w:val="Standardskrifttypeiafsnit"/>
    <w:link w:val="Sidefod"/>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Sidehoved">
    <w:name w:val="header"/>
    <w:basedOn w:val="Normal"/>
    <w:link w:val="SidehovedTegn"/>
    <w:uiPriority w:val="99"/>
    <w:unhideWhenUsed/>
    <w:rsid w:val="00C6554A"/>
    <w:pPr>
      <w:spacing w:before="0" w:after="0" w:line="240" w:lineRule="auto"/>
    </w:pPr>
  </w:style>
  <w:style w:type="character" w:customStyle="1" w:styleId="SidehovedTegn">
    <w:name w:val="Sidehoved Tegn"/>
    <w:basedOn w:val="Standardskrifttypeiafsnit"/>
    <w:link w:val="Sidehoved"/>
    <w:uiPriority w:val="99"/>
    <w:rsid w:val="00C6554A"/>
    <w:rPr>
      <w:color w:val="595959" w:themeColor="text1" w:themeTint="A6"/>
      <w:sz w:val="20"/>
      <w:szCs w:val="20"/>
      <w:lang w:eastAsia="ja-JP"/>
    </w:rPr>
  </w:style>
  <w:style w:type="paragraph" w:styleId="Opstilling-talellerbogst">
    <w:name w:val="List Number"/>
    <w:basedOn w:val="Normal"/>
    <w:uiPriority w:val="11"/>
    <w:unhideWhenUsed/>
    <w:qFormat/>
    <w:rsid w:val="00C6554A"/>
    <w:pPr>
      <w:numPr>
        <w:numId w:val="3"/>
      </w:numPr>
      <w:contextualSpacing/>
    </w:pPr>
  </w:style>
  <w:style w:type="character" w:customStyle="1" w:styleId="Overskrift3Tegn">
    <w:name w:val="Overskrift 3 Tegn"/>
    <w:basedOn w:val="Standardskrifttypeiafsnit"/>
    <w:link w:val="Overskrift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Overskrift8Tegn">
    <w:name w:val="Overskrift 8 Tegn"/>
    <w:basedOn w:val="Standardskrifttypeiafsnit"/>
    <w:link w:val="Overskrift8"/>
    <w:uiPriority w:val="9"/>
    <w:semiHidden/>
    <w:rsid w:val="00C6554A"/>
    <w:rPr>
      <w:rFonts w:asciiTheme="majorHAnsi" w:eastAsiaTheme="majorEastAsia" w:hAnsiTheme="majorHAnsi" w:cstheme="majorBidi"/>
      <w:color w:val="272727" w:themeColor="text1" w:themeTint="D8"/>
      <w:szCs w:val="21"/>
    </w:rPr>
  </w:style>
  <w:style w:type="character" w:customStyle="1" w:styleId="Overskrift9Tegn">
    <w:name w:val="Overskrift 9 Tegn"/>
    <w:basedOn w:val="Standardskrifttypeiafsnit"/>
    <w:link w:val="Overskrift9"/>
    <w:uiPriority w:val="9"/>
    <w:semiHidden/>
    <w:rsid w:val="00C6554A"/>
    <w:rPr>
      <w:rFonts w:asciiTheme="majorHAnsi" w:eastAsiaTheme="majorEastAsia" w:hAnsiTheme="majorHAnsi" w:cstheme="majorBidi"/>
      <w:i/>
      <w:iCs/>
      <w:color w:val="272727" w:themeColor="text1" w:themeTint="D8"/>
      <w:szCs w:val="21"/>
    </w:rPr>
  </w:style>
  <w:style w:type="character" w:styleId="Kraftigfremhvning">
    <w:name w:val="Intense Emphasis"/>
    <w:basedOn w:val="Standardskrifttypeiafsnit"/>
    <w:uiPriority w:val="21"/>
    <w:semiHidden/>
    <w:unhideWhenUsed/>
    <w:qFormat/>
    <w:rsid w:val="00C6554A"/>
    <w:rPr>
      <w:i/>
      <w:iCs/>
      <w:color w:val="007789" w:themeColor="accent1" w:themeShade="BF"/>
    </w:rPr>
  </w:style>
  <w:style w:type="paragraph" w:styleId="Strktcitat">
    <w:name w:val="Intense Quote"/>
    <w:basedOn w:val="Normal"/>
    <w:next w:val="Normal"/>
    <w:link w:val="StrktcitatTegn"/>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StrktcitatTegn">
    <w:name w:val="Stærkt citat Tegn"/>
    <w:basedOn w:val="Standardskrifttypeiafsnit"/>
    <w:link w:val="Strktcitat"/>
    <w:uiPriority w:val="30"/>
    <w:semiHidden/>
    <w:rsid w:val="00C6554A"/>
    <w:rPr>
      <w:i/>
      <w:iCs/>
      <w:color w:val="007789" w:themeColor="accent1" w:themeShade="BF"/>
    </w:rPr>
  </w:style>
  <w:style w:type="character" w:styleId="Kraftighenvisning">
    <w:name w:val="Intense Reference"/>
    <w:basedOn w:val="Standardskrifttypeiafsnit"/>
    <w:uiPriority w:val="32"/>
    <w:semiHidden/>
    <w:unhideWhenUsed/>
    <w:qFormat/>
    <w:rsid w:val="00C6554A"/>
    <w:rPr>
      <w:b/>
      <w:bCs/>
      <w:caps w:val="0"/>
      <w:smallCaps/>
      <w:color w:val="007789" w:themeColor="accent1" w:themeShade="BF"/>
      <w:spacing w:val="5"/>
    </w:rPr>
  </w:style>
  <w:style w:type="paragraph" w:styleId="Billedtekst">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Markeringsbobletekst">
    <w:name w:val="Balloon Text"/>
    <w:basedOn w:val="Normal"/>
    <w:link w:val="MarkeringsbobletekstTegn"/>
    <w:uiPriority w:val="99"/>
    <w:semiHidden/>
    <w:unhideWhenUsed/>
    <w:rsid w:val="00C6554A"/>
    <w:pPr>
      <w:spacing w:before="0" w:after="0" w:line="240" w:lineRule="auto"/>
    </w:pPr>
    <w:rPr>
      <w:rFonts w:ascii="Segoe UI" w:hAnsi="Segoe UI" w:cs="Segoe UI"/>
      <w:szCs w:val="18"/>
    </w:rPr>
  </w:style>
  <w:style w:type="character" w:customStyle="1" w:styleId="MarkeringsbobletekstTegn">
    <w:name w:val="Markeringsbobletekst Tegn"/>
    <w:basedOn w:val="Standardskrifttypeiafsnit"/>
    <w:link w:val="Markeringsbobletekst"/>
    <w:uiPriority w:val="99"/>
    <w:semiHidden/>
    <w:rsid w:val="00C6554A"/>
    <w:rPr>
      <w:rFonts w:ascii="Segoe UI" w:hAnsi="Segoe UI" w:cs="Segoe UI"/>
      <w:szCs w:val="18"/>
    </w:rPr>
  </w:style>
  <w:style w:type="paragraph" w:styleId="Blokteks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rdtekst3">
    <w:name w:val="Body Text 3"/>
    <w:basedOn w:val="Normal"/>
    <w:link w:val="Brdtekst3Tegn"/>
    <w:uiPriority w:val="99"/>
    <w:semiHidden/>
    <w:unhideWhenUsed/>
    <w:rsid w:val="00C6554A"/>
    <w:pPr>
      <w:spacing w:after="120"/>
    </w:pPr>
    <w:rPr>
      <w:szCs w:val="16"/>
    </w:rPr>
  </w:style>
  <w:style w:type="character" w:customStyle="1" w:styleId="Brdtekst3Tegn">
    <w:name w:val="Brødtekst 3 Tegn"/>
    <w:basedOn w:val="Standardskrifttypeiafsnit"/>
    <w:link w:val="Brdtekst3"/>
    <w:uiPriority w:val="99"/>
    <w:semiHidden/>
    <w:rsid w:val="00C6554A"/>
    <w:rPr>
      <w:szCs w:val="16"/>
    </w:rPr>
  </w:style>
  <w:style w:type="paragraph" w:styleId="Brdtekstindrykning3">
    <w:name w:val="Body Text Indent 3"/>
    <w:basedOn w:val="Normal"/>
    <w:link w:val="Brdtekstindrykning3Tegn"/>
    <w:uiPriority w:val="99"/>
    <w:semiHidden/>
    <w:unhideWhenUsed/>
    <w:rsid w:val="00C6554A"/>
    <w:pPr>
      <w:spacing w:after="120"/>
      <w:ind w:left="360"/>
    </w:pPr>
    <w:rPr>
      <w:szCs w:val="16"/>
    </w:rPr>
  </w:style>
  <w:style w:type="character" w:customStyle="1" w:styleId="Brdtekstindrykning3Tegn">
    <w:name w:val="Brødtekstindrykning 3 Tegn"/>
    <w:basedOn w:val="Standardskrifttypeiafsnit"/>
    <w:link w:val="Brdtekstindrykning3"/>
    <w:uiPriority w:val="99"/>
    <w:semiHidden/>
    <w:rsid w:val="00C6554A"/>
    <w:rPr>
      <w:szCs w:val="16"/>
    </w:rPr>
  </w:style>
  <w:style w:type="character" w:styleId="Kommentarhenvisning">
    <w:name w:val="annotation reference"/>
    <w:basedOn w:val="Standardskrifttypeiafsnit"/>
    <w:uiPriority w:val="99"/>
    <w:semiHidden/>
    <w:unhideWhenUsed/>
    <w:rsid w:val="00C6554A"/>
    <w:rPr>
      <w:sz w:val="22"/>
      <w:szCs w:val="16"/>
    </w:rPr>
  </w:style>
  <w:style w:type="paragraph" w:styleId="Kommentartekst">
    <w:name w:val="annotation text"/>
    <w:basedOn w:val="Normal"/>
    <w:link w:val="KommentartekstTegn"/>
    <w:uiPriority w:val="99"/>
    <w:semiHidden/>
    <w:unhideWhenUsed/>
    <w:rsid w:val="00C6554A"/>
    <w:pPr>
      <w:spacing w:line="240" w:lineRule="auto"/>
    </w:pPr>
    <w:rPr>
      <w:szCs w:val="20"/>
    </w:rPr>
  </w:style>
  <w:style w:type="character" w:customStyle="1" w:styleId="KommentartekstTegn">
    <w:name w:val="Kommentartekst Tegn"/>
    <w:basedOn w:val="Standardskrifttypeiafsnit"/>
    <w:link w:val="Kommentartekst"/>
    <w:uiPriority w:val="99"/>
    <w:semiHidden/>
    <w:rsid w:val="00C6554A"/>
    <w:rPr>
      <w:szCs w:val="20"/>
    </w:rPr>
  </w:style>
  <w:style w:type="paragraph" w:styleId="Kommentaremne">
    <w:name w:val="annotation subject"/>
    <w:basedOn w:val="Kommentartekst"/>
    <w:next w:val="Kommentartekst"/>
    <w:link w:val="KommentaremneTegn"/>
    <w:uiPriority w:val="99"/>
    <w:semiHidden/>
    <w:unhideWhenUsed/>
    <w:rsid w:val="00C6554A"/>
    <w:rPr>
      <w:b/>
      <w:bCs/>
    </w:rPr>
  </w:style>
  <w:style w:type="character" w:customStyle="1" w:styleId="KommentaremneTegn">
    <w:name w:val="Kommentaremne Tegn"/>
    <w:basedOn w:val="KommentartekstTegn"/>
    <w:link w:val="Kommentaremne"/>
    <w:uiPriority w:val="99"/>
    <w:semiHidden/>
    <w:rsid w:val="00C6554A"/>
    <w:rPr>
      <w:b/>
      <w:bCs/>
      <w:szCs w:val="20"/>
    </w:rPr>
  </w:style>
  <w:style w:type="paragraph" w:styleId="Dokumentoversigt">
    <w:name w:val="Document Map"/>
    <w:basedOn w:val="Normal"/>
    <w:link w:val="DokumentoversigtTegn"/>
    <w:uiPriority w:val="99"/>
    <w:semiHidden/>
    <w:unhideWhenUsed/>
    <w:rsid w:val="00C6554A"/>
    <w:pPr>
      <w:spacing w:before="0" w:after="0" w:line="240" w:lineRule="auto"/>
    </w:pPr>
    <w:rPr>
      <w:rFonts w:ascii="Segoe UI" w:hAnsi="Segoe UI" w:cs="Segoe UI"/>
      <w:szCs w:val="16"/>
    </w:rPr>
  </w:style>
  <w:style w:type="character" w:customStyle="1" w:styleId="DokumentoversigtTegn">
    <w:name w:val="Dokumentoversigt Tegn"/>
    <w:basedOn w:val="Standardskrifttypeiafsnit"/>
    <w:link w:val="Dokumentoversigt"/>
    <w:uiPriority w:val="99"/>
    <w:semiHidden/>
    <w:rsid w:val="00C6554A"/>
    <w:rPr>
      <w:rFonts w:ascii="Segoe UI" w:hAnsi="Segoe UI" w:cs="Segoe UI"/>
      <w:szCs w:val="16"/>
    </w:rPr>
  </w:style>
  <w:style w:type="paragraph" w:styleId="Slutnotetekst">
    <w:name w:val="endnote text"/>
    <w:basedOn w:val="Normal"/>
    <w:link w:val="SlutnotetekstTegn"/>
    <w:uiPriority w:val="99"/>
    <w:semiHidden/>
    <w:unhideWhenUsed/>
    <w:rsid w:val="00C6554A"/>
    <w:pPr>
      <w:spacing w:before="0" w:after="0" w:line="240" w:lineRule="auto"/>
    </w:pPr>
    <w:rPr>
      <w:szCs w:val="20"/>
    </w:rPr>
  </w:style>
  <w:style w:type="character" w:customStyle="1" w:styleId="SlutnotetekstTegn">
    <w:name w:val="Slutnotetekst Tegn"/>
    <w:basedOn w:val="Standardskrifttypeiafsnit"/>
    <w:link w:val="Slutnotetekst"/>
    <w:uiPriority w:val="99"/>
    <w:semiHidden/>
    <w:rsid w:val="00C6554A"/>
    <w:rPr>
      <w:szCs w:val="20"/>
    </w:rPr>
  </w:style>
  <w:style w:type="paragraph" w:styleId="Afsenderadress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BesgtLink">
    <w:name w:val="FollowedHyperlink"/>
    <w:basedOn w:val="Standardskrifttypeiafsnit"/>
    <w:uiPriority w:val="99"/>
    <w:semiHidden/>
    <w:unhideWhenUsed/>
    <w:rsid w:val="00C6554A"/>
    <w:rPr>
      <w:color w:val="007789" w:themeColor="accent1" w:themeShade="BF"/>
      <w:u w:val="single"/>
    </w:rPr>
  </w:style>
  <w:style w:type="paragraph" w:styleId="Fodnotetekst">
    <w:name w:val="footnote text"/>
    <w:basedOn w:val="Normal"/>
    <w:link w:val="FodnotetekstTegn"/>
    <w:uiPriority w:val="99"/>
    <w:semiHidden/>
    <w:unhideWhenUsed/>
    <w:rsid w:val="00C6554A"/>
    <w:pPr>
      <w:spacing w:before="0" w:after="0" w:line="240" w:lineRule="auto"/>
    </w:pPr>
    <w:rPr>
      <w:szCs w:val="20"/>
    </w:rPr>
  </w:style>
  <w:style w:type="character" w:customStyle="1" w:styleId="FodnotetekstTegn">
    <w:name w:val="Fodnotetekst Tegn"/>
    <w:basedOn w:val="Standardskrifttypeiafsnit"/>
    <w:link w:val="Fodnotetekst"/>
    <w:uiPriority w:val="99"/>
    <w:semiHidden/>
    <w:rsid w:val="00C6554A"/>
    <w:rPr>
      <w:szCs w:val="20"/>
    </w:rPr>
  </w:style>
  <w:style w:type="character" w:styleId="HTML-kode">
    <w:name w:val="HTML Code"/>
    <w:basedOn w:val="Standardskrifttypeiafsnit"/>
    <w:uiPriority w:val="99"/>
    <w:semiHidden/>
    <w:unhideWhenUsed/>
    <w:rsid w:val="00C6554A"/>
    <w:rPr>
      <w:rFonts w:ascii="Consolas" w:hAnsi="Consolas"/>
      <w:sz w:val="22"/>
      <w:szCs w:val="20"/>
    </w:rPr>
  </w:style>
  <w:style w:type="character" w:styleId="HTML-tastatur">
    <w:name w:val="HTML Keyboard"/>
    <w:basedOn w:val="Standardskrifttypeiafsnit"/>
    <w:uiPriority w:val="99"/>
    <w:semiHidden/>
    <w:unhideWhenUsed/>
    <w:rsid w:val="00C6554A"/>
    <w:rPr>
      <w:rFonts w:ascii="Consolas" w:hAnsi="Consolas"/>
      <w:sz w:val="22"/>
      <w:szCs w:val="20"/>
    </w:rPr>
  </w:style>
  <w:style w:type="paragraph" w:styleId="FormateretHTML">
    <w:name w:val="HTML Preformatted"/>
    <w:basedOn w:val="Normal"/>
    <w:link w:val="FormateretHTMLTegn"/>
    <w:uiPriority w:val="99"/>
    <w:semiHidden/>
    <w:unhideWhenUsed/>
    <w:rsid w:val="00C6554A"/>
    <w:pPr>
      <w:spacing w:before="0" w:after="0" w:line="240" w:lineRule="auto"/>
    </w:pPr>
    <w:rPr>
      <w:rFonts w:ascii="Consolas" w:hAnsi="Consolas"/>
      <w:szCs w:val="20"/>
    </w:rPr>
  </w:style>
  <w:style w:type="character" w:customStyle="1" w:styleId="FormateretHTMLTegn">
    <w:name w:val="Formateret HTML Tegn"/>
    <w:basedOn w:val="Standardskrifttypeiafsnit"/>
    <w:link w:val="FormateretHTML"/>
    <w:uiPriority w:val="99"/>
    <w:semiHidden/>
    <w:rsid w:val="00C6554A"/>
    <w:rPr>
      <w:rFonts w:ascii="Consolas" w:hAnsi="Consolas"/>
      <w:szCs w:val="20"/>
    </w:rPr>
  </w:style>
  <w:style w:type="character" w:styleId="HTML-skrivemaskine">
    <w:name w:val="HTML Typewriter"/>
    <w:basedOn w:val="Standardskrifttypeiafsnit"/>
    <w:uiPriority w:val="99"/>
    <w:semiHidden/>
    <w:unhideWhenUsed/>
    <w:rsid w:val="00C6554A"/>
    <w:rPr>
      <w:rFonts w:ascii="Consolas" w:hAnsi="Consolas"/>
      <w:sz w:val="22"/>
      <w:szCs w:val="20"/>
    </w:rPr>
  </w:style>
  <w:style w:type="character" w:styleId="Hyperlink">
    <w:name w:val="Hyperlink"/>
    <w:basedOn w:val="Standardskrifttypeiafsnit"/>
    <w:uiPriority w:val="99"/>
    <w:unhideWhenUsed/>
    <w:rsid w:val="00C6554A"/>
    <w:rPr>
      <w:color w:val="835D00" w:themeColor="accent3" w:themeShade="80"/>
      <w:u w:val="single"/>
    </w:rPr>
  </w:style>
  <w:style w:type="paragraph" w:styleId="Makrotekst">
    <w:name w:val="macro"/>
    <w:link w:val="MakrotekstTegn"/>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Tegn">
    <w:name w:val="Makrotekst Tegn"/>
    <w:basedOn w:val="Standardskrifttypeiafsnit"/>
    <w:link w:val="Makrotekst"/>
    <w:uiPriority w:val="99"/>
    <w:semiHidden/>
    <w:rsid w:val="00C6554A"/>
    <w:rPr>
      <w:rFonts w:ascii="Consolas" w:hAnsi="Consolas"/>
      <w:szCs w:val="20"/>
    </w:rPr>
  </w:style>
  <w:style w:type="character" w:styleId="Pladsholdertekst">
    <w:name w:val="Placeholder Text"/>
    <w:basedOn w:val="Standardskrifttypeiafsnit"/>
    <w:uiPriority w:val="99"/>
    <w:semiHidden/>
    <w:rsid w:val="00C6554A"/>
    <w:rPr>
      <w:color w:val="595959" w:themeColor="text1" w:themeTint="A6"/>
    </w:rPr>
  </w:style>
  <w:style w:type="paragraph" w:styleId="Almindeligtekst">
    <w:name w:val="Plain Text"/>
    <w:basedOn w:val="Normal"/>
    <w:link w:val="AlmindeligtekstTegn"/>
    <w:uiPriority w:val="99"/>
    <w:semiHidden/>
    <w:unhideWhenUsed/>
    <w:rsid w:val="00C6554A"/>
    <w:pPr>
      <w:spacing w:before="0" w:after="0" w:line="240" w:lineRule="auto"/>
    </w:pPr>
    <w:rPr>
      <w:rFonts w:ascii="Consolas" w:hAnsi="Consolas"/>
      <w:szCs w:val="21"/>
    </w:rPr>
  </w:style>
  <w:style w:type="character" w:customStyle="1" w:styleId="AlmindeligtekstTegn">
    <w:name w:val="Almindelig tekst Tegn"/>
    <w:basedOn w:val="Standardskrifttypeiafsnit"/>
    <w:link w:val="Almindeligtekst"/>
    <w:uiPriority w:val="99"/>
    <w:semiHidden/>
    <w:rsid w:val="00C6554A"/>
    <w:rPr>
      <w:rFonts w:ascii="Consolas" w:hAnsi="Consolas"/>
      <w:szCs w:val="21"/>
    </w:rPr>
  </w:style>
  <w:style w:type="character" w:customStyle="1" w:styleId="Overskrift7Tegn">
    <w:name w:val="Overskrift 7 Tegn"/>
    <w:basedOn w:val="Standardskrifttypeiafsnit"/>
    <w:link w:val="Overskrift7"/>
    <w:uiPriority w:val="9"/>
    <w:semiHidden/>
    <w:rsid w:val="002554CD"/>
    <w:rPr>
      <w:rFonts w:asciiTheme="majorHAnsi" w:eastAsiaTheme="majorEastAsia" w:hAnsiTheme="majorHAnsi" w:cstheme="majorBidi"/>
      <w:i/>
      <w:iCs/>
      <w:color w:val="004F5B" w:themeColor="accent1" w:themeShade="7F"/>
    </w:rPr>
  </w:style>
  <w:style w:type="character" w:customStyle="1" w:styleId="Overskrift6Tegn">
    <w:name w:val="Overskrift 6 Tegn"/>
    <w:basedOn w:val="Standardskrifttypeiafsnit"/>
    <w:link w:val="Overskrift6"/>
    <w:uiPriority w:val="9"/>
    <w:semiHidden/>
    <w:rsid w:val="002554CD"/>
    <w:rPr>
      <w:rFonts w:asciiTheme="majorHAnsi" w:eastAsiaTheme="majorEastAsia" w:hAnsiTheme="majorHAnsi" w:cstheme="majorBidi"/>
      <w:color w:val="004F5B" w:themeColor="accent1" w:themeShade="7F"/>
    </w:rPr>
  </w:style>
  <w:style w:type="paragraph" w:customStyle="1" w:styleId="Resum">
    <w:name w:val="Resumé"/>
    <w:basedOn w:val="Normal"/>
    <w:uiPriority w:val="20"/>
    <w:qFormat/>
    <w:rsid w:val="00DE454E"/>
    <w:pPr>
      <w:spacing w:before="360" w:after="0" w:line="240" w:lineRule="auto"/>
      <w:ind w:left="432" w:right="1080"/>
    </w:pPr>
    <w:rPr>
      <w:i/>
      <w:iCs/>
      <w:color w:val="7F7F7F" w:themeColor="text1" w:themeTint="80"/>
      <w:kern w:val="20"/>
      <w:sz w:val="28"/>
      <w:szCs w:val="20"/>
      <w:lang w:val="en-GB" w:eastAsia="ja-JP"/>
    </w:rPr>
  </w:style>
  <w:style w:type="paragraph" w:styleId="Ingenafstand">
    <w:name w:val="No Spacing"/>
    <w:link w:val="IngenafstandTegn"/>
    <w:uiPriority w:val="1"/>
    <w:qFormat/>
    <w:rsid w:val="00DE454E"/>
    <w:pPr>
      <w:spacing w:before="40" w:after="0" w:line="240" w:lineRule="auto"/>
    </w:pPr>
    <w:rPr>
      <w:sz w:val="20"/>
      <w:szCs w:val="20"/>
      <w:lang w:val="en-US" w:eastAsia="ja-JP"/>
    </w:rPr>
  </w:style>
  <w:style w:type="character" w:styleId="Fodnotehenvisning">
    <w:name w:val="footnote reference"/>
    <w:basedOn w:val="Standardskrifttypeiafsnit"/>
    <w:uiPriority w:val="99"/>
    <w:semiHidden/>
    <w:unhideWhenUsed/>
    <w:rsid w:val="00DE454E"/>
    <w:rPr>
      <w:vertAlign w:val="superscript"/>
    </w:rPr>
  </w:style>
  <w:style w:type="paragraph" w:styleId="Listeafsnit">
    <w:name w:val="List Paragraph"/>
    <w:basedOn w:val="Normal"/>
    <w:uiPriority w:val="34"/>
    <w:unhideWhenUsed/>
    <w:qFormat/>
    <w:rsid w:val="00DE454E"/>
    <w:pPr>
      <w:spacing w:before="40" w:after="160" w:line="288" w:lineRule="auto"/>
      <w:ind w:left="720"/>
      <w:contextualSpacing/>
    </w:pPr>
    <w:rPr>
      <w:kern w:val="20"/>
      <w:sz w:val="20"/>
      <w:szCs w:val="20"/>
      <w:lang w:val="en-GB" w:eastAsia="ja-JP"/>
    </w:rPr>
  </w:style>
  <w:style w:type="character" w:customStyle="1" w:styleId="IngenafstandTegn">
    <w:name w:val="Ingen afstand Tegn"/>
    <w:basedOn w:val="Standardskrifttypeiafsnit"/>
    <w:link w:val="Ingenafstand"/>
    <w:uiPriority w:val="1"/>
    <w:rsid w:val="00DE454E"/>
    <w:rPr>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business-functions/mckinsey-analytics/our-insights/competing-in-a-world-of-sectors-without-border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Jan.sirich@thenext.dk"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si\AppData\Roaming\Microsoft\Templates\Elevrapport%20med%20billede%20p&#229;%20forsid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3B222D22CF84BE08129ECC03719F850"/>
        <w:category>
          <w:name w:val="Generelt"/>
          <w:gallery w:val="placeholder"/>
        </w:category>
        <w:types>
          <w:type w:val="bbPlcHdr"/>
        </w:types>
        <w:behaviors>
          <w:behavior w:val="content"/>
        </w:behaviors>
        <w:guid w:val="{98B01708-9C31-4ED6-8039-8449398FBDF5}"/>
      </w:docPartPr>
      <w:docPartBody>
        <w:p w:rsidR="006A5A22" w:rsidRDefault="000856FC" w:rsidP="000856FC">
          <w:pPr>
            <w:pStyle w:val="23B222D22CF84BE08129ECC03719F850"/>
          </w:pPr>
          <w:r w:rsidRPr="00C93A10">
            <w:rPr>
              <w:noProof/>
              <w:lang w:val="da-DK"/>
            </w:rPr>
            <w:t>Årsrapport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6FC"/>
    <w:rsid w:val="000856FC"/>
    <w:rsid w:val="00353C3D"/>
    <w:rsid w:val="006A5A22"/>
    <w:rsid w:val="00C60E0F"/>
    <w:rsid w:val="00D27B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919554E10E2A4E83B9A329D3B1A48E13">
    <w:name w:val="919554E10E2A4E83B9A329D3B1A48E13"/>
  </w:style>
  <w:style w:type="paragraph" w:customStyle="1" w:styleId="FEAEA2C9F3484096A533B8E4DF0CFF7E">
    <w:name w:val="FEAEA2C9F3484096A533B8E4DF0CFF7E"/>
  </w:style>
  <w:style w:type="paragraph" w:customStyle="1" w:styleId="B6E23A08C68F452A815CE2ED4392E6B8">
    <w:name w:val="B6E23A08C68F452A815CE2ED4392E6B8"/>
  </w:style>
  <w:style w:type="paragraph" w:customStyle="1" w:styleId="A77C3A20F2A04F49BAB999F6D03D668D">
    <w:name w:val="A77C3A20F2A04F49BAB999F6D03D668D"/>
  </w:style>
  <w:style w:type="paragraph" w:customStyle="1" w:styleId="DE49BD4C5AB6411A93BF433E9F308358">
    <w:name w:val="DE49BD4C5AB6411A93BF433E9F308358"/>
  </w:style>
  <w:style w:type="paragraph" w:customStyle="1" w:styleId="E1B37C2A464A42D49F2EE28BDCAC623A">
    <w:name w:val="E1B37C2A464A42D49F2EE28BDCAC623A"/>
  </w:style>
  <w:style w:type="paragraph" w:customStyle="1" w:styleId="86E1ABC882084CD086EFC1894A274693">
    <w:name w:val="86E1ABC882084CD086EFC1894A274693"/>
  </w:style>
  <w:style w:type="paragraph" w:styleId="Opstilling-punkttegn">
    <w:name w:val="List Bullet"/>
    <w:basedOn w:val="Normal"/>
    <w:uiPriority w:val="10"/>
    <w:unhideWhenUsed/>
    <w:qFormat/>
    <w:pPr>
      <w:numPr>
        <w:numId w:val="1"/>
      </w:numPr>
      <w:spacing w:before="120" w:after="200" w:line="264" w:lineRule="auto"/>
    </w:pPr>
    <w:rPr>
      <w:rFonts w:eastAsiaTheme="minorHAnsi"/>
      <w:color w:val="595959" w:themeColor="text1" w:themeTint="A6"/>
      <w:lang w:val="da-DK" w:eastAsia="en-US"/>
    </w:rPr>
  </w:style>
  <w:style w:type="paragraph" w:customStyle="1" w:styleId="908BCDE677B64F3693E5E3CF013FE93D">
    <w:name w:val="908BCDE677B64F3693E5E3CF013FE93D"/>
  </w:style>
  <w:style w:type="paragraph" w:customStyle="1" w:styleId="181B7BAD23FF4A528DC59FF937F5835D">
    <w:name w:val="181B7BAD23FF4A528DC59FF937F5835D"/>
  </w:style>
  <w:style w:type="paragraph" w:customStyle="1" w:styleId="43ECA100560F4CF18EDF6BF5D53DBC0A">
    <w:name w:val="43ECA100560F4CF18EDF6BF5D53DBC0A"/>
  </w:style>
  <w:style w:type="paragraph" w:customStyle="1" w:styleId="23B222D22CF84BE08129ECC03719F850">
    <w:name w:val="23B222D22CF84BE08129ECC03719F850"/>
    <w:rsid w:val="000856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Elevrapport med billede på forsiden</Template>
  <TotalTime>1</TotalTime>
  <Pages>6</Pages>
  <Words>812</Words>
  <Characters>4247</Characters>
  <Application>Microsoft Office Word</Application>
  <DocSecurity>0</DocSecurity>
  <Lines>65</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TheNext – Helping banks</vt: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TheNext – Helping banks</dc:title>
  <dc:subject/>
  <dc:creator>Jan Sirich</dc:creator>
  <cp:keywords/>
  <dc:description/>
  <cp:lastModifiedBy>Patrick Sirich</cp:lastModifiedBy>
  <cp:revision>2</cp:revision>
  <cp:lastPrinted>2018-11-12T10:36:00Z</cp:lastPrinted>
  <dcterms:created xsi:type="dcterms:W3CDTF">2018-12-12T16:59:00Z</dcterms:created>
  <dcterms:modified xsi:type="dcterms:W3CDTF">2018-12-12T16:59:00Z</dcterms:modified>
</cp:coreProperties>
</file>