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42C62" w14:textId="77777777" w:rsidR="00207F20" w:rsidRPr="00811114"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0" w:name="_Hlk199945625"/>
      <w:r w:rsidRPr="00EF4774">
        <w:rPr>
          <w:rFonts w:ascii="Arial" w:hAnsi="Arial" w:cs="Arial"/>
          <w:b/>
          <w:bCs/>
          <w:color w:val="4472C4" w:themeColor="accent5"/>
          <w:sz w:val="24"/>
          <w:szCs w:val="24"/>
          <w:lang w:val="fr-FR"/>
        </w:rPr>
        <w:t>v8.1.3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  CTecDevices v1.3.18,  CTecFtdi v1.3.2,  CTecUtil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0"/>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r w:rsidRPr="00207F20">
        <w:rPr>
          <w:rFonts w:ascii="Arial" w:hAnsi="Arial" w:cs="Arial"/>
          <w:b/>
          <w:bCs/>
          <w:color w:val="4472C4" w:themeColor="accent5"/>
          <w:sz w:val="24"/>
          <w:szCs w:val="24"/>
          <w:lang w:val="fr-FR"/>
        </w:rPr>
        <w:t>v8.1.2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  CTecDevices v1.3.18,  CTecFtdi v1.3.2,  CTecUtil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1"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1"/>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r w:rsidRPr="00207F20">
        <w:rPr>
          <w:rFonts w:ascii="Arial" w:hAnsi="Arial" w:cs="Arial"/>
          <w:b/>
          <w:bCs/>
          <w:color w:val="4472C4" w:themeColor="accent5"/>
          <w:sz w:val="24"/>
          <w:szCs w:val="24"/>
          <w:lang w:val="fr-FR"/>
        </w:rPr>
        <w:t>v8.1.1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  CTecDevices v1.3.18,  CTecFtdi v1.3.2,  CTecUtil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r w:rsidRPr="006D0A25">
        <w:rPr>
          <w:rFonts w:ascii="Arial" w:hAnsi="Arial" w:cs="Arial"/>
          <w:color w:val="9CC2E5" w:themeColor="accent1" w:themeTint="99"/>
          <w:sz w:val="16"/>
          <w:szCs w:val="16"/>
          <w:lang w:val="fr-FR"/>
        </w:rPr>
        <w:t>,  CTecDevices v1.3.</w:t>
      </w:r>
      <w:r w:rsidR="00A970AC" w:rsidRPr="006D0A25">
        <w:rPr>
          <w:rFonts w:ascii="Arial" w:hAnsi="Arial" w:cs="Arial"/>
          <w:color w:val="9CC2E5" w:themeColor="accent1" w:themeTint="99"/>
          <w:sz w:val="16"/>
          <w:szCs w:val="16"/>
          <w:lang w:val="fr-FR"/>
        </w:rPr>
        <w:t>17</w:t>
      </w:r>
      <w:r w:rsidRPr="006D0A25">
        <w:rPr>
          <w:rFonts w:ascii="Arial" w:hAnsi="Arial" w:cs="Arial"/>
          <w:color w:val="9CC2E5" w:themeColor="accent1" w:themeTint="99"/>
          <w:sz w:val="16"/>
          <w:szCs w:val="16"/>
          <w:lang w:val="fr-FR"/>
        </w:rPr>
        <w:t>,  CTecFtdi v1.3.2,  CTecUtil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  CTecDevices v1.3.15,  CTecFtdi v1.3.2,  CTecUtil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  CTecDevices v1.3.15,  CTecFtdi v1.3.2,  CTecUtil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contrôle </w:t>
      </w:r>
      <w:proofErr w:type="spellStart"/>
      <w:r w:rsidR="00D267C9" w:rsidRPr="006D0A25">
        <w:rPr>
          <w:rFonts w:ascii="Arial" w:hAnsi="Arial" w:cs="Arial"/>
          <w:color w:val="1F4E79" w:themeColor="accent1" w:themeShade="80"/>
          <w:sz w:val="18"/>
          <w:szCs w:val="18"/>
          <w:lang w:val="fr-FR"/>
        </w:rPr>
        <w:t>TimePicker</w:t>
      </w:r>
      <w:proofErr w:type="spellEnd"/>
      <w:r w:rsidR="00D267C9" w:rsidRPr="006D0A25">
        <w:rPr>
          <w:rFonts w:ascii="Arial" w:hAnsi="Arial" w:cs="Arial"/>
          <w:color w:val="1F4E79" w:themeColor="accent1" w:themeShade="80"/>
          <w:sz w:val="18"/>
          <w:szCs w:val="18"/>
          <w:lang w:val="fr-FR"/>
        </w:rPr>
        <w:t xml:space="preserve"> peut désormais afficher « --:--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2" w:name="_Hlk150942883"/>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2"/>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nom de fichier dans la barre d’état est désormais inchangé si le fichier sélectionné ne s’ouvre pas. le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L’importation à partir d’un fichier .</w:t>
      </w:r>
      <w:proofErr w:type="spellStart"/>
      <w:r w:rsidR="00D267C9" w:rsidRPr="006D0A25">
        <w:rPr>
          <w:rFonts w:ascii="Arial" w:hAnsi="Arial" w:cs="Arial"/>
          <w:color w:val="1F4E79" w:themeColor="accent1" w:themeShade="80"/>
          <w:sz w:val="18"/>
          <w:szCs w:val="18"/>
          <w:lang w:val="fr-FR"/>
        </w:rPr>
        <w:t>xfp</w:t>
      </w:r>
      <w:proofErr w:type="spell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 xml:space="preserve">Correction du contrôle </w:t>
      </w:r>
      <w:proofErr w:type="spellStart"/>
      <w:r w:rsidR="00B21550" w:rsidRPr="006D0A25">
        <w:rPr>
          <w:rFonts w:ascii="Arial" w:hAnsi="Arial" w:cs="Arial"/>
          <w:color w:val="1F4E79" w:themeColor="accent1" w:themeShade="80"/>
          <w:sz w:val="18"/>
          <w:szCs w:val="18"/>
          <w:lang w:val="fr-FR"/>
        </w:rPr>
        <w:t>TimePicker</w:t>
      </w:r>
      <w:proofErr w:type="spellEnd"/>
      <w:r w:rsidR="00B21550" w:rsidRPr="006D0A25">
        <w:rPr>
          <w:rFonts w:ascii="Arial" w:hAnsi="Arial" w:cs="Arial"/>
          <w:color w:val="1F4E79" w:themeColor="accent1" w:themeShade="80"/>
          <w:sz w:val="18"/>
          <w:szCs w:val="18"/>
          <w:lang w:val="fr-FR"/>
        </w:rPr>
        <w:t xml:space="preserve">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r w:rsidRPr="006D0A25">
        <w:rPr>
          <w:rFonts w:ascii="Arial" w:hAnsi="Arial" w:cs="Arial"/>
          <w:b/>
          <w:bCs/>
          <w:color w:val="4472C4" w:themeColor="accent5"/>
          <w:sz w:val="24"/>
          <w:szCs w:val="24"/>
          <w:lang w:val="fr-FR"/>
        </w:rPr>
        <w:t>v7.0.5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E8B94" w14:textId="77777777" w:rsidR="00564A38" w:rsidRDefault="00564A38" w:rsidP="006808D1">
      <w:pPr>
        <w:spacing w:after="0" w:line="240" w:lineRule="auto"/>
      </w:pPr>
      <w:r>
        <w:separator/>
      </w:r>
    </w:p>
  </w:endnote>
  <w:endnote w:type="continuationSeparator" w:id="0">
    <w:p w14:paraId="1A28CFA7" w14:textId="77777777" w:rsidR="00564A38" w:rsidRDefault="00564A38"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75A99" w14:textId="77777777" w:rsidR="00564A38" w:rsidRDefault="00564A38" w:rsidP="006808D1">
      <w:pPr>
        <w:spacing w:after="0" w:line="240" w:lineRule="auto"/>
      </w:pPr>
      <w:r>
        <w:separator/>
      </w:r>
    </w:p>
  </w:footnote>
  <w:footnote w:type="continuationSeparator" w:id="0">
    <w:p w14:paraId="4343A6FE" w14:textId="77777777" w:rsidR="00564A38" w:rsidRDefault="00564A38"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60059"/>
    <w:rsid w:val="002604FE"/>
    <w:rsid w:val="00270B70"/>
    <w:rsid w:val="00271C07"/>
    <w:rsid w:val="002740F6"/>
    <w:rsid w:val="00274AA9"/>
    <w:rsid w:val="00274DCE"/>
    <w:rsid w:val="0027614E"/>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5EAB"/>
    <w:rsid w:val="00886872"/>
    <w:rsid w:val="00890299"/>
    <w:rsid w:val="00891710"/>
    <w:rsid w:val="008918EB"/>
    <w:rsid w:val="00893ABB"/>
    <w:rsid w:val="00894F75"/>
    <w:rsid w:val="00897727"/>
    <w:rsid w:val="008A4AA6"/>
    <w:rsid w:val="008A7DB0"/>
    <w:rsid w:val="008B22E9"/>
    <w:rsid w:val="008C0214"/>
    <w:rsid w:val="008C20E4"/>
    <w:rsid w:val="008C3DDB"/>
    <w:rsid w:val="008C61E2"/>
    <w:rsid w:val="008D256D"/>
    <w:rsid w:val="008E06CE"/>
    <w:rsid w:val="008E2D5A"/>
    <w:rsid w:val="008E2EB5"/>
    <w:rsid w:val="008E3B6C"/>
    <w:rsid w:val="008E62B9"/>
    <w:rsid w:val="009122A2"/>
    <w:rsid w:val="00912419"/>
    <w:rsid w:val="009133E7"/>
    <w:rsid w:val="00923AE1"/>
    <w:rsid w:val="00933EA2"/>
    <w:rsid w:val="00934101"/>
    <w:rsid w:val="009554CF"/>
    <w:rsid w:val="00956F10"/>
    <w:rsid w:val="00957008"/>
    <w:rsid w:val="00962163"/>
    <w:rsid w:val="00963586"/>
    <w:rsid w:val="00966E7B"/>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37341</TotalTime>
  <Pages>4</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56</cp:revision>
  <dcterms:created xsi:type="dcterms:W3CDTF">2022-08-18T11:34:00Z</dcterms:created>
  <dcterms:modified xsi:type="dcterms:W3CDTF">2025-07-07T23:01:00Z</dcterms:modified>
</cp:coreProperties>
</file>