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AI通识课教材目录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引言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分成三段内容：写AI的定义与重要性、写这本书的目的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第一章 人工智能基础概念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1.1 定义与范畴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1.1.1 人工智能的定义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1.1.2 人工智能的分类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（1）弱AI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（2）强AI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（3）超人工智能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1.1.3 核心概念：算法、数据、算力的三角关系</w:t>
      </w:r>
      <w:bookmarkEnd w:id="5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 xml:space="preserve">第二章 </w:t>
      </w:r>
      <w:r>
        <w:rPr>
          <w:rFonts w:eastAsia="等线" w:ascii="Arial" w:cs="Arial" w:hAnsi="Arial"/>
          <w:b w:val="true"/>
          <w:sz w:val="36"/>
        </w:rPr>
        <w:t>人工智能的发展脉络与技术革命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2.1 AI技术演进的三次浪潮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2.1.1 第一次浪潮：符号逻辑与早期探索（1940s-1970s）​</w:t>
      </w:r>
      <w:bookmarkEnd w:id="8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核心逻辑</w:t>
      </w:r>
      <w:r>
        <w:rPr>
          <w:rFonts w:eastAsia="等线" w:ascii="Arial" w:cs="Arial" w:hAnsi="Arial"/>
          <w:sz w:val="22"/>
        </w:rPr>
        <w:t>：基于规则的符号推理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（1）达特茅斯会议与AI学科诞生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（2）感知机与神经网络的早期尝试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局限与低谷</w:t>
      </w:r>
      <w:r>
        <w:rPr>
          <w:rFonts w:eastAsia="等线" w:ascii="Arial" w:cs="Arial" w:hAnsi="Arial"/>
          <w:sz w:val="22"/>
        </w:rPr>
        <w:t>：无法处理复杂现实问题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2.1.2 第二次浪潮：统计学习与专家系统（1980s-2000s）</w:t>
      </w:r>
      <w:bookmarkEnd w:id="9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技术转向</w:t>
      </w:r>
      <w:r>
        <w:rPr>
          <w:rFonts w:eastAsia="等线" w:ascii="Arial" w:cs="Arial" w:hAnsi="Arial"/>
          <w:sz w:val="22"/>
        </w:rPr>
        <w:t>：从逻辑推理到数据驱动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（1）反向传播算法复兴神经网络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（2）专家系统在医疗、金融的早期应用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突破瓶颈</w:t>
      </w:r>
      <w:r>
        <w:rPr>
          <w:rFonts w:eastAsia="等线" w:ascii="Arial" w:cs="Arial" w:hAnsi="Arial"/>
          <w:sz w:val="22"/>
        </w:rPr>
        <w:t>：算力与数据量不足导致停滞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2.1.3 第三次浪潮：深度学习与大模型时代（2010s至今）</w:t>
      </w:r>
      <w:bookmarkEnd w:id="10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技术爆发</w:t>
      </w:r>
      <w:r>
        <w:rPr>
          <w:rFonts w:eastAsia="等线" w:ascii="Arial" w:cs="Arial" w:hAnsi="Arial"/>
          <w:sz w:val="22"/>
        </w:rPr>
        <w:t>：算法、数据、算力的协同突破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（1）ImageNet竞赛与卷积神经网络（CNN）革命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等线" w:ascii="Arial" w:cs="Arial" w:hAnsi="Arial"/>
          <w:sz w:val="22"/>
        </w:rPr>
        <w:t>（2）Transformer架构与自然语言处理飞跃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通用化趋势</w:t>
      </w:r>
      <w:r>
        <w:rPr>
          <w:rFonts w:eastAsia="等线" w:ascii="Arial" w:cs="Arial" w:hAnsi="Arial"/>
          <w:sz w:val="22"/>
        </w:rPr>
        <w:t>：多模态融合与开源生态（如TensorFlow、通义千问）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2.2 关键突破：推动AI发展的里程碑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2.2.1 AlphaGo（2016）：从专用到通用思维的跨越</w:t>
      </w:r>
      <w:bookmarkEnd w:id="12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技术意义：蒙特卡洛树搜索与深度强化学习结合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社会影响：公众对AI潜力的认知革命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2.2.2 ChatGPT（2022）：生成式AI的临界点</w:t>
      </w:r>
      <w:bookmarkEnd w:id="13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技术内核：大语言模型（LLM）与人类反馈强化学习（RLHF）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行业重塑：从工具到协作伙伴的角色转变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2.2.3 开源框架与生态（2015至今）：技术民主化浪潮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核心工具：TensorFlow、PyTorch的开发者社区驱动创新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中国力量：通义千问、DeepSeek等本土技术崛起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2.3 内在驱动力：AI持续进化的底层逻辑</w:t>
      </w:r>
      <w:bookmarkEnd w:id="14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算法创新</w:t>
      </w:r>
      <w:r>
        <w:rPr>
          <w:rFonts w:eastAsia="等线" w:ascii="Arial" w:cs="Arial" w:hAnsi="Arial"/>
          <w:sz w:val="22"/>
        </w:rPr>
        <w:t>：从反向传播到注意力机制的技术迭代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数据积累</w:t>
      </w:r>
      <w:r>
        <w:rPr>
          <w:rFonts w:eastAsia="等线" w:ascii="Arial" w:cs="Arial" w:hAnsi="Arial"/>
          <w:sz w:val="22"/>
        </w:rPr>
        <w:t>：互联网时代的海量语料与标注体系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算力跃迁</w:t>
      </w:r>
      <w:r>
        <w:rPr>
          <w:rFonts w:eastAsia="等线" w:ascii="Arial" w:cs="Arial" w:hAnsi="Arial"/>
          <w:sz w:val="22"/>
        </w:rPr>
        <w:t>：GPU集群与云计算基础设施的支撑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第三章 AI原理与核心算法</w:t>
      </w:r>
      <w:bookmarkEnd w:id="1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3.1机器学习基础</w:t>
      </w:r>
      <w:bookmarkEnd w:id="1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3.1.1 监督学习与无监督学习</w:t>
      </w:r>
      <w:bookmarkEnd w:id="1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3.1.2强化学习</w:t>
      </w:r>
      <w:bookmarkEnd w:id="1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3.2深度学习与神经网络</w:t>
      </w:r>
      <w:bookmarkEnd w:id="1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3.2.1卷积神经网络（CNN）与图像识别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3.2.2 循环神经网络（RNN）与序列建模</w:t>
      </w:r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3.3生成式AI技术</w:t>
      </w:r>
      <w:bookmarkEnd w:id="2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3.3.1GAN与图像生成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3.3.2大语言模型的演进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（如GPT系列）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5" w:id="25"/>
      <w:r>
        <w:rPr>
          <w:rFonts w:eastAsia="等线" w:ascii="Arial" w:cs="Arial" w:hAnsi="Arial"/>
          <w:b w:val="true"/>
          <w:sz w:val="36"/>
        </w:rPr>
        <w:t>第四章 当前AI工具与应用场景</w:t>
      </w:r>
      <w:bookmarkEnd w:id="2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4.1 AI模型部署与管理工具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（1）AingDesk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（2）Ollama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（3）Harbor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4.2 AI编程于智能体开发工具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（1）GPTBots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（2）FastGPT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4.3 AI办公与生产力工具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（1）Chatbot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（2）DeepChat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（3）Page Assist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4.4 AI浏览器与插件工具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......暂时先略过，待我完全整理好再写这部份吧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0" w:id="30"/>
      <w:r>
        <w:rPr>
          <w:rFonts w:eastAsia="等线" w:ascii="Arial" w:cs="Arial" w:hAnsi="Arial"/>
          <w:b w:val="true"/>
          <w:sz w:val="36"/>
        </w:rPr>
        <w:t>第五章：AI提示词工程：与大模型对话的核心技能</w:t>
      </w:r>
      <w:bookmarkEnd w:id="3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b w:val="true"/>
          <w:sz w:val="32"/>
        </w:rPr>
        <w:t>5.1提示工程的定义与意义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5.1.1 什么是提示工程</w:t>
      </w:r>
      <w:bookmarkEnd w:id="3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5.1.2 核心价值</w:t>
      </w:r>
      <w:bookmarkEnd w:id="3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4" w:id="34"/>
      <w:r>
        <w:rPr>
          <w:rFonts w:eastAsia="等线" w:ascii="Arial" w:cs="Arial" w:hAnsi="Arial"/>
          <w:b w:val="true"/>
          <w:sz w:val="32"/>
        </w:rPr>
        <w:t>5.2提示词设计基础框架</w:t>
      </w:r>
      <w:bookmarkEnd w:id="3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5.2.1结构化提示词四要素</w:t>
      </w:r>
      <w:bookmarkEnd w:id="35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角色设定：定义AI身份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任务目标：明确输出需求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约束条件：限制输出范围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输出格式：规范结果结构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5.2.2温度值</w:t>
      </w:r>
      <w:r>
        <w:rPr>
          <w:rFonts w:eastAsia="等线" w:ascii="Arial" w:cs="Arial" w:hAnsi="Arial"/>
          <w:b w:val="true"/>
          <w:sz w:val="30"/>
        </w:rPr>
        <w:t>（Temperature）</w:t>
      </w:r>
      <w:r>
        <w:rPr>
          <w:rFonts w:eastAsia="等线" w:ascii="Arial" w:cs="Arial" w:hAnsi="Arial"/>
          <w:b w:val="true"/>
          <w:sz w:val="30"/>
        </w:rPr>
        <w:t>与创造性控制</w:t>
      </w:r>
      <w:bookmarkEnd w:id="36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低温度（0.2）：用于法律文书生成等严谨场景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高温度（0.8）：用于诗歌创作等需要发散的场景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5.3</w:t>
      </w:r>
      <w:r>
        <w:rPr>
          <w:rFonts w:eastAsia="等线" w:ascii="Arial" w:cs="Arial" w:hAnsi="Arial"/>
          <w:b w:val="true"/>
          <w:sz w:val="32"/>
        </w:rPr>
        <w:t>进阶设计技巧</w:t>
      </w:r>
      <w:bookmarkEnd w:id="3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5.3.1</w:t>
      </w:r>
      <w:r>
        <w:rPr>
          <w:rFonts w:eastAsia="等线" w:ascii="Arial" w:cs="Arial" w:hAnsi="Arial"/>
          <w:b w:val="true"/>
          <w:sz w:val="30"/>
        </w:rPr>
        <w:t>思维链（Chain-of-Thought）提示</w:t>
      </w:r>
      <w:bookmarkEnd w:id="38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  <w:shd w:fill="dee0e3"/>
        </w:rPr>
        <w:t xml:space="preserve">示例：  </w:t>
      </w:r>
      <w:r>
        <w:rPr>
          <w:rFonts w:eastAsia="等线" w:ascii="Arial" w:cs="Arial" w:hAnsi="Arial"/>
          <w:sz w:val="22"/>
          <w:shd w:fill="bbbfc4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[问题] 为什么太空探索需要国际合作？  </w:t>
      </w:r>
      <w:r>
        <w:rPr>
          <w:rFonts w:eastAsia="等线" w:ascii="Arial" w:cs="Arial" w:hAnsi="Arial"/>
          <w:sz w:val="22"/>
          <w:shd w:fill="bbbfc4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[提示词] 请按以下步骤思考：  </w:t>
      </w:r>
      <w:r>
        <w:rPr>
          <w:rFonts w:eastAsia="等线" w:ascii="Arial" w:cs="Arial" w:hAnsi="Arial"/>
          <w:sz w:val="22"/>
          <w:shd w:fill="bbbfc4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1.分析太空探索的资金和技术门槛  </w:t>
      </w:r>
      <w:r>
        <w:rPr>
          <w:rFonts w:eastAsia="等线" w:ascii="Arial" w:cs="Arial" w:hAnsi="Arial"/>
          <w:sz w:val="22"/>
          <w:shd w:fill="bbbfc4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2.列举跨国合作的典型案例（如国际空间站）  </w:t>
      </w:r>
      <w:r>
        <w:rPr>
          <w:rFonts w:eastAsia="等线" w:ascii="Arial" w:cs="Arial" w:hAnsi="Arial"/>
          <w:sz w:val="22"/>
          <w:shd w:fill="bbbfc4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3.总结资源共享带来的效益 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5.3.2</w:t>
      </w:r>
      <w:r>
        <w:rPr>
          <w:rFonts w:eastAsia="等线" w:ascii="Arial" w:cs="Arial" w:hAnsi="Arial"/>
          <w:b w:val="true"/>
          <w:sz w:val="30"/>
        </w:rPr>
        <w:t>少样本学习（Few-Shot Learning）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dee0e3"/>
        </w:rPr>
        <w:t xml:space="preserve">请仿照下文风格写产品文案：  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[示例] "星云咖啡机，3秒萃取意式浓缩，如同米兰街头的手工味道"  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  <w:shd w:fill="dee0e3"/>
        </w:rPr>
        <w:t xml:space="preserve">[新产品] 冰川净水器 → 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5.3.3</w:t>
      </w:r>
      <w:r>
        <w:rPr>
          <w:rFonts w:eastAsia="等线" w:ascii="Arial" w:cs="Arial" w:hAnsi="Arial"/>
          <w:b w:val="true"/>
          <w:sz w:val="30"/>
        </w:rPr>
        <w:t>对抗性提示防御</w:t>
      </w:r>
      <w:bookmarkEnd w:id="40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阻断偏见：添加"请基于权威医学期刊结论回答"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防止越界：设置"如遇到不确定信息，请明确说明知识截止于2023年"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1" w:id="41"/>
      <w:r>
        <w:rPr>
          <w:rFonts w:eastAsia="等线" w:ascii="Arial" w:cs="Arial" w:hAnsi="Arial"/>
          <w:b w:val="true"/>
          <w:sz w:val="32"/>
        </w:rPr>
        <w:t>5.4行业应用与常见误区</w:t>
      </w:r>
      <w:bookmarkEnd w:id="4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2" w:id="42"/>
      <w:r>
        <w:rPr>
          <w:rFonts w:eastAsia="等线" w:ascii="Arial" w:cs="Arial" w:hAnsi="Arial"/>
          <w:b w:val="true"/>
          <w:sz w:val="30"/>
        </w:rPr>
        <w:t>5.4.1 行业场景化案例库</w:t>
      </w:r>
      <w:bookmarkEnd w:id="4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5.4.2十大典型误区</w:t>
      </w:r>
      <w:bookmarkEnd w:id="43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模糊需求："写点有趣的内容" → 缺乏具体场景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矛盾指令："用50字精简说明量子力学，并列举20个相关公式"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忽略伦理："请模拟黑客攻击银行系统的步骤"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...略，后续补充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4" w:id="44"/>
      <w:r>
        <w:rPr>
          <w:rFonts w:eastAsia="等线" w:ascii="Arial" w:cs="Arial" w:hAnsi="Arial"/>
          <w:b w:val="true"/>
          <w:sz w:val="36"/>
        </w:rPr>
        <w:t>第六章：AI伦理与治理挑战</w:t>
      </w:r>
      <w:bookmarkEnd w:id="4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5" w:id="45"/>
      <w:r>
        <w:rPr>
          <w:rFonts w:eastAsia="等线" w:ascii="Arial" w:cs="Arial" w:hAnsi="Arial"/>
          <w:b w:val="true"/>
          <w:sz w:val="32"/>
        </w:rPr>
        <w:t>6.1 伦理问题的多维透视</w:t>
      </w:r>
      <w:bookmarkEnd w:id="4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6.1.1 算法偏见与歧视：数据与模型的局限性</w:t>
      </w:r>
      <w:bookmarkEnd w:id="4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6.1.2 隐私与数据安全：信息泄露与滥用风险</w:t>
      </w:r>
      <w:bookmarkEnd w:id="4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b w:val="true"/>
          <w:sz w:val="30"/>
        </w:rPr>
        <w:t>6.1.3 主体性消解：人类与AI的权力博弈</w:t>
      </w:r>
      <w:bookmarkEnd w:id="4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9" w:id="49"/>
      <w:r>
        <w:rPr>
          <w:rFonts w:eastAsia="等线" w:ascii="Arial" w:cs="Arial" w:hAnsi="Arial"/>
          <w:b w:val="true"/>
          <w:sz w:val="32"/>
        </w:rPr>
        <w:t>6.2 治理框架与应对策略</w:t>
      </w:r>
      <w:bookmarkEnd w:id="4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6.2.1 科技向善原则：以人为本的技术导向</w:t>
      </w:r>
      <w:bookmarkEnd w:id="5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1" w:id="51"/>
      <w:r>
        <w:rPr>
          <w:rFonts w:eastAsia="等线" w:ascii="Arial" w:cs="Arial" w:hAnsi="Arial"/>
          <w:b w:val="true"/>
          <w:sz w:val="30"/>
        </w:rPr>
        <w:t>6.2.2 法律法规：数据隐私保护与算法透明性</w:t>
      </w:r>
      <w:bookmarkEnd w:id="5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2" w:id="52"/>
      <w:r>
        <w:rPr>
          <w:rFonts w:eastAsia="等线" w:ascii="Arial" w:cs="Arial" w:hAnsi="Arial"/>
          <w:b w:val="true"/>
          <w:sz w:val="30"/>
        </w:rPr>
        <w:t>6.2.3 国际合作：全球AI伦理标准构建</w:t>
      </w:r>
      <w:bookmarkEnd w:id="52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3" w:id="53"/>
      <w:r>
        <w:rPr>
          <w:rFonts w:eastAsia="等线" w:ascii="Arial" w:cs="Arial" w:hAnsi="Arial"/>
          <w:b w:val="true"/>
          <w:sz w:val="36"/>
        </w:rPr>
        <w:t>第七章：AI未来趋势与挑战</w:t>
      </w:r>
      <w:bookmarkEnd w:id="5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4" w:id="54"/>
      <w:r>
        <w:rPr>
          <w:rFonts w:eastAsia="等线" w:ascii="Arial" w:cs="Arial" w:hAnsi="Arial"/>
          <w:b w:val="true"/>
          <w:sz w:val="32"/>
        </w:rPr>
        <w:t>7.1 技术发展方向</w:t>
      </w:r>
      <w:bookmarkEnd w:id="5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5" w:id="55"/>
      <w:r>
        <w:rPr>
          <w:rFonts w:eastAsia="等线" w:ascii="Arial" w:cs="Arial" w:hAnsi="Arial"/>
          <w:b w:val="true"/>
          <w:sz w:val="30"/>
        </w:rPr>
        <w:t>7.1.1 通用人工智能（AGI）的探索</w:t>
      </w:r>
      <w:bookmarkEnd w:id="5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6" w:id="56"/>
      <w:r>
        <w:rPr>
          <w:rFonts w:eastAsia="等线" w:ascii="Arial" w:cs="Arial" w:hAnsi="Arial"/>
          <w:b w:val="true"/>
          <w:sz w:val="30"/>
        </w:rPr>
        <w:t>7.1.2 人机协作与脑机接口</w:t>
      </w:r>
      <w:bookmarkEnd w:id="5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7" w:id="57"/>
      <w:r>
        <w:rPr>
          <w:rFonts w:eastAsia="等线" w:ascii="Arial" w:cs="Arial" w:hAnsi="Arial"/>
          <w:b w:val="true"/>
          <w:sz w:val="30"/>
        </w:rPr>
        <w:t>7.1.3 边缘计算与低功耗AI</w:t>
      </w:r>
      <w:bookmarkEnd w:id="5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8" w:id="58"/>
      <w:r>
        <w:rPr>
          <w:rFonts w:eastAsia="等线" w:ascii="Arial" w:cs="Arial" w:hAnsi="Arial"/>
          <w:b w:val="true"/>
          <w:sz w:val="32"/>
        </w:rPr>
        <w:t>7.2 社会影响与争议</w:t>
      </w:r>
      <w:bookmarkEnd w:id="5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9" w:id="59"/>
      <w:r>
        <w:rPr>
          <w:rFonts w:eastAsia="等线" w:ascii="Arial" w:cs="Arial" w:hAnsi="Arial"/>
          <w:b w:val="true"/>
          <w:sz w:val="30"/>
        </w:rPr>
        <w:t>7.2.1 就业结构变革与技能重塑</w:t>
      </w:r>
      <w:bookmarkEnd w:id="5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0" w:id="60"/>
      <w:r>
        <w:rPr>
          <w:rFonts w:eastAsia="等线" w:ascii="Arial" w:cs="Arial" w:hAnsi="Arial"/>
          <w:b w:val="true"/>
          <w:sz w:val="30"/>
        </w:rPr>
        <w:t>7.2.2 深度伪造与信息真实性危机</w:t>
      </w:r>
      <w:bookmarkEnd w:id="60"/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29825">
    <w:lvl>
      <w:numFmt w:val="bullet"/>
      <w:suff w:val="tab"/>
      <w:lvlText w:val="•"/>
      <w:rPr>
        <w:color w:val="3370ff"/>
      </w:rPr>
    </w:lvl>
  </w:abstractNum>
  <w:abstractNum w:abstractNumId="1629826">
    <w:lvl>
      <w:numFmt w:val="bullet"/>
      <w:suff w:val="tab"/>
      <w:lvlText w:val="•"/>
      <w:rPr>
        <w:color w:val="3370ff"/>
      </w:rPr>
    </w:lvl>
  </w:abstractNum>
  <w:abstractNum w:abstractNumId="1629827">
    <w:lvl>
      <w:numFmt w:val="bullet"/>
      <w:suff w:val="tab"/>
      <w:lvlText w:val="•"/>
      <w:rPr>
        <w:color w:val="3370ff"/>
      </w:rPr>
    </w:lvl>
  </w:abstractNum>
  <w:abstractNum w:abstractNumId="1629828">
    <w:lvl>
      <w:numFmt w:val="bullet"/>
      <w:suff w:val="tab"/>
      <w:lvlText w:val="•"/>
      <w:rPr>
        <w:color w:val="3370ff"/>
      </w:rPr>
    </w:lvl>
  </w:abstractNum>
  <w:abstractNum w:abstractNumId="1629829">
    <w:lvl>
      <w:numFmt w:val="bullet"/>
      <w:suff w:val="tab"/>
      <w:lvlText w:val="•"/>
      <w:rPr>
        <w:color w:val="3370ff"/>
      </w:rPr>
    </w:lvl>
  </w:abstractNum>
  <w:abstractNum w:abstractNumId="1629830">
    <w:lvl>
      <w:numFmt w:val="bullet"/>
      <w:suff w:val="tab"/>
      <w:lvlText w:val="•"/>
      <w:rPr>
        <w:color w:val="3370ff"/>
      </w:rPr>
    </w:lvl>
  </w:abstractNum>
  <w:abstractNum w:abstractNumId="1629831">
    <w:lvl>
      <w:numFmt w:val="bullet"/>
      <w:suff w:val="tab"/>
      <w:lvlText w:val="•"/>
      <w:rPr>
        <w:color w:val="3370ff"/>
      </w:rPr>
    </w:lvl>
  </w:abstractNum>
  <w:abstractNum w:abstractNumId="1629832">
    <w:lvl>
      <w:numFmt w:val="bullet"/>
      <w:suff w:val="tab"/>
      <w:lvlText w:val="•"/>
      <w:rPr>
        <w:color w:val="3370ff"/>
      </w:rPr>
    </w:lvl>
  </w:abstractNum>
  <w:abstractNum w:abstractNumId="1629833">
    <w:lvl>
      <w:numFmt w:val="bullet"/>
      <w:suff w:val="tab"/>
      <w:lvlText w:val="•"/>
      <w:rPr>
        <w:color w:val="3370ff"/>
      </w:rPr>
    </w:lvl>
  </w:abstractNum>
  <w:abstractNum w:abstractNumId="1629834">
    <w:lvl>
      <w:numFmt w:val="bullet"/>
      <w:suff w:val="tab"/>
      <w:lvlText w:val="•"/>
      <w:rPr>
        <w:color w:val="3370ff"/>
      </w:rPr>
    </w:lvl>
  </w:abstractNum>
  <w:abstractNum w:abstractNumId="1629835">
    <w:lvl>
      <w:numFmt w:val="bullet"/>
      <w:suff w:val="tab"/>
      <w:lvlText w:val="•"/>
      <w:rPr>
        <w:color w:val="3370ff"/>
      </w:rPr>
    </w:lvl>
  </w:abstractNum>
  <w:abstractNum w:abstractNumId="1629836">
    <w:lvl>
      <w:numFmt w:val="bullet"/>
      <w:suff w:val="tab"/>
      <w:lvlText w:val="•"/>
      <w:rPr>
        <w:color w:val="3370ff"/>
      </w:rPr>
    </w:lvl>
  </w:abstractNum>
  <w:abstractNum w:abstractNumId="1629837">
    <w:lvl>
      <w:numFmt w:val="bullet"/>
      <w:suff w:val="tab"/>
      <w:lvlText w:val="•"/>
      <w:rPr>
        <w:color w:val="3370ff"/>
      </w:rPr>
    </w:lvl>
  </w:abstractNum>
  <w:abstractNum w:abstractNumId="1629838">
    <w:lvl>
      <w:numFmt w:val="bullet"/>
      <w:suff w:val="tab"/>
      <w:lvlText w:val="•"/>
      <w:rPr>
        <w:color w:val="3370ff"/>
      </w:rPr>
    </w:lvl>
  </w:abstractNum>
  <w:abstractNum w:abstractNumId="1629839">
    <w:lvl>
      <w:numFmt w:val="bullet"/>
      <w:suff w:val="tab"/>
      <w:lvlText w:val="•"/>
      <w:rPr>
        <w:color w:val="3370ff"/>
      </w:rPr>
    </w:lvl>
  </w:abstractNum>
  <w:abstractNum w:abstractNumId="1629840">
    <w:lvl>
      <w:numFmt w:val="bullet"/>
      <w:suff w:val="tab"/>
      <w:lvlText w:val="•"/>
      <w:rPr>
        <w:color w:val="3370ff"/>
      </w:rPr>
    </w:lvl>
  </w:abstractNum>
  <w:abstractNum w:abstractNumId="1629841">
    <w:lvl>
      <w:numFmt w:val="bullet"/>
      <w:suff w:val="tab"/>
      <w:lvlText w:val="•"/>
      <w:rPr>
        <w:color w:val="3370ff"/>
      </w:rPr>
    </w:lvl>
  </w:abstractNum>
  <w:abstractNum w:abstractNumId="1629842">
    <w:lvl>
      <w:numFmt w:val="bullet"/>
      <w:suff w:val="tab"/>
      <w:lvlText w:val="•"/>
      <w:rPr>
        <w:color w:val="3370ff"/>
      </w:rPr>
    </w:lvl>
  </w:abstractNum>
  <w:abstractNum w:abstractNumId="1629843">
    <w:lvl>
      <w:numFmt w:val="bullet"/>
      <w:suff w:val="tab"/>
      <w:lvlText w:val="•"/>
      <w:rPr>
        <w:color w:val="3370ff"/>
      </w:rPr>
    </w:lvl>
  </w:abstractNum>
  <w:abstractNum w:abstractNumId="1629844">
    <w:lvl>
      <w:numFmt w:val="bullet"/>
      <w:suff w:val="tab"/>
      <w:lvlText w:val="•"/>
      <w:rPr>
        <w:color w:val="3370ff"/>
      </w:rPr>
    </w:lvl>
  </w:abstractNum>
  <w:abstractNum w:abstractNumId="1629845">
    <w:lvl>
      <w:numFmt w:val="bullet"/>
      <w:suff w:val="tab"/>
      <w:lvlText w:val="•"/>
      <w:rPr>
        <w:color w:val="3370ff"/>
      </w:rPr>
    </w:lvl>
  </w:abstractNum>
  <w:abstractNum w:abstractNumId="1629846">
    <w:lvl>
      <w:numFmt w:val="bullet"/>
      <w:suff w:val="tab"/>
      <w:lvlText w:val="•"/>
      <w:rPr>
        <w:color w:val="3370ff"/>
      </w:rPr>
    </w:lvl>
  </w:abstractNum>
  <w:abstractNum w:abstractNumId="1629847">
    <w:lvl>
      <w:numFmt w:val="bullet"/>
      <w:suff w:val="tab"/>
      <w:lvlText w:val="•"/>
      <w:rPr>
        <w:color w:val="3370ff"/>
      </w:rPr>
    </w:lvl>
  </w:abstractNum>
  <w:abstractNum w:abstractNumId="1629848">
    <w:lvl>
      <w:start w:val="1"/>
      <w:numFmt w:val="decimal"/>
      <w:suff w:val="tab"/>
      <w:lvlText w:val="%1."/>
      <w:rPr>
        <w:color w:val="3370ff"/>
      </w:rPr>
    </w:lvl>
  </w:abstractNum>
  <w:abstractNum w:abstractNumId="1629849">
    <w:lvl>
      <w:start w:val="2"/>
      <w:numFmt w:val="decimal"/>
      <w:suff w:val="tab"/>
      <w:lvlText w:val="%1."/>
      <w:rPr>
        <w:color w:val="3370ff"/>
      </w:rPr>
    </w:lvl>
  </w:abstractNum>
  <w:abstractNum w:abstractNumId="1629850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629825"/>
  </w:num>
  <w:num w:numId="2">
    <w:abstractNumId w:val="1629826"/>
  </w:num>
  <w:num w:numId="3">
    <w:abstractNumId w:val="1629827"/>
  </w:num>
  <w:num w:numId="4">
    <w:abstractNumId w:val="1629828"/>
  </w:num>
  <w:num w:numId="5">
    <w:abstractNumId w:val="1629829"/>
  </w:num>
  <w:num w:numId="6">
    <w:abstractNumId w:val="1629830"/>
  </w:num>
  <w:num w:numId="7">
    <w:abstractNumId w:val="1629831"/>
  </w:num>
  <w:num w:numId="8">
    <w:abstractNumId w:val="1629832"/>
  </w:num>
  <w:num w:numId="9">
    <w:abstractNumId w:val="1629833"/>
  </w:num>
  <w:num w:numId="10">
    <w:abstractNumId w:val="1629834"/>
  </w:num>
  <w:num w:numId="11">
    <w:abstractNumId w:val="1629835"/>
  </w:num>
  <w:num w:numId="12">
    <w:abstractNumId w:val="1629836"/>
  </w:num>
  <w:num w:numId="13">
    <w:abstractNumId w:val="1629837"/>
  </w:num>
  <w:num w:numId="14">
    <w:abstractNumId w:val="1629838"/>
  </w:num>
  <w:num w:numId="15">
    <w:abstractNumId w:val="1629839"/>
  </w:num>
  <w:num w:numId="16">
    <w:abstractNumId w:val="1629840"/>
  </w:num>
  <w:num w:numId="17">
    <w:abstractNumId w:val="1629841"/>
  </w:num>
  <w:num w:numId="18">
    <w:abstractNumId w:val="1629842"/>
  </w:num>
  <w:num w:numId="19">
    <w:abstractNumId w:val="1629843"/>
  </w:num>
  <w:num w:numId="20">
    <w:abstractNumId w:val="1629844"/>
  </w:num>
  <w:num w:numId="21">
    <w:abstractNumId w:val="1629845"/>
  </w:num>
  <w:num w:numId="22">
    <w:abstractNumId w:val="1629846"/>
  </w:num>
  <w:num w:numId="23">
    <w:abstractNumId w:val="1629847"/>
  </w:num>
  <w:num w:numId="24">
    <w:abstractNumId w:val="1629848"/>
  </w:num>
  <w:num w:numId="25">
    <w:abstractNumId w:val="1629849"/>
  </w:num>
  <w:num w:numId="26">
    <w:abstractNumId w:val="162985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2025-03-20T11:49:13Z</dcterms:created>
  <dc:creator>Apache POI</dc:creator>
</cp:coreProperties>
</file>