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01/11/2017      TO       08/11/2017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Kevin Boylan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 Literary Review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 Background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Complete Study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Complete GDD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tl w:val="0"/>
                    </w:rPr>
                    <w:t xml:space="preserve">Complete TDD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contextualSpacing w:val="0"/>
      <w:jc w:val="center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>
        <w:b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>
          <w:pPr>
            <w:tabs>
              <w:tab w:val="center" w:pos="4680"/>
              <w:tab w:val="right" w:pos="9360"/>
            </w:tabs>
            <w:contextualSpacing w:val="0"/>
            <w:rPr/>
          </w:pPr>
          <w:r w:rsidDel="00000000" w:rsidR="00000000" w:rsidRPr="00000000">
            <w:rPr/>
            <w:drawing>
              <wp:inline distB="0" distT="0" distL="0" distR="0">
                <wp:extent cx="1350438" cy="70240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Style w:val="Title"/>
            <w:contextualSpacing w:val="0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>
          <w:pPr>
            <w:pStyle w:val="Title"/>
            <w:contextualSpacing w:val="0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>
          <w:pPr>
            <w:tabs>
              <w:tab w:val="center" w:pos="4680"/>
              <w:tab w:val="right" w:pos="9360"/>
            </w:tabs>
            <w:contextualSpacing w:val="0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contextualSpacing w:val="1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