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Кафедра </w:t>
      </w:r>
      <w:r>
        <w:rPr>
          <w:rFonts w:eastAsia="Times New Roman" w:cs="Times New Roman"/>
          <w:b/>
          <w:color w:val="000000"/>
          <w:sz w:val="28"/>
          <w:szCs w:val="28"/>
          <w:lang w:val="ru-RU" w:bidi="ar-SA"/>
        </w:rPr>
        <w:t>МО ЭВМ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Style16"/>
          <w:caps/>
          <w:szCs w:val="28"/>
        </w:rPr>
      </w:pPr>
      <w:r>
        <w:rPr>
          <w:rStyle w:val="Style16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лабораторной работе №6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дисциплине «</w:t>
      </w:r>
      <w:r>
        <w:rPr>
          <w:rFonts w:eastAsia="Times New Roman" w:cs="Times New Roman"/>
          <w:b/>
          <w:color w:val="000000"/>
          <w:sz w:val="28"/>
          <w:szCs w:val="28"/>
          <w:lang w:val="ru-RU" w:bidi="ar-SA"/>
        </w:rPr>
        <w:t>Организация ЭВМ и систем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Style16"/>
          <w:caps w:val="false"/>
          <w:smallCaps w:val="false"/>
          <w:color w:val="000000"/>
          <w:sz w:val="28"/>
          <w:szCs w:val="28"/>
        </w:rPr>
        <w:t>Тема: Организация связи Ассемблера с ЯВУ на примере программы построения частотного распределения попаданий псевдослучайных целых чисел в заданные интервалы.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0383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Сабанов П.А.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Ефремов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bCs/>
          <w:color w:val="000000"/>
          <w:sz w:val="28"/>
          <w:szCs w:val="28"/>
        </w:rPr>
        <w:t>2021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На языке высокого уровня (Pascal или С) генерируется массив псевдослучайных целых чисел, изменяющихся в заданном диапазоне и имеющих равномерное распределение. Необходимые датчики псевдослучайных чисел находятся в каталоге Tasks\RAND_GEN (пpи его отсутствии программу датчика получить у пpеподавателя).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Далее должен вызываться ассемблерный модуль(модули) для формирования распределения количества попаданий псевдослучайных целых чисел в заданные интервалы. В общем случае интервалы разбиения диапазона изменения псевдослучайных чисел могут иметь различную длину.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Результирующий массив частотного распределения чисел по интервалам, сформированный на ассемблерном уровне, возвращается в программу, реализованную на ЯВУ, и затем сохраняется в файле и выводится на экран средствами ЯВУ.</w:t>
      </w:r>
      <w:r>
        <w:br w:type="page"/>
      </w:r>
    </w:p>
    <w:p>
      <w:pPr>
        <w:pStyle w:val="Normal"/>
        <w:spacing w:lineRule="auto" w:line="360"/>
        <w:ind w:hanging="0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  <w:t>Ход работы.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Была написана функция count на языке ассемблера, принимающая пять аргументов: указатель на массив с числами, количество чисел, указатель на массив с границами интервалов, количество интервалов и указатель на массив с результатами подсчётов.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В функции count написан двойной цикл, который пробегает все интервалы и на каждом из них пробегает все числа, увеличивая счётчик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Была написана программа на языке C++, считывающая с потока стандартного вывода количество чисел, границы распределения чисел, количество и границы интервалов, вычисляющая псевдослучайные числа в нормальном распределении, передающая нужные данные функции count и выводящая содержимое массива с результатами подсчётов.</w:t>
      </w:r>
      <w:r>
        <w:br w:type="page"/>
      </w:r>
    </w:p>
    <w:p>
      <w:pPr>
        <w:pStyle w:val="Normal"/>
        <w:spacing w:lineRule="auto" w:line="360"/>
        <w:ind w:hanging="0"/>
        <w:jc w:val="both"/>
        <w:rPr/>
      </w:pP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>Пример работы программы.</w:t>
      </w:r>
    </w:p>
    <w:p>
      <w:pPr>
        <w:pStyle w:val="Normal"/>
        <w:spacing w:lineRule="auto" w:line="360"/>
        <w:ind w:hanging="0"/>
        <w:jc w:val="both"/>
        <w:rPr>
          <w:b/>
          <w:b/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238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ind w:hanging="0"/>
        <w:jc w:val="both"/>
        <w:rPr/>
      </w:pPr>
      <w:r>
        <w:rPr>
          <w:b/>
          <w:color w:val="000000"/>
          <w:sz w:val="28"/>
          <w:szCs w:val="28"/>
        </w:rPr>
        <w:tab/>
        <w:t>Вывод.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ab/>
        <w:t>Была написана программа на C++ и ассемблере nasm. Была реализована функция на ассемблере, вызываемая в программе на C++. Программа выполняет генерацию псевдослучайных чисел в произвольном диапазоне и считает количество этих чисел в произвольных интервалах.</w:t>
      </w:r>
      <w:r>
        <w:br w:type="page"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ПРИЛОЖЕНИЕ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А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Исходный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код программы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main.c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#include &lt;iostream&gt;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#include &lt;random&gt;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extern "C" void count(int* nums, int numsCount, int* borders, int intervalCount, int* result);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 main()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 randNumCount;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std::cout &lt;&lt; "Введите количество целых чисел: ";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std::cin &gt;&gt; randNumCount;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while (randNumCount &lt;= 0)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std::cout &lt;&lt; "Некорректное количество чисел, попробуйте еще раз.\nВведите количество интервалов: ";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std::cin &gt;&gt; randNumCount;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}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 min_x, max_x;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std::cout &lt;&lt; "Введите границы: ";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std::cin &gt;&gt; min_x &gt;&gt; max_x;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while (max_x &lt;= min_x)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std::cout &lt;&lt; "Некорректные границы распределения, попробуйте еще раз.\nВведите количество интервалов: ";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std::cin &gt;&gt; min_x &gt;&gt; max_x;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}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 intervalCount;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std::cout &lt;&lt; "Введите количество интервалов: ";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std::cin &gt;&gt; intervalCount;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while (intervalCount &lt;= 0 || max_x - min_x &lt;= intervalCount)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std::cout &lt;&lt; "Некорректное количество интервалов, попробуйте еще раз.\nВведите количество интервалов: ";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std::cin &gt;&gt; intervalCount;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}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std::cout &lt;&lt; "Введите границы в порядке возрастания (левые границы, и в конце правая граница последнего интервала): ";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int* borders = new int[intervalCount + 1];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int* result = new int[intervalCount] { 0 };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for (int i = 0; i &lt; intervalCount + 1; i++)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std::cin &gt;&gt; borders[i];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std::random_device rd{};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std::mt19937 gen(rd());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float expectation = float(max_x + min_x) / 2; // мат ожидание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float stddev = float(max_x - min_x) / 6; // мат отклонение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std::normal_distribution&lt;float&gt; dist(expectation, stddev);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int* nums = new int[randNumCount];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for (int i = 0; i &lt; randNumCount; i++)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nums[i] = (int) round(dist(gen));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count(nums, randNumCount, borders, intervalCount, result);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std::cout &lt;&lt; '\n';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for (int i = 0; i &lt; intervalCount; ++i)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std::cout &lt;&lt; "Интервал номер " &lt;&lt; i+1 &lt;&lt; " (" &lt;&lt; borders[i] &lt;&lt; ", " &lt;&lt; borders[i+1] &lt;&lt; "):\n";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std::cout &lt;&lt; result[i] &lt;&lt; " чисел.\n";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}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}</w:t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count.asm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global count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section .text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for (int i = 0; i &lt; intervalCount; ++i)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    for (int j = 0; j &lt; numsCount; ++j)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        if (nums[j] &gt;= borders[i] &amp;&amp; nums[j] &lt; borders[i+1])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            ++result[i];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        }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    }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}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count: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%define nums [ebp+8]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%define numsCount [ebp+12]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%define borders [ebp+16]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%define intervalCount [ebp+20]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%define result [ebp+24]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ebp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ebp, esp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dword 0 ; int i =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dword 0 ; int j =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%define i [ebp-4]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%define j [ebp-8]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ebx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count.for_i: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if i &gt;= intervalCount then exit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eax, intervalCount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cmp i, eax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jge count.for_i.exit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dword j, 0 ; j = 0 before for_j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result[i] =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edx, result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ecx, i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[edx+4*ecx], dword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count.for_i.for_j: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if j &gt;= numsCount then exit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eax, numsCount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cmp j, eax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jge count.for_i.for_j.exit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eax = nums[j]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edx, nums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ecx, j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eax, [edx+4*ecx]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ebx = borders[i]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edx, borders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ecx, i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ebx, [edx+4*ecx]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if nums[j] &lt; borders[i] then next iteration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cmp eax, ebx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jl count.for_i.for_j.end_iteration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ebx = borders[i+1]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;mov edx, borders ; &lt;&lt;-- borders already in edx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;mov ecx, i ; &lt;&lt;-- i already in ecx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inc ecx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ebx, [edx+4*ecx]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if nums[j] &gt;= borders[i] then next iteration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cmp eax, ebx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jge count.for_i.for_j.end_iteration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++result[i]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edx, result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;mov ecx, i ; &lt;&lt;-- i+1 already in ecx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dec ecx     ; then just decrement ecx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inc dword [edx+4*ecx]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count.for_i.for_j.end_iteration: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inc dword j; ++j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jmp count.for_i.for_j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count.for_i.for_j.exit: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count.for_i.end_iteration: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inc dword i ; ++i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jmp count.for_i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count.for_i.exit: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pop ebx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esp, ebp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pop ebp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ret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vertAlign w:val="baseline"/>
        <w:position w:val="0"/>
        <w:sz w:val="24"/>
        <w:sz w:val="24"/>
        <w:spacing w:val="0"/>
        <w:i w:val="false"/>
        <w:b w:val="false"/>
        <w:szCs w:val="24"/>
        <w:w w:val="1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numPr>
        <w:ilvl w:val="0"/>
        <w:numId w:val="3"/>
      </w:num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numPr>
        <w:ilvl w:val="0"/>
        <w:numId w:val="2"/>
      </w:num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Application>LibreOffice/7.1.8.1$Linux_X86_64 LibreOffice_project/10$Build-1</Application>
  <AppVersion>15.0000</AppVersion>
  <Pages>9</Pages>
  <Words>822</Words>
  <Characters>4801</Characters>
  <CharactersWithSpaces>6059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cp:keywords>  </cp:keywords>
  <dc:language>ru-RU</dc:language>
  <cp:lastModifiedBy/>
  <cp:lastPrinted>2015-07-17T12:06:00Z</cp:lastPrinted>
  <dcterms:modified xsi:type="dcterms:W3CDTF">2021-12-26T19:48:01Z</dcterms:modified>
  <cp:revision>28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