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5BB32" w14:textId="6365DD0F" w:rsidR="005C0B93" w:rsidRDefault="00F3787F">
      <w:pPr>
        <w:rPr>
          <w:b/>
          <w:bCs/>
        </w:rPr>
      </w:pPr>
      <w:r w:rsidRPr="00F3787F">
        <w:rPr>
          <w:b/>
          <w:bCs/>
        </w:rPr>
        <w:t>Defining Data</w:t>
      </w:r>
    </w:p>
    <w:p w14:paraId="4FC3BEAD" w14:textId="07E826CC" w:rsidR="00F3787F" w:rsidRDefault="00B23346" w:rsidP="00B23346">
      <w:pPr>
        <w:pStyle w:val="ListParagraph"/>
        <w:numPr>
          <w:ilvl w:val="0"/>
          <w:numId w:val="1"/>
        </w:numPr>
      </w:pPr>
      <w:r w:rsidRPr="00B23346">
        <w:t xml:space="preserve">Data refers to collections of digitally stored units, in other words, stuff that is kept on a computing </w:t>
      </w:r>
      <w:proofErr w:type="gramStart"/>
      <w:r w:rsidRPr="00B23346">
        <w:t>device</w:t>
      </w:r>
      <w:proofErr w:type="gramEnd"/>
    </w:p>
    <w:p w14:paraId="5AF70172" w14:textId="1D1288AB" w:rsidR="00B23346" w:rsidRPr="00B23346" w:rsidRDefault="00B23346" w:rsidP="00B23346">
      <w:pPr>
        <w:pStyle w:val="ListParagraph"/>
        <w:numPr>
          <w:ilvl w:val="0"/>
          <w:numId w:val="1"/>
        </w:numPr>
      </w:pPr>
      <w:r w:rsidRPr="00B23346">
        <w:t>Single units of data are traditionally referred to as</w:t>
      </w:r>
      <w:r w:rsidRPr="00B23346">
        <w:rPr>
          <w:color w:val="FF0000"/>
        </w:rPr>
        <w:t xml:space="preserve"> </w:t>
      </w:r>
      <w:proofErr w:type="gramStart"/>
      <w:r w:rsidRPr="00B23346">
        <w:rPr>
          <w:b/>
          <w:bCs/>
          <w:color w:val="FF0000"/>
        </w:rPr>
        <w:t>datum</w:t>
      </w:r>
      <w:proofErr w:type="gramEnd"/>
    </w:p>
    <w:p w14:paraId="2484552B" w14:textId="6CDA610B" w:rsidR="00B23346" w:rsidRDefault="00B23346" w:rsidP="00B23346">
      <w:r>
        <w:t>Categories of Data:</w:t>
      </w:r>
    </w:p>
    <w:p w14:paraId="7F6689EC" w14:textId="77777777" w:rsidR="00B23346" w:rsidRDefault="00B23346" w:rsidP="00B23346">
      <w:pPr>
        <w:pStyle w:val="ListParagraph"/>
        <w:numPr>
          <w:ilvl w:val="0"/>
          <w:numId w:val="1"/>
        </w:numPr>
      </w:pPr>
      <w:r w:rsidRPr="00B23346">
        <w:rPr>
          <w:b/>
          <w:bCs/>
          <w:color w:val="FF0000"/>
        </w:rPr>
        <w:t>Structured:</w:t>
      </w:r>
      <w:r w:rsidRPr="00B23346">
        <w:rPr>
          <w:color w:val="FF0000"/>
        </w:rPr>
        <w:t xml:space="preserve"> </w:t>
      </w:r>
      <w:r>
        <w:t>Data that has been formatted to a set structure; each data unit fits nicely into a table in a database. It’s ready for analysis. Examples include first name, last name, and phone number.</w:t>
      </w:r>
    </w:p>
    <w:p w14:paraId="1BC62E54" w14:textId="77777777" w:rsidR="00B23346" w:rsidRDefault="00B23346" w:rsidP="00B23346">
      <w:pPr>
        <w:pStyle w:val="ListParagraph"/>
        <w:numPr>
          <w:ilvl w:val="0"/>
          <w:numId w:val="1"/>
        </w:numPr>
      </w:pPr>
      <w:r w:rsidRPr="00B23346">
        <w:rPr>
          <w:b/>
          <w:bCs/>
          <w:color w:val="FF0000"/>
        </w:rPr>
        <w:t>Unstructured:</w:t>
      </w:r>
      <w:r w:rsidRPr="00B23346">
        <w:rPr>
          <w:color w:val="FF0000"/>
        </w:rPr>
        <w:t xml:space="preserve"> </w:t>
      </w:r>
      <w:r>
        <w:t>Data that are stored in a native format must be processed to be used. Further work is required to enable analysis. Examples include email content and social media posts.</w:t>
      </w:r>
    </w:p>
    <w:p w14:paraId="2763C3CC" w14:textId="07B3EAA1" w:rsidR="00B23346" w:rsidRDefault="00B23346" w:rsidP="00B23346">
      <w:pPr>
        <w:pStyle w:val="ListParagraph"/>
        <w:numPr>
          <w:ilvl w:val="0"/>
          <w:numId w:val="1"/>
        </w:numPr>
      </w:pPr>
      <w:r w:rsidRPr="00B23346">
        <w:rPr>
          <w:b/>
          <w:bCs/>
          <w:color w:val="FF0000"/>
        </w:rPr>
        <w:t>Semi-structured:</w:t>
      </w:r>
      <w:r w:rsidRPr="00B23346">
        <w:rPr>
          <w:color w:val="FF0000"/>
        </w:rPr>
        <w:t xml:space="preserve"> </w:t>
      </w:r>
      <w:r>
        <w:t xml:space="preserve">Data that contains additional information to enable the native format to be searched and </w:t>
      </w:r>
      <w:r w:rsidR="007E6354">
        <w:t>analysed</w:t>
      </w:r>
      <w:r>
        <w:t>.</w:t>
      </w:r>
    </w:p>
    <w:p w14:paraId="0CEA14B0" w14:textId="503D9809" w:rsidR="005C0AC9" w:rsidRDefault="005C0AC9" w:rsidP="005C0AC9">
      <w:r w:rsidRPr="005C0AC9">
        <w:t>The Zettabyte Era</w:t>
      </w:r>
      <w:r>
        <w: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8809"/>
        <w:gridCol w:w="7391"/>
      </w:tblGrid>
      <w:tr w:rsidR="007E6354" w:rsidRPr="007E6354" w14:paraId="7E67BFCB"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6B1934FB" w14:textId="77777777" w:rsidR="007E6354" w:rsidRPr="007E6354" w:rsidRDefault="007E6354" w:rsidP="007E6354">
            <w:r w:rsidRPr="007E6354">
              <w:t>8 bits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112843C" w14:textId="77777777" w:rsidR="007E6354" w:rsidRPr="007E6354" w:rsidRDefault="007E6354" w:rsidP="007E6354">
            <w:r w:rsidRPr="007E6354">
              <w:t>1 byte</w:t>
            </w:r>
          </w:p>
        </w:tc>
      </w:tr>
      <w:tr w:rsidR="007E6354" w:rsidRPr="007E6354" w14:paraId="578B0DD2"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6D35D251" w14:textId="77777777" w:rsidR="007E6354" w:rsidRPr="007E6354" w:rsidRDefault="007E6354" w:rsidP="007E6354">
            <w:r w:rsidRPr="007E6354">
              <w:t>1024 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44D26C21" w14:textId="77777777" w:rsidR="007E6354" w:rsidRPr="007E6354" w:rsidRDefault="007E6354" w:rsidP="007E6354">
            <w:r w:rsidRPr="007E6354">
              <w:t>1 kilobyte</w:t>
            </w:r>
          </w:p>
        </w:tc>
      </w:tr>
      <w:tr w:rsidR="007E6354" w:rsidRPr="007E6354" w14:paraId="159712F7"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0C9E1758" w14:textId="77777777" w:rsidR="007E6354" w:rsidRPr="007E6354" w:rsidRDefault="007E6354" w:rsidP="007E6354">
            <w:r w:rsidRPr="007E6354">
              <w:t>1024 kilobytes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27F24D95" w14:textId="77777777" w:rsidR="007E6354" w:rsidRPr="007E6354" w:rsidRDefault="007E6354" w:rsidP="007E6354">
            <w:r w:rsidRPr="007E6354">
              <w:t>1 megabyte</w:t>
            </w:r>
          </w:p>
        </w:tc>
      </w:tr>
      <w:tr w:rsidR="007E6354" w:rsidRPr="007E6354" w14:paraId="2663184F"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FBF4C4B" w14:textId="77777777" w:rsidR="007E6354" w:rsidRPr="007E6354" w:rsidRDefault="007E6354" w:rsidP="007E6354">
            <w:r w:rsidRPr="007E6354">
              <w:t>1024 megabytes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48DECCC9" w14:textId="77777777" w:rsidR="007E6354" w:rsidRPr="007E6354" w:rsidRDefault="007E6354" w:rsidP="007E6354">
            <w:r w:rsidRPr="007E6354">
              <w:t>1 gigabyte</w:t>
            </w:r>
          </w:p>
        </w:tc>
      </w:tr>
      <w:tr w:rsidR="007E6354" w:rsidRPr="007E6354" w14:paraId="1772ED3A"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2A847A5" w14:textId="77777777" w:rsidR="007E6354" w:rsidRPr="007E6354" w:rsidRDefault="007E6354" w:rsidP="007E6354">
            <w:r w:rsidRPr="007E6354">
              <w:t>1024 gigabytes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CD16094" w14:textId="77777777" w:rsidR="007E6354" w:rsidRPr="007E6354" w:rsidRDefault="007E6354" w:rsidP="007E6354">
            <w:r w:rsidRPr="007E6354">
              <w:t>1 terabyte</w:t>
            </w:r>
          </w:p>
        </w:tc>
      </w:tr>
      <w:tr w:rsidR="007E6354" w:rsidRPr="007E6354" w14:paraId="307958D6"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2F038D48" w14:textId="77777777" w:rsidR="007E6354" w:rsidRPr="007E6354" w:rsidRDefault="007E6354" w:rsidP="007E6354">
            <w:r w:rsidRPr="007E6354">
              <w:t>1024 terabytes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364FDA60" w14:textId="77777777" w:rsidR="007E6354" w:rsidRPr="007E6354" w:rsidRDefault="007E6354" w:rsidP="007E6354">
            <w:r w:rsidRPr="007E6354">
              <w:t>1 petabyte</w:t>
            </w:r>
          </w:p>
        </w:tc>
      </w:tr>
      <w:tr w:rsidR="007E6354" w:rsidRPr="007E6354" w14:paraId="38D4E1F8"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3A51D9EB" w14:textId="77777777" w:rsidR="007E6354" w:rsidRPr="007E6354" w:rsidRDefault="007E6354" w:rsidP="007E6354">
            <w:r w:rsidRPr="007E6354">
              <w:t>1024 petabytes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7121CD7B" w14:textId="77777777" w:rsidR="007E6354" w:rsidRPr="007E6354" w:rsidRDefault="007E6354" w:rsidP="007E6354">
            <w:r w:rsidRPr="007E6354">
              <w:t>1 exabyte</w:t>
            </w:r>
          </w:p>
        </w:tc>
      </w:tr>
      <w:tr w:rsidR="007E6354" w:rsidRPr="007E6354" w14:paraId="070B5B05"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9EDAB5A" w14:textId="77777777" w:rsidR="007E6354" w:rsidRPr="007E6354" w:rsidRDefault="007E6354" w:rsidP="007E6354">
            <w:r w:rsidRPr="007E6354">
              <w:t>1024 exabytes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0DD387BF" w14:textId="77777777" w:rsidR="007E6354" w:rsidRPr="007E6354" w:rsidRDefault="007E6354" w:rsidP="007E6354">
            <w:r w:rsidRPr="007E6354">
              <w:t>1 zettabyte</w:t>
            </w:r>
          </w:p>
        </w:tc>
      </w:tr>
      <w:tr w:rsidR="007E6354" w:rsidRPr="007E6354" w14:paraId="168DD137" w14:textId="77777777" w:rsidTr="007E6354">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59AF7DDF" w14:textId="77777777" w:rsidR="007E6354" w:rsidRPr="007E6354" w:rsidRDefault="007E6354" w:rsidP="007E6354">
            <w:r w:rsidRPr="007E6354">
              <w:t>1024 zettabytes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3C7CB08C" w14:textId="77777777" w:rsidR="007E6354" w:rsidRPr="007E6354" w:rsidRDefault="007E6354" w:rsidP="007E6354">
            <w:r w:rsidRPr="007E6354">
              <w:t>1 yottabyte</w:t>
            </w:r>
          </w:p>
        </w:tc>
      </w:tr>
      <w:tr w:rsidR="007E6354" w:rsidRPr="007E6354" w14:paraId="32EF3CF6" w14:textId="77777777" w:rsidTr="007E6354">
        <w:trPr>
          <w:trHeight w:val="2"/>
        </w:trPr>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99FE31A" w14:textId="77777777" w:rsidR="007E6354" w:rsidRPr="007E6354" w:rsidRDefault="007E6354" w:rsidP="007E6354">
            <w:r w:rsidRPr="007E6354">
              <w:lastRenderedPageBreak/>
              <w:t>1024 yottabytes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65D83828" w14:textId="77777777" w:rsidR="007E6354" w:rsidRPr="007E6354" w:rsidRDefault="007E6354" w:rsidP="007E6354">
            <w:r w:rsidRPr="007E6354">
              <w:t>1 brontobyte</w:t>
            </w:r>
          </w:p>
        </w:tc>
      </w:tr>
    </w:tbl>
    <w:p w14:paraId="6F793F26" w14:textId="77777777" w:rsidR="005C0AC9" w:rsidRDefault="005C0AC9" w:rsidP="005C0AC9"/>
    <w:p w14:paraId="64791B72" w14:textId="12462AC5" w:rsidR="007E6354" w:rsidRDefault="007E6354" w:rsidP="005C0AC9">
      <w:r>
        <w:t>Data Volumes:</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2687"/>
        <w:gridCol w:w="2781"/>
        <w:gridCol w:w="10732"/>
      </w:tblGrid>
      <w:tr w:rsidR="007E6354" w:rsidRPr="007E6354" w14:paraId="4E9B8A43" w14:textId="77777777" w:rsidTr="007E6354">
        <w:trPr>
          <w:trHeight w:val="20"/>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299B1A6" w14:textId="77777777" w:rsidR="007E6354" w:rsidRPr="007E6354" w:rsidRDefault="007E6354" w:rsidP="007E6354">
            <w:pPr>
              <w:rPr>
                <w:sz w:val="20"/>
                <w:szCs w:val="20"/>
              </w:rPr>
            </w:pPr>
            <w:r w:rsidRPr="007E6354">
              <w:rPr>
                <w:b/>
                <w:bCs/>
                <w:sz w:val="20"/>
                <w:szCs w:val="20"/>
              </w:rPr>
              <w:t>Unit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D40F935" w14:textId="77777777" w:rsidR="007E6354" w:rsidRPr="007E6354" w:rsidRDefault="007E6354" w:rsidP="007E6354">
            <w:pPr>
              <w:rPr>
                <w:sz w:val="20"/>
                <w:szCs w:val="20"/>
              </w:rPr>
            </w:pPr>
            <w:r w:rsidRPr="007E6354">
              <w:rPr>
                <w:b/>
                <w:bCs/>
                <w:sz w:val="20"/>
                <w:szCs w:val="20"/>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0A5402B" w14:textId="77777777" w:rsidR="007E6354" w:rsidRPr="007E6354" w:rsidRDefault="007E6354" w:rsidP="007E6354">
            <w:pPr>
              <w:rPr>
                <w:sz w:val="20"/>
                <w:szCs w:val="20"/>
              </w:rPr>
            </w:pPr>
            <w:r w:rsidRPr="007E6354">
              <w:rPr>
                <w:b/>
                <w:bCs/>
                <w:sz w:val="20"/>
                <w:szCs w:val="20"/>
              </w:rPr>
              <w:t>Example</w:t>
            </w:r>
          </w:p>
        </w:tc>
      </w:tr>
      <w:tr w:rsidR="007E6354" w:rsidRPr="007E6354" w14:paraId="32202E22" w14:textId="77777777" w:rsidTr="007E6354">
        <w:trPr>
          <w:trHeight w:val="20"/>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014019C" w14:textId="77777777" w:rsidR="007E6354" w:rsidRPr="007E6354" w:rsidRDefault="007E6354" w:rsidP="007E6354">
            <w:pPr>
              <w:rPr>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A8E8C45" w14:textId="77777777" w:rsidR="007E6354" w:rsidRPr="007E6354" w:rsidRDefault="007E6354" w:rsidP="007E6354">
            <w:pPr>
              <w:rPr>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9A821AA" w14:textId="77777777" w:rsidR="007E6354" w:rsidRPr="007E6354" w:rsidRDefault="007E6354" w:rsidP="007E6354">
            <w:pPr>
              <w:rPr>
                <w:sz w:val="20"/>
                <w:szCs w:val="20"/>
              </w:rPr>
            </w:pPr>
          </w:p>
        </w:tc>
      </w:tr>
      <w:tr w:rsidR="007E6354" w:rsidRPr="007E6354" w14:paraId="5BC0ACDE"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968ABF" w14:textId="77777777" w:rsidR="007E6354" w:rsidRPr="007E6354" w:rsidRDefault="007E6354" w:rsidP="007E6354">
            <w:pPr>
              <w:rPr>
                <w:sz w:val="20"/>
                <w:szCs w:val="20"/>
              </w:rPr>
            </w:pPr>
            <w:r w:rsidRPr="007E6354">
              <w:rPr>
                <w:sz w:val="20"/>
                <w:szCs w:val="20"/>
              </w:rPr>
              <w:t>Kilobytes (KB)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55844D" w14:textId="77777777" w:rsidR="007E6354" w:rsidRPr="007E6354" w:rsidRDefault="007E6354" w:rsidP="007E6354">
            <w:pPr>
              <w:rPr>
                <w:sz w:val="20"/>
                <w:szCs w:val="20"/>
              </w:rPr>
            </w:pPr>
            <w:r w:rsidRPr="007E6354">
              <w:rPr>
                <w:sz w:val="20"/>
                <w:szCs w:val="20"/>
              </w:rPr>
              <w:t>1,000 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C13951" w14:textId="77777777" w:rsidR="007E6354" w:rsidRPr="007E6354" w:rsidRDefault="007E6354" w:rsidP="007E6354">
            <w:pPr>
              <w:rPr>
                <w:sz w:val="20"/>
                <w:szCs w:val="20"/>
              </w:rPr>
            </w:pPr>
            <w:r w:rsidRPr="007E6354">
              <w:rPr>
                <w:sz w:val="20"/>
                <w:szCs w:val="20"/>
              </w:rPr>
              <w:t>a paragraph of a text document</w:t>
            </w:r>
          </w:p>
        </w:tc>
      </w:tr>
      <w:tr w:rsidR="007E6354" w:rsidRPr="007E6354" w14:paraId="7DA2A1A4"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B4B5B1" w14:textId="77777777" w:rsidR="007E6354" w:rsidRPr="007E6354" w:rsidRDefault="007E6354" w:rsidP="007E6354">
            <w:pPr>
              <w:rPr>
                <w:sz w:val="20"/>
                <w:szCs w:val="20"/>
              </w:rPr>
            </w:pPr>
            <w:r w:rsidRPr="007E6354">
              <w:rPr>
                <w:sz w:val="20"/>
                <w:szCs w:val="20"/>
              </w:rPr>
              <w:t>Megabytes (MB)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AF022" w14:textId="77777777" w:rsidR="007E6354" w:rsidRPr="007E6354" w:rsidRDefault="007E6354" w:rsidP="007E6354">
            <w:pPr>
              <w:rPr>
                <w:sz w:val="20"/>
                <w:szCs w:val="20"/>
              </w:rPr>
            </w:pPr>
            <w:r w:rsidRPr="007E6354">
              <w:rPr>
                <w:sz w:val="20"/>
                <w:szCs w:val="20"/>
              </w:rPr>
              <w:t>1,000 Kilobytes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CB4854" w14:textId="77777777" w:rsidR="007E6354" w:rsidRPr="007E6354" w:rsidRDefault="007E6354" w:rsidP="007E6354">
            <w:pPr>
              <w:rPr>
                <w:sz w:val="20"/>
                <w:szCs w:val="20"/>
              </w:rPr>
            </w:pPr>
            <w:r w:rsidRPr="007E6354">
              <w:rPr>
                <w:sz w:val="20"/>
                <w:szCs w:val="20"/>
              </w:rPr>
              <w:t>a small novel</w:t>
            </w:r>
          </w:p>
        </w:tc>
      </w:tr>
      <w:tr w:rsidR="007E6354" w:rsidRPr="007E6354" w14:paraId="70B47386"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201CB1" w14:textId="77777777" w:rsidR="007E6354" w:rsidRPr="007E6354" w:rsidRDefault="007E6354" w:rsidP="007E6354">
            <w:pPr>
              <w:rPr>
                <w:sz w:val="20"/>
                <w:szCs w:val="20"/>
              </w:rPr>
            </w:pPr>
            <w:r w:rsidRPr="007E6354">
              <w:rPr>
                <w:sz w:val="20"/>
                <w:szCs w:val="20"/>
              </w:rPr>
              <w:t>Gigabytes (GB)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F9A5EA" w14:textId="77777777" w:rsidR="007E6354" w:rsidRPr="007E6354" w:rsidRDefault="007E6354" w:rsidP="007E6354">
            <w:pPr>
              <w:rPr>
                <w:sz w:val="20"/>
                <w:szCs w:val="20"/>
              </w:rPr>
            </w:pPr>
            <w:r w:rsidRPr="007E6354">
              <w:rPr>
                <w:sz w:val="20"/>
                <w:szCs w:val="20"/>
              </w:rPr>
              <w:t>1,000 Megabytes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5EE643" w14:textId="77777777" w:rsidR="007E6354" w:rsidRPr="007E6354" w:rsidRDefault="007E6354" w:rsidP="007E6354">
            <w:pPr>
              <w:rPr>
                <w:sz w:val="20"/>
                <w:szCs w:val="20"/>
              </w:rPr>
            </w:pPr>
            <w:r w:rsidRPr="007E6354">
              <w:rPr>
                <w:sz w:val="20"/>
                <w:szCs w:val="20"/>
              </w:rPr>
              <w:t>Beethoven’s 5th Symphony</w:t>
            </w:r>
          </w:p>
        </w:tc>
      </w:tr>
      <w:tr w:rsidR="007E6354" w:rsidRPr="007E6354" w14:paraId="61A52CE5"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C0DE0E" w14:textId="77777777" w:rsidR="007E6354" w:rsidRPr="007E6354" w:rsidRDefault="007E6354" w:rsidP="007E6354">
            <w:pPr>
              <w:rPr>
                <w:sz w:val="20"/>
                <w:szCs w:val="20"/>
              </w:rPr>
            </w:pPr>
            <w:r w:rsidRPr="007E6354">
              <w:rPr>
                <w:sz w:val="20"/>
                <w:szCs w:val="20"/>
              </w:rPr>
              <w:t>Terabytes (TB)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139B05" w14:textId="77777777" w:rsidR="007E6354" w:rsidRPr="007E6354" w:rsidRDefault="007E6354" w:rsidP="007E6354">
            <w:pPr>
              <w:rPr>
                <w:sz w:val="20"/>
                <w:szCs w:val="20"/>
              </w:rPr>
            </w:pPr>
            <w:r w:rsidRPr="007E6354">
              <w:rPr>
                <w:sz w:val="20"/>
                <w:szCs w:val="20"/>
              </w:rPr>
              <w:t>1,000 Gigabytes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2F0A27" w14:textId="77777777" w:rsidR="007E6354" w:rsidRPr="007E6354" w:rsidRDefault="007E6354" w:rsidP="007E6354">
            <w:pPr>
              <w:rPr>
                <w:sz w:val="20"/>
                <w:szCs w:val="20"/>
              </w:rPr>
            </w:pPr>
            <w:r w:rsidRPr="007E6354">
              <w:rPr>
                <w:sz w:val="20"/>
                <w:szCs w:val="20"/>
              </w:rPr>
              <w:t>all the X-rays in a large hospital</w:t>
            </w:r>
          </w:p>
        </w:tc>
      </w:tr>
      <w:tr w:rsidR="007E6354" w:rsidRPr="007E6354" w14:paraId="48D48839"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B825E9" w14:textId="77777777" w:rsidR="007E6354" w:rsidRPr="007E6354" w:rsidRDefault="007E6354" w:rsidP="007E6354">
            <w:pPr>
              <w:rPr>
                <w:sz w:val="20"/>
                <w:szCs w:val="20"/>
              </w:rPr>
            </w:pPr>
            <w:r w:rsidRPr="007E6354">
              <w:rPr>
                <w:sz w:val="20"/>
                <w:szCs w:val="20"/>
              </w:rPr>
              <w:t>Petabytes (PB)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932885" w14:textId="77777777" w:rsidR="007E6354" w:rsidRPr="007E6354" w:rsidRDefault="007E6354" w:rsidP="007E6354">
            <w:pPr>
              <w:rPr>
                <w:sz w:val="20"/>
                <w:szCs w:val="20"/>
              </w:rPr>
            </w:pPr>
            <w:r w:rsidRPr="007E6354">
              <w:rPr>
                <w:sz w:val="20"/>
                <w:szCs w:val="20"/>
              </w:rPr>
              <w:t>1,000 Terabytes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865E19" w14:textId="77777777" w:rsidR="007E6354" w:rsidRPr="007E6354" w:rsidRDefault="007E6354" w:rsidP="007E6354">
            <w:pPr>
              <w:rPr>
                <w:sz w:val="20"/>
                <w:szCs w:val="20"/>
              </w:rPr>
            </w:pPr>
            <w:r w:rsidRPr="007E6354">
              <w:rPr>
                <w:sz w:val="20"/>
                <w:szCs w:val="20"/>
              </w:rPr>
              <w:t>half the contents of all US academic research libraries</w:t>
            </w:r>
          </w:p>
        </w:tc>
      </w:tr>
      <w:tr w:rsidR="007E6354" w:rsidRPr="007E6354" w14:paraId="3BAEFE01"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AD3D1" w14:textId="77777777" w:rsidR="007E6354" w:rsidRPr="007E6354" w:rsidRDefault="007E6354" w:rsidP="007E6354">
            <w:pPr>
              <w:rPr>
                <w:sz w:val="20"/>
                <w:szCs w:val="20"/>
              </w:rPr>
            </w:pPr>
            <w:r w:rsidRPr="007E6354">
              <w:rPr>
                <w:sz w:val="20"/>
                <w:szCs w:val="20"/>
              </w:rPr>
              <w:t>Exabytes (EB)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1CBBFD" w14:textId="77777777" w:rsidR="007E6354" w:rsidRPr="007E6354" w:rsidRDefault="007E6354" w:rsidP="007E6354">
            <w:pPr>
              <w:rPr>
                <w:sz w:val="20"/>
                <w:szCs w:val="20"/>
              </w:rPr>
            </w:pPr>
            <w:r w:rsidRPr="007E6354">
              <w:rPr>
                <w:sz w:val="20"/>
                <w:szCs w:val="20"/>
              </w:rPr>
              <w:t>1,000 Petabytes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64A230" w14:textId="77777777" w:rsidR="007E6354" w:rsidRPr="007E6354" w:rsidRDefault="007E6354" w:rsidP="007E6354">
            <w:pPr>
              <w:rPr>
                <w:sz w:val="20"/>
                <w:szCs w:val="20"/>
              </w:rPr>
            </w:pPr>
            <w:r w:rsidRPr="007E6354">
              <w:rPr>
                <w:sz w:val="20"/>
                <w:szCs w:val="20"/>
              </w:rPr>
              <w:t>about one fifth of the words people have ever spoken</w:t>
            </w:r>
          </w:p>
        </w:tc>
      </w:tr>
      <w:tr w:rsidR="007E6354" w:rsidRPr="007E6354" w14:paraId="3B5EFEB6"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533BDD" w14:textId="77777777" w:rsidR="007E6354" w:rsidRPr="007E6354" w:rsidRDefault="007E6354" w:rsidP="007E6354">
            <w:pPr>
              <w:rPr>
                <w:sz w:val="20"/>
                <w:szCs w:val="20"/>
              </w:rPr>
            </w:pPr>
            <w:r w:rsidRPr="007E6354">
              <w:rPr>
                <w:sz w:val="20"/>
                <w:szCs w:val="20"/>
              </w:rPr>
              <w:t>Zettabytes (ZB)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2C5C68" w14:textId="77777777" w:rsidR="007E6354" w:rsidRPr="007E6354" w:rsidRDefault="007E6354" w:rsidP="007E6354">
            <w:pPr>
              <w:rPr>
                <w:sz w:val="20"/>
                <w:szCs w:val="20"/>
              </w:rPr>
            </w:pPr>
            <w:r w:rsidRPr="007E6354">
              <w:rPr>
                <w:sz w:val="20"/>
                <w:szCs w:val="20"/>
              </w:rPr>
              <w:t>1,000 Exabytes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1FACB" w14:textId="77777777" w:rsidR="007E6354" w:rsidRPr="007E6354" w:rsidRDefault="007E6354" w:rsidP="007E6354">
            <w:pPr>
              <w:rPr>
                <w:sz w:val="20"/>
                <w:szCs w:val="20"/>
              </w:rPr>
            </w:pPr>
            <w:r w:rsidRPr="007E6354">
              <w:rPr>
                <w:sz w:val="20"/>
                <w:szCs w:val="20"/>
              </w:rPr>
              <w:t>as much information as there are grains of sand on all the world’s beaches</w:t>
            </w:r>
          </w:p>
        </w:tc>
      </w:tr>
      <w:tr w:rsidR="007E6354" w:rsidRPr="007E6354" w14:paraId="109C9BA8"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E521A" w14:textId="77777777" w:rsidR="007E6354" w:rsidRPr="007E6354" w:rsidRDefault="007E6354" w:rsidP="007E6354">
            <w:pPr>
              <w:rPr>
                <w:sz w:val="20"/>
                <w:szCs w:val="20"/>
              </w:rPr>
            </w:pPr>
            <w:r w:rsidRPr="007E6354">
              <w:rPr>
                <w:sz w:val="20"/>
                <w:szCs w:val="20"/>
              </w:rPr>
              <w:t>Yottabytes (YB)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807BF3" w14:textId="77777777" w:rsidR="007E6354" w:rsidRPr="007E6354" w:rsidRDefault="007E6354" w:rsidP="007E6354">
            <w:pPr>
              <w:rPr>
                <w:sz w:val="20"/>
                <w:szCs w:val="20"/>
              </w:rPr>
            </w:pPr>
            <w:r w:rsidRPr="007E6354">
              <w:rPr>
                <w:sz w:val="20"/>
                <w:szCs w:val="20"/>
              </w:rPr>
              <w:t>1,000 Zettabytes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FDE35" w14:textId="77777777" w:rsidR="007E6354" w:rsidRPr="007E6354" w:rsidRDefault="007E6354" w:rsidP="007E6354">
            <w:pPr>
              <w:rPr>
                <w:sz w:val="20"/>
                <w:szCs w:val="20"/>
              </w:rPr>
            </w:pPr>
            <w:r w:rsidRPr="007E6354">
              <w:rPr>
                <w:sz w:val="20"/>
                <w:szCs w:val="20"/>
              </w:rPr>
              <w:t>as much information as there are atoms in 7,000 human bodies</w:t>
            </w:r>
          </w:p>
        </w:tc>
      </w:tr>
    </w:tbl>
    <w:p w14:paraId="3CFC43C0" w14:textId="77777777" w:rsidR="007E6354" w:rsidRDefault="007E6354" w:rsidP="005C0AC9"/>
    <w:p w14:paraId="374B97C6" w14:textId="393FB5C0" w:rsidR="00112F72" w:rsidRDefault="00112F72" w:rsidP="005C0AC9">
      <w:r w:rsidRPr="00112F72">
        <w:t>From Data to Insight</w:t>
      </w:r>
      <w:r>
        <w: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9762"/>
        <w:gridCol w:w="6438"/>
      </w:tblGrid>
      <w:tr w:rsidR="00112F72" w:rsidRPr="00112F72" w14:paraId="5CDD1F06" w14:textId="77777777" w:rsidTr="00112F72">
        <w:trPr>
          <w:tblHeader/>
        </w:trPr>
        <w:tc>
          <w:tcPr>
            <w:tcW w:w="0" w:type="auto"/>
            <w:tcBorders>
              <w:top w:val="single" w:sz="4" w:space="0" w:color="000000"/>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1FA29CBD" w14:textId="77777777" w:rsidR="00112F72" w:rsidRPr="00112F72" w:rsidRDefault="00112F72" w:rsidP="00112F72">
            <w:r w:rsidRPr="00112F72">
              <w:rPr>
                <w:b/>
                <w:bCs/>
                <w:i/>
                <w:iCs/>
              </w:rPr>
              <w:t>Data</w:t>
            </w:r>
          </w:p>
        </w:tc>
        <w:tc>
          <w:tcPr>
            <w:tcW w:w="0" w:type="auto"/>
            <w:tcBorders>
              <w:top w:val="single" w:sz="4" w:space="0" w:color="000000"/>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3C63D487" w14:textId="77777777" w:rsidR="00112F72" w:rsidRPr="00112F72" w:rsidRDefault="00112F72" w:rsidP="00112F72">
            <w:r w:rsidRPr="00112F72">
              <w:rPr>
                <w:b/>
                <w:bCs/>
                <w:i/>
                <w:iCs/>
              </w:rPr>
              <w:t>Information</w:t>
            </w:r>
          </w:p>
        </w:tc>
      </w:tr>
      <w:tr w:rsidR="00112F72" w:rsidRPr="00112F72" w14:paraId="0AA6F8A5"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FFFFFF"/>
            <w:tcMar>
              <w:top w:w="210" w:type="dxa"/>
              <w:left w:w="210" w:type="dxa"/>
              <w:bottom w:w="210" w:type="dxa"/>
              <w:right w:w="210" w:type="dxa"/>
            </w:tcMar>
            <w:vAlign w:val="center"/>
            <w:hideMark/>
          </w:tcPr>
          <w:p w14:paraId="29FC1D2C" w14:textId="77777777" w:rsidR="00112F72" w:rsidRPr="00112F72" w:rsidRDefault="00112F72" w:rsidP="00112F72">
            <w:r w:rsidRPr="00112F72">
              <w:t>Raw</w:t>
            </w:r>
          </w:p>
        </w:tc>
        <w:tc>
          <w:tcPr>
            <w:tcW w:w="0" w:type="auto"/>
            <w:tcBorders>
              <w:top w:val="single" w:sz="6" w:space="0" w:color="C8C8C8"/>
              <w:left w:val="single" w:sz="6" w:space="0" w:color="C8C8C8"/>
              <w:bottom w:val="single" w:sz="6" w:space="0" w:color="C8C8C8"/>
              <w:right w:val="single" w:sz="4" w:space="0" w:color="000000"/>
            </w:tcBorders>
            <w:shd w:val="clear" w:color="auto" w:fill="FFFFFF"/>
            <w:tcMar>
              <w:top w:w="210" w:type="dxa"/>
              <w:left w:w="210" w:type="dxa"/>
              <w:bottom w:w="210" w:type="dxa"/>
              <w:right w:w="210" w:type="dxa"/>
            </w:tcMar>
            <w:vAlign w:val="center"/>
            <w:hideMark/>
          </w:tcPr>
          <w:p w14:paraId="47F7DB5A" w14:textId="77777777" w:rsidR="00112F72" w:rsidRPr="00112F72" w:rsidRDefault="00112F72" w:rsidP="00112F72">
            <w:r w:rsidRPr="00112F72">
              <w:t>Processed</w:t>
            </w:r>
          </w:p>
        </w:tc>
      </w:tr>
      <w:tr w:rsidR="00112F72" w:rsidRPr="00112F72" w14:paraId="53B1A2FB"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429D8977" w14:textId="77777777" w:rsidR="00112F72" w:rsidRPr="00112F72" w:rsidRDefault="00112F72" w:rsidP="00112F72">
            <w:r w:rsidRPr="00112F72">
              <w:t>Items such as characters, words, pictures, and numbers that have no meaning in isolation</w:t>
            </w:r>
          </w:p>
        </w:tc>
        <w:tc>
          <w:tcPr>
            <w:tcW w:w="0" w:type="auto"/>
            <w:tcBorders>
              <w:top w:val="single" w:sz="6" w:space="0" w:color="C8C8C8"/>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30AF6490" w14:textId="77777777" w:rsidR="00112F72" w:rsidRPr="00112F72" w:rsidRDefault="00112F72" w:rsidP="00112F72">
            <w:r w:rsidRPr="00112F72">
              <w:t>Data that is organized and given context to have meaning</w:t>
            </w:r>
          </w:p>
        </w:tc>
      </w:tr>
      <w:tr w:rsidR="00112F72" w:rsidRPr="00112F72" w14:paraId="56772A03"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FFFFFF"/>
            <w:tcMar>
              <w:top w:w="210" w:type="dxa"/>
              <w:left w:w="210" w:type="dxa"/>
              <w:bottom w:w="210" w:type="dxa"/>
              <w:right w:w="210" w:type="dxa"/>
            </w:tcMar>
            <w:vAlign w:val="center"/>
            <w:hideMark/>
          </w:tcPr>
          <w:p w14:paraId="60C659A3" w14:textId="77777777" w:rsidR="00112F72" w:rsidRPr="00112F72" w:rsidRDefault="00112F72" w:rsidP="00112F72">
            <w:r w:rsidRPr="00112F72">
              <w:t>No analysis dependency</w:t>
            </w:r>
          </w:p>
        </w:tc>
        <w:tc>
          <w:tcPr>
            <w:tcW w:w="0" w:type="auto"/>
            <w:tcBorders>
              <w:top w:val="single" w:sz="6" w:space="0" w:color="C8C8C8"/>
              <w:left w:val="single" w:sz="6" w:space="0" w:color="C8C8C8"/>
              <w:bottom w:val="single" w:sz="6" w:space="0" w:color="C8C8C8"/>
              <w:right w:val="single" w:sz="4" w:space="0" w:color="000000"/>
            </w:tcBorders>
            <w:shd w:val="clear" w:color="auto" w:fill="FFFFFF"/>
            <w:tcMar>
              <w:top w:w="210" w:type="dxa"/>
              <w:left w:w="210" w:type="dxa"/>
              <w:bottom w:w="210" w:type="dxa"/>
              <w:right w:w="210" w:type="dxa"/>
            </w:tcMar>
            <w:vAlign w:val="center"/>
            <w:hideMark/>
          </w:tcPr>
          <w:p w14:paraId="3469B5FB" w14:textId="77777777" w:rsidR="00112F72" w:rsidRPr="00112F72" w:rsidRDefault="00112F72" w:rsidP="00112F72">
            <w:r w:rsidRPr="00112F72">
              <w:t>Dependent on the analysis of data</w:t>
            </w:r>
          </w:p>
        </w:tc>
      </w:tr>
      <w:tr w:rsidR="00112F72" w:rsidRPr="00112F72" w14:paraId="36796DCD"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6199C9D6" w14:textId="77777777" w:rsidR="00112F72" w:rsidRDefault="00112F72" w:rsidP="00112F72"/>
          <w:p w14:paraId="4CC718C2" w14:textId="77777777" w:rsidR="00112F72" w:rsidRDefault="00112F72" w:rsidP="00112F72"/>
          <w:p w14:paraId="61093637" w14:textId="1BD94EF8" w:rsidR="00112F72" w:rsidRDefault="00112F72" w:rsidP="00112F72">
            <w:r w:rsidRPr="00112F72">
              <w:lastRenderedPageBreak/>
              <w:drawing>
                <wp:inline distT="0" distB="0" distL="0" distR="0" wp14:anchorId="7AB74519" wp14:editId="4F8B1346">
                  <wp:extent cx="3333750" cy="950119"/>
                  <wp:effectExtent l="0" t="0" r="0" b="2540"/>
                  <wp:docPr id="10814362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6202"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9672" cy="954657"/>
                          </a:xfrm>
                          <a:prstGeom prst="rect">
                            <a:avLst/>
                          </a:prstGeom>
                          <a:noFill/>
                          <a:ln>
                            <a:noFill/>
                          </a:ln>
                        </pic:spPr>
                      </pic:pic>
                    </a:graphicData>
                  </a:graphic>
                </wp:inline>
              </w:drawing>
            </w:r>
          </w:p>
          <w:p w14:paraId="34938809" w14:textId="14AAC7F6" w:rsidR="00112F72" w:rsidRPr="00112F72" w:rsidRDefault="00112F72" w:rsidP="00112F72">
            <w:r w:rsidRPr="00112F72">
              <w:t>Unorganized and not dependent on context</w:t>
            </w:r>
          </w:p>
        </w:tc>
        <w:tc>
          <w:tcPr>
            <w:tcW w:w="0" w:type="auto"/>
            <w:tcBorders>
              <w:top w:val="single" w:sz="6" w:space="0" w:color="C8C8C8"/>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1AD69E09" w14:textId="77777777" w:rsidR="00112F72" w:rsidRPr="00112F72" w:rsidRDefault="00112F72" w:rsidP="00112F72">
            <w:r w:rsidRPr="00112F72">
              <w:lastRenderedPageBreak/>
              <w:t>Organized and dependent on context</w:t>
            </w:r>
          </w:p>
        </w:tc>
      </w:tr>
      <w:tr w:rsidR="00112F72" w:rsidRPr="00112F72" w14:paraId="75F20405" w14:textId="77777777" w:rsidTr="00112F72">
        <w:tc>
          <w:tcPr>
            <w:tcW w:w="0" w:type="auto"/>
            <w:tcBorders>
              <w:top w:val="single" w:sz="6" w:space="0" w:color="C8C8C8"/>
              <w:left w:val="single" w:sz="4" w:space="0" w:color="000000"/>
              <w:bottom w:val="single" w:sz="4" w:space="0" w:color="000000"/>
              <w:right w:val="single" w:sz="6" w:space="0" w:color="C8C8C8"/>
            </w:tcBorders>
            <w:shd w:val="clear" w:color="auto" w:fill="FFFFFF"/>
            <w:tcMar>
              <w:top w:w="210" w:type="dxa"/>
              <w:left w:w="210" w:type="dxa"/>
              <w:bottom w:w="210" w:type="dxa"/>
              <w:right w:w="210" w:type="dxa"/>
            </w:tcMar>
            <w:vAlign w:val="center"/>
            <w:hideMark/>
          </w:tcPr>
          <w:p w14:paraId="6B762397" w14:textId="77777777" w:rsidR="00112F72" w:rsidRPr="00112F72" w:rsidRDefault="00112F72" w:rsidP="00112F72">
            <w:r w:rsidRPr="00112F72">
              <w:t>Not typically useful alone</w:t>
            </w:r>
          </w:p>
        </w:tc>
        <w:tc>
          <w:tcPr>
            <w:tcW w:w="0" w:type="auto"/>
            <w:tcBorders>
              <w:top w:val="single" w:sz="6" w:space="0" w:color="C8C8C8"/>
              <w:left w:val="single" w:sz="6" w:space="0" w:color="C8C8C8"/>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2E405B0E" w14:textId="77777777" w:rsidR="00112F72" w:rsidRPr="00112F72" w:rsidRDefault="00112F72" w:rsidP="00112F72">
            <w:r w:rsidRPr="00112F72">
              <w:t>Useful alone</w:t>
            </w:r>
          </w:p>
        </w:tc>
      </w:tr>
    </w:tbl>
    <w:p w14:paraId="2C4900A0" w14:textId="77777777" w:rsidR="00112F72" w:rsidRDefault="00112F72" w:rsidP="005C0AC9"/>
    <w:p w14:paraId="61EEADEC" w14:textId="44DF51C7" w:rsidR="00E107C0" w:rsidRDefault="00E107C0" w:rsidP="005C0AC9">
      <w:r w:rsidRPr="00E107C0">
        <w:t>The Role of Data in the 21st Century</w:t>
      </w:r>
      <w:r>
        <w:t>:</w:t>
      </w:r>
    </w:p>
    <w:p w14:paraId="2D6F5F5B" w14:textId="71C2F1F2" w:rsidR="00E107C0" w:rsidRDefault="00E107C0" w:rsidP="005C0AC9">
      <w:r w:rsidRPr="00E107C0">
        <w:t>Data-Driven Decision-Making</w:t>
      </w:r>
      <w:r>
        <w:t>:</w:t>
      </w:r>
    </w:p>
    <w:p w14:paraId="56BB1849" w14:textId="129C5CF8" w:rsidR="00E107C0" w:rsidRDefault="0061758C" w:rsidP="0061758C">
      <w:pPr>
        <w:pStyle w:val="ListParagraph"/>
        <w:numPr>
          <w:ilvl w:val="0"/>
          <w:numId w:val="1"/>
        </w:numPr>
      </w:pPr>
      <w:r w:rsidRPr="0061758C">
        <w:t xml:space="preserve">data must be organized and </w:t>
      </w:r>
      <w:r w:rsidRPr="0061758C">
        <w:t>analysed</w:t>
      </w:r>
      <w:r w:rsidRPr="0061758C">
        <w:t xml:space="preserve"> to understand patterns, make decisions, identify problems, and feed other systems.</w:t>
      </w:r>
    </w:p>
    <w:p w14:paraId="14762F70" w14:textId="493C8782" w:rsidR="0061758C" w:rsidRDefault="0061758C" w:rsidP="0061758C">
      <w:r w:rsidRPr="0061758C">
        <w:rPr>
          <w:b/>
          <w:bCs/>
          <w:color w:val="FF0000"/>
        </w:rPr>
        <w:t>Data ownership</w:t>
      </w:r>
      <w:r w:rsidRPr="0061758C">
        <w:rPr>
          <w:color w:val="FF0000"/>
        </w:rPr>
        <w:t xml:space="preserve"> </w:t>
      </w:r>
      <w:r w:rsidRPr="0061758C">
        <w:t>describes the rights a person, team, or organization has over one or more data sets.</w:t>
      </w:r>
    </w:p>
    <w:p w14:paraId="2E439F54" w14:textId="0541EE95" w:rsidR="0061758C" w:rsidRDefault="0061758C" w:rsidP="0061758C">
      <w:r w:rsidRPr="0061758C">
        <w:t>Data Architecture</w:t>
      </w:r>
      <w:r>
        <w:t>:</w:t>
      </w:r>
    </w:p>
    <w:p w14:paraId="06B833A2" w14:textId="5F22F73D" w:rsidR="0061758C" w:rsidRDefault="001E4908" w:rsidP="001E4908">
      <w:pPr>
        <w:pStyle w:val="ListParagraph"/>
        <w:numPr>
          <w:ilvl w:val="0"/>
          <w:numId w:val="1"/>
        </w:numPr>
      </w:pPr>
      <w:r w:rsidRPr="001E4908">
        <w:rPr>
          <w:b/>
          <w:bCs/>
          <w:color w:val="FF0000"/>
        </w:rPr>
        <w:t>data architecture</w:t>
      </w:r>
      <w:r w:rsidRPr="001E4908">
        <w:rPr>
          <w:color w:val="FF0000"/>
        </w:rPr>
        <w:t xml:space="preserve"> </w:t>
      </w:r>
      <w:r w:rsidRPr="001E4908">
        <w:t xml:space="preserve">is the </w:t>
      </w:r>
      <w:proofErr w:type="gramStart"/>
      <w:r w:rsidRPr="001E4908">
        <w:t>manner in which</w:t>
      </w:r>
      <w:proofErr w:type="gramEnd"/>
      <w:r w:rsidRPr="001E4908">
        <w:t xml:space="preserve"> data design and management decisions are being made to align with </w:t>
      </w:r>
      <w:r>
        <w:t>E</w:t>
      </w:r>
      <w:r w:rsidRPr="001E4908">
        <w:t xml:space="preserve">nterprise </w:t>
      </w:r>
      <w:r>
        <w:t>A</w:t>
      </w:r>
      <w:r w:rsidRPr="001E4908">
        <w:t>rchitecture</w:t>
      </w:r>
      <w:r>
        <w:t xml:space="preserve"> (</w:t>
      </w:r>
      <w:r w:rsidRPr="001E4908">
        <w:t>EA</w:t>
      </w:r>
      <w:r>
        <w:t>)</w:t>
      </w:r>
      <w:r w:rsidRPr="001E4908">
        <w:t xml:space="preserve"> and in turn, with the business</w:t>
      </w:r>
      <w:r>
        <w:t>.</w:t>
      </w:r>
    </w:p>
    <w:p w14:paraId="0F495981" w14:textId="13442527" w:rsidR="001E4908" w:rsidRDefault="001E4908" w:rsidP="001E4908">
      <w:pPr>
        <w:pStyle w:val="ListParagraph"/>
        <w:numPr>
          <w:ilvl w:val="0"/>
          <w:numId w:val="1"/>
        </w:numPr>
      </w:pPr>
      <w:r w:rsidRPr="001E4908">
        <w:t>data architecture is the agreed blueprint for how data supports an organization’s functions and technologies.</w:t>
      </w:r>
    </w:p>
    <w:p w14:paraId="712645BC" w14:textId="77777777" w:rsidR="001E4908" w:rsidRDefault="001E4908" w:rsidP="001E4908">
      <w:pPr>
        <w:pStyle w:val="ListParagraph"/>
      </w:pPr>
    </w:p>
    <w:p w14:paraId="3AD4E8F2" w14:textId="18AF3D4E" w:rsidR="001E4908" w:rsidRDefault="001E4908" w:rsidP="001E4908">
      <w:pPr>
        <w:pStyle w:val="ListParagraph"/>
        <w:numPr>
          <w:ilvl w:val="0"/>
          <w:numId w:val="2"/>
        </w:numPr>
      </w:pPr>
      <w:r w:rsidRPr="001E4908">
        <w:t>high-quality enterprises and data architectures both exist, organizations run more smoothly, and they can transform as conditions (either internally or in the marketplace) dictate. The absence or poor implementation of both can stifle digital transformation efforts, create high levels of complexity, and increase the possibility of failure.</w:t>
      </w:r>
    </w:p>
    <w:p w14:paraId="01E062ED" w14:textId="6A0806E3" w:rsidR="001E4908" w:rsidRDefault="008B1F54" w:rsidP="001E4908">
      <w:r w:rsidRPr="008B1F54">
        <w:rPr>
          <w:b/>
          <w:bCs/>
        </w:rPr>
        <w:t>data architecture</w:t>
      </w:r>
      <w:r w:rsidRPr="008B1F54">
        <w:t xml:space="preserve"> considers and typically supports</w:t>
      </w:r>
      <w:r>
        <w:t>:</w:t>
      </w:r>
    </w:p>
    <w:p w14:paraId="5C75E1F7" w14:textId="77777777" w:rsidR="008B1F54" w:rsidRDefault="008B1F54" w:rsidP="008B1F54">
      <w:pPr>
        <w:pStyle w:val="ListParagraph"/>
        <w:numPr>
          <w:ilvl w:val="0"/>
          <w:numId w:val="2"/>
        </w:numPr>
      </w:pPr>
      <w:r>
        <w:t>Ensuring data is available to those who need it and are approved to use it.</w:t>
      </w:r>
    </w:p>
    <w:p w14:paraId="316AB804" w14:textId="77777777" w:rsidR="008B1F54" w:rsidRDefault="008B1F54" w:rsidP="008B1F54">
      <w:pPr>
        <w:pStyle w:val="ListParagraph"/>
        <w:numPr>
          <w:ilvl w:val="0"/>
          <w:numId w:val="2"/>
        </w:numPr>
      </w:pPr>
      <w:r>
        <w:t>Reducing the complexity of accessing and utilizing data</w:t>
      </w:r>
    </w:p>
    <w:p w14:paraId="662251E2" w14:textId="77777777" w:rsidR="008B1F54" w:rsidRDefault="008B1F54" w:rsidP="008B1F54">
      <w:pPr>
        <w:pStyle w:val="ListParagraph"/>
        <w:numPr>
          <w:ilvl w:val="0"/>
          <w:numId w:val="2"/>
        </w:numPr>
      </w:pPr>
      <w:r>
        <w:t>Creating and enforcing data protections to support organizational policies and obligations.</w:t>
      </w:r>
    </w:p>
    <w:p w14:paraId="4DAC4289" w14:textId="77777777" w:rsidR="008B1F54" w:rsidRDefault="008B1F54" w:rsidP="008B1F54">
      <w:pPr>
        <w:pStyle w:val="ListParagraph"/>
        <w:numPr>
          <w:ilvl w:val="0"/>
          <w:numId w:val="2"/>
        </w:numPr>
      </w:pPr>
      <w:r>
        <w:t>Adopting and agreeing to data standards</w:t>
      </w:r>
    </w:p>
    <w:p w14:paraId="1A4BD5CA" w14:textId="22305929" w:rsidR="008B1F54" w:rsidRDefault="008B1F54" w:rsidP="008B1F54">
      <w:pPr>
        <w:pStyle w:val="ListParagraph"/>
        <w:numPr>
          <w:ilvl w:val="0"/>
          <w:numId w:val="2"/>
        </w:numPr>
      </w:pPr>
      <w:r>
        <w:t xml:space="preserve">Optimizing the flow and efficient use of data to eliminate bottlenecks and </w:t>
      </w:r>
      <w:r>
        <w:t>duplication.</w:t>
      </w:r>
    </w:p>
    <w:p w14:paraId="330C695E" w14:textId="34CA2190" w:rsidR="008B1F54" w:rsidRDefault="008B1F54" w:rsidP="008B1F54">
      <w:r w:rsidRPr="008B1F54">
        <w:t>The Lifecycle of Data</w:t>
      </w:r>
      <w:r>
        <w:t>:</w:t>
      </w:r>
    </w:p>
    <w:p w14:paraId="5E754ECA" w14:textId="77777777" w:rsidR="008B1F54" w:rsidRPr="00F3787F" w:rsidRDefault="008B1F54" w:rsidP="008B1F54"/>
    <w:sectPr w:rsidR="008B1F54" w:rsidRPr="00F3787F" w:rsidSect="00FD5AD8">
      <w:pgSz w:w="20636" w:h="14570" w:orient="landscape"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930"/>
    <w:multiLevelType w:val="hybridMultilevel"/>
    <w:tmpl w:val="0B949112"/>
    <w:lvl w:ilvl="0" w:tplc="A6CA21E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280234"/>
    <w:multiLevelType w:val="hybridMultilevel"/>
    <w:tmpl w:val="49303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54883471">
    <w:abstractNumId w:val="0"/>
  </w:num>
  <w:num w:numId="2" w16cid:durableId="570431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2E"/>
    <w:rsid w:val="00112F72"/>
    <w:rsid w:val="001E4908"/>
    <w:rsid w:val="0055212E"/>
    <w:rsid w:val="005C0AC9"/>
    <w:rsid w:val="005C0B93"/>
    <w:rsid w:val="0061758C"/>
    <w:rsid w:val="007E6354"/>
    <w:rsid w:val="008B1F54"/>
    <w:rsid w:val="00B23346"/>
    <w:rsid w:val="00E107C0"/>
    <w:rsid w:val="00F3787F"/>
    <w:rsid w:val="00FD5A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AEF0"/>
  <w15:chartTrackingRefBased/>
  <w15:docId w15:val="{DC8C387A-B3EE-466E-9B0D-793EE761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2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2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12E"/>
    <w:rPr>
      <w:rFonts w:eastAsiaTheme="majorEastAsia" w:cstheme="majorBidi"/>
      <w:color w:val="272727" w:themeColor="text1" w:themeTint="D8"/>
    </w:rPr>
  </w:style>
  <w:style w:type="paragraph" w:styleId="Title">
    <w:name w:val="Title"/>
    <w:basedOn w:val="Normal"/>
    <w:next w:val="Normal"/>
    <w:link w:val="TitleChar"/>
    <w:uiPriority w:val="10"/>
    <w:qFormat/>
    <w:rsid w:val="00552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12E"/>
    <w:pPr>
      <w:spacing w:before="160"/>
      <w:jc w:val="center"/>
    </w:pPr>
    <w:rPr>
      <w:i/>
      <w:iCs/>
      <w:color w:val="404040" w:themeColor="text1" w:themeTint="BF"/>
    </w:rPr>
  </w:style>
  <w:style w:type="character" w:customStyle="1" w:styleId="QuoteChar">
    <w:name w:val="Quote Char"/>
    <w:basedOn w:val="DefaultParagraphFont"/>
    <w:link w:val="Quote"/>
    <w:uiPriority w:val="29"/>
    <w:rsid w:val="0055212E"/>
    <w:rPr>
      <w:i/>
      <w:iCs/>
      <w:color w:val="404040" w:themeColor="text1" w:themeTint="BF"/>
    </w:rPr>
  </w:style>
  <w:style w:type="paragraph" w:styleId="ListParagraph">
    <w:name w:val="List Paragraph"/>
    <w:basedOn w:val="Normal"/>
    <w:uiPriority w:val="34"/>
    <w:qFormat/>
    <w:rsid w:val="0055212E"/>
    <w:pPr>
      <w:ind w:left="720"/>
      <w:contextualSpacing/>
    </w:pPr>
  </w:style>
  <w:style w:type="character" w:styleId="IntenseEmphasis">
    <w:name w:val="Intense Emphasis"/>
    <w:basedOn w:val="DefaultParagraphFont"/>
    <w:uiPriority w:val="21"/>
    <w:qFormat/>
    <w:rsid w:val="0055212E"/>
    <w:rPr>
      <w:i/>
      <w:iCs/>
      <w:color w:val="2F5496" w:themeColor="accent1" w:themeShade="BF"/>
    </w:rPr>
  </w:style>
  <w:style w:type="paragraph" w:styleId="IntenseQuote">
    <w:name w:val="Intense Quote"/>
    <w:basedOn w:val="Normal"/>
    <w:next w:val="Normal"/>
    <w:link w:val="IntenseQuoteChar"/>
    <w:uiPriority w:val="30"/>
    <w:qFormat/>
    <w:rsid w:val="00552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12E"/>
    <w:rPr>
      <w:i/>
      <w:iCs/>
      <w:color w:val="2F5496" w:themeColor="accent1" w:themeShade="BF"/>
    </w:rPr>
  </w:style>
  <w:style w:type="character" w:styleId="IntenseReference">
    <w:name w:val="Intense Reference"/>
    <w:basedOn w:val="DefaultParagraphFont"/>
    <w:uiPriority w:val="32"/>
    <w:qFormat/>
    <w:rsid w:val="005521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1523">
      <w:bodyDiv w:val="1"/>
      <w:marLeft w:val="0"/>
      <w:marRight w:val="0"/>
      <w:marTop w:val="0"/>
      <w:marBottom w:val="0"/>
      <w:divBdr>
        <w:top w:val="none" w:sz="0" w:space="0" w:color="auto"/>
        <w:left w:val="none" w:sz="0" w:space="0" w:color="auto"/>
        <w:bottom w:val="none" w:sz="0" w:space="0" w:color="auto"/>
        <w:right w:val="none" w:sz="0" w:space="0" w:color="auto"/>
      </w:divBdr>
    </w:div>
    <w:div w:id="291711452">
      <w:bodyDiv w:val="1"/>
      <w:marLeft w:val="0"/>
      <w:marRight w:val="0"/>
      <w:marTop w:val="0"/>
      <w:marBottom w:val="0"/>
      <w:divBdr>
        <w:top w:val="none" w:sz="0" w:space="0" w:color="auto"/>
        <w:left w:val="none" w:sz="0" w:space="0" w:color="auto"/>
        <w:bottom w:val="none" w:sz="0" w:space="0" w:color="auto"/>
        <w:right w:val="none" w:sz="0" w:space="0" w:color="auto"/>
      </w:divBdr>
    </w:div>
    <w:div w:id="861628432">
      <w:bodyDiv w:val="1"/>
      <w:marLeft w:val="0"/>
      <w:marRight w:val="0"/>
      <w:marTop w:val="0"/>
      <w:marBottom w:val="0"/>
      <w:divBdr>
        <w:top w:val="none" w:sz="0" w:space="0" w:color="auto"/>
        <w:left w:val="none" w:sz="0" w:space="0" w:color="auto"/>
        <w:bottom w:val="none" w:sz="0" w:space="0" w:color="auto"/>
        <w:right w:val="none" w:sz="0" w:space="0" w:color="auto"/>
      </w:divBdr>
    </w:div>
    <w:div w:id="1277251004">
      <w:bodyDiv w:val="1"/>
      <w:marLeft w:val="0"/>
      <w:marRight w:val="0"/>
      <w:marTop w:val="0"/>
      <w:marBottom w:val="0"/>
      <w:divBdr>
        <w:top w:val="none" w:sz="0" w:space="0" w:color="auto"/>
        <w:left w:val="none" w:sz="0" w:space="0" w:color="auto"/>
        <w:bottom w:val="none" w:sz="0" w:space="0" w:color="auto"/>
        <w:right w:val="none" w:sz="0" w:space="0" w:color="auto"/>
      </w:divBdr>
    </w:div>
    <w:div w:id="148943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2</cp:revision>
  <dcterms:created xsi:type="dcterms:W3CDTF">2024-05-03T06:47:00Z</dcterms:created>
  <dcterms:modified xsi:type="dcterms:W3CDTF">2024-05-03T10:07:00Z</dcterms:modified>
</cp:coreProperties>
</file>