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5BB32" w14:textId="6365DD0F" w:rsidR="005C0B93" w:rsidRDefault="00F3787F">
      <w:pPr>
        <w:rPr>
          <w:b/>
          <w:bCs/>
        </w:rPr>
      </w:pPr>
      <w:r w:rsidRPr="00F3787F">
        <w:rPr>
          <w:b/>
          <w:bCs/>
        </w:rPr>
        <w:t>Defining Data</w:t>
      </w:r>
    </w:p>
    <w:p w14:paraId="4FC3BEAD" w14:textId="07E826CC" w:rsidR="00F3787F" w:rsidRDefault="00B23346" w:rsidP="00B23346">
      <w:pPr>
        <w:pStyle w:val="ListParagraph"/>
        <w:numPr>
          <w:ilvl w:val="0"/>
          <w:numId w:val="1"/>
        </w:numPr>
      </w:pPr>
      <w:r w:rsidRPr="00B23346">
        <w:t xml:space="preserve">Data refers to collections of digitally stored units, in other words, stuff that is kept on a computing </w:t>
      </w:r>
      <w:proofErr w:type="gramStart"/>
      <w:r w:rsidRPr="00B23346">
        <w:t>device</w:t>
      </w:r>
      <w:proofErr w:type="gramEnd"/>
    </w:p>
    <w:p w14:paraId="5AF70172" w14:textId="1D1288AB" w:rsidR="00B23346" w:rsidRPr="00B23346" w:rsidRDefault="00B23346" w:rsidP="00B23346">
      <w:pPr>
        <w:pStyle w:val="ListParagraph"/>
        <w:numPr>
          <w:ilvl w:val="0"/>
          <w:numId w:val="1"/>
        </w:numPr>
      </w:pPr>
      <w:r w:rsidRPr="00B23346">
        <w:t>Single units of data are traditionally referred to as</w:t>
      </w:r>
      <w:r w:rsidRPr="00B23346">
        <w:rPr>
          <w:color w:val="FF0000"/>
        </w:rPr>
        <w:t xml:space="preserve"> </w:t>
      </w:r>
      <w:proofErr w:type="gramStart"/>
      <w:r w:rsidRPr="00B23346">
        <w:rPr>
          <w:b/>
          <w:bCs/>
          <w:color w:val="FF0000"/>
        </w:rPr>
        <w:t>datum</w:t>
      </w:r>
      <w:proofErr w:type="gramEnd"/>
    </w:p>
    <w:p w14:paraId="2484552B" w14:textId="6CDA610B" w:rsidR="00B23346" w:rsidRDefault="00B23346" w:rsidP="00B23346">
      <w:r>
        <w:t>Categories of Data:</w:t>
      </w:r>
    </w:p>
    <w:p w14:paraId="7F6689EC" w14:textId="77777777" w:rsidR="00B23346" w:rsidRDefault="00B23346" w:rsidP="00B23346">
      <w:pPr>
        <w:pStyle w:val="ListParagraph"/>
        <w:numPr>
          <w:ilvl w:val="0"/>
          <w:numId w:val="1"/>
        </w:numPr>
      </w:pPr>
      <w:r w:rsidRPr="00B23346">
        <w:rPr>
          <w:b/>
          <w:bCs/>
          <w:color w:val="FF0000"/>
        </w:rPr>
        <w:t>Structured:</w:t>
      </w:r>
      <w:r w:rsidRPr="00B23346">
        <w:rPr>
          <w:color w:val="FF0000"/>
        </w:rPr>
        <w:t xml:space="preserve"> </w:t>
      </w:r>
      <w:r>
        <w:t>Data that has been formatted to a set structure; each data unit fits nicely into a table in a database. It’s ready for analysis. Examples include first name, last name, and phone number.</w:t>
      </w:r>
    </w:p>
    <w:p w14:paraId="1BC62E54" w14:textId="77777777" w:rsidR="00B23346" w:rsidRDefault="00B23346" w:rsidP="00B23346">
      <w:pPr>
        <w:pStyle w:val="ListParagraph"/>
        <w:numPr>
          <w:ilvl w:val="0"/>
          <w:numId w:val="1"/>
        </w:numPr>
      </w:pPr>
      <w:r w:rsidRPr="00B23346">
        <w:rPr>
          <w:b/>
          <w:bCs/>
          <w:color w:val="FF0000"/>
        </w:rPr>
        <w:t>Unstructured:</w:t>
      </w:r>
      <w:r w:rsidRPr="00B23346">
        <w:rPr>
          <w:color w:val="FF0000"/>
        </w:rPr>
        <w:t xml:space="preserve"> </w:t>
      </w:r>
      <w:r>
        <w:t>Data that are stored in a native format must be processed to be used. Further work is required to enable analysis. Examples include email content and social media posts.</w:t>
      </w:r>
    </w:p>
    <w:p w14:paraId="2763C3CC" w14:textId="07B3EAA1" w:rsidR="00B23346" w:rsidRDefault="00B23346" w:rsidP="00B23346">
      <w:pPr>
        <w:pStyle w:val="ListParagraph"/>
        <w:numPr>
          <w:ilvl w:val="0"/>
          <w:numId w:val="1"/>
        </w:numPr>
      </w:pPr>
      <w:r w:rsidRPr="00B23346">
        <w:rPr>
          <w:b/>
          <w:bCs/>
          <w:color w:val="FF0000"/>
        </w:rPr>
        <w:t>Semi-structured:</w:t>
      </w:r>
      <w:r w:rsidRPr="00B23346">
        <w:rPr>
          <w:color w:val="FF0000"/>
        </w:rPr>
        <w:t xml:space="preserve"> </w:t>
      </w:r>
      <w:r>
        <w:t xml:space="preserve">Data that contains additional information to enable the native format to be searched and </w:t>
      </w:r>
      <w:r w:rsidR="007E6354">
        <w:t>analysed</w:t>
      </w:r>
      <w:r>
        <w:t>.</w:t>
      </w:r>
    </w:p>
    <w:p w14:paraId="0CEA14B0" w14:textId="503D9809" w:rsidR="005C0AC9" w:rsidRDefault="005C0AC9" w:rsidP="005C0AC9">
      <w:r w:rsidRPr="005C0AC9">
        <w:t>The Zettabyte Era</w:t>
      </w:r>
      <w:r>
        <w: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8809"/>
        <w:gridCol w:w="7391"/>
      </w:tblGrid>
      <w:tr w:rsidR="007E6354" w:rsidRPr="007E6354" w14:paraId="7E67BFCB"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6B1934FB" w14:textId="77777777" w:rsidR="007E6354" w:rsidRPr="007E6354" w:rsidRDefault="007E6354" w:rsidP="007E6354">
            <w:r w:rsidRPr="007E6354">
              <w:t>8 bits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4112843C" w14:textId="77777777" w:rsidR="007E6354" w:rsidRPr="007E6354" w:rsidRDefault="007E6354" w:rsidP="007E6354">
            <w:r w:rsidRPr="007E6354">
              <w:t>1 byte</w:t>
            </w:r>
          </w:p>
        </w:tc>
      </w:tr>
      <w:tr w:rsidR="007E6354" w:rsidRPr="007E6354" w14:paraId="578B0DD2"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6D35D251" w14:textId="77777777" w:rsidR="007E6354" w:rsidRPr="007E6354" w:rsidRDefault="007E6354" w:rsidP="007E6354">
            <w:r w:rsidRPr="007E6354">
              <w:t>1024 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44D26C21" w14:textId="77777777" w:rsidR="007E6354" w:rsidRPr="007E6354" w:rsidRDefault="007E6354" w:rsidP="007E6354">
            <w:r w:rsidRPr="007E6354">
              <w:t>1 kilobyte</w:t>
            </w:r>
          </w:p>
        </w:tc>
      </w:tr>
      <w:tr w:rsidR="007E6354" w:rsidRPr="007E6354" w14:paraId="159712F7"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0C9E1758" w14:textId="77777777" w:rsidR="007E6354" w:rsidRPr="007E6354" w:rsidRDefault="007E6354" w:rsidP="007E6354">
            <w:r w:rsidRPr="007E6354">
              <w:t>1024 kilobytes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27F24D95" w14:textId="77777777" w:rsidR="007E6354" w:rsidRPr="007E6354" w:rsidRDefault="007E6354" w:rsidP="007E6354">
            <w:r w:rsidRPr="007E6354">
              <w:t>1 megabyte</w:t>
            </w:r>
          </w:p>
        </w:tc>
      </w:tr>
      <w:tr w:rsidR="007E6354" w:rsidRPr="007E6354" w14:paraId="2663184F"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5FBF4C4B" w14:textId="77777777" w:rsidR="007E6354" w:rsidRPr="007E6354" w:rsidRDefault="007E6354" w:rsidP="007E6354">
            <w:r w:rsidRPr="007E6354">
              <w:t>1024 megabytes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48DECCC9" w14:textId="77777777" w:rsidR="007E6354" w:rsidRPr="007E6354" w:rsidRDefault="007E6354" w:rsidP="007E6354">
            <w:r w:rsidRPr="007E6354">
              <w:t>1 gigabyte</w:t>
            </w:r>
          </w:p>
        </w:tc>
      </w:tr>
      <w:tr w:rsidR="007E6354" w:rsidRPr="007E6354" w14:paraId="1772ED3A"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42A847A5" w14:textId="77777777" w:rsidR="007E6354" w:rsidRPr="007E6354" w:rsidRDefault="007E6354" w:rsidP="007E6354">
            <w:r w:rsidRPr="007E6354">
              <w:t>1024 gigabytes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4CD16094" w14:textId="77777777" w:rsidR="007E6354" w:rsidRPr="007E6354" w:rsidRDefault="007E6354" w:rsidP="007E6354">
            <w:r w:rsidRPr="007E6354">
              <w:t>1 terabyte</w:t>
            </w:r>
          </w:p>
        </w:tc>
      </w:tr>
      <w:tr w:rsidR="007E6354" w:rsidRPr="007E6354" w14:paraId="307958D6"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2F038D48" w14:textId="77777777" w:rsidR="007E6354" w:rsidRPr="007E6354" w:rsidRDefault="007E6354" w:rsidP="007E6354">
            <w:r w:rsidRPr="007E6354">
              <w:t>1024 terabytes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364FDA60" w14:textId="77777777" w:rsidR="007E6354" w:rsidRPr="007E6354" w:rsidRDefault="007E6354" w:rsidP="007E6354">
            <w:r w:rsidRPr="007E6354">
              <w:t>1 petabyte</w:t>
            </w:r>
          </w:p>
        </w:tc>
      </w:tr>
      <w:tr w:rsidR="007E6354" w:rsidRPr="007E6354" w14:paraId="38D4E1F8"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3A51D9EB" w14:textId="77777777" w:rsidR="007E6354" w:rsidRPr="007E6354" w:rsidRDefault="007E6354" w:rsidP="007E6354">
            <w:r w:rsidRPr="007E6354">
              <w:t>1024 petabytes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7121CD7B" w14:textId="77777777" w:rsidR="007E6354" w:rsidRPr="007E6354" w:rsidRDefault="007E6354" w:rsidP="007E6354">
            <w:r w:rsidRPr="007E6354">
              <w:t>1 exabyte</w:t>
            </w:r>
          </w:p>
        </w:tc>
      </w:tr>
      <w:tr w:rsidR="007E6354" w:rsidRPr="007E6354" w14:paraId="070B5B05" w14:textId="77777777" w:rsidTr="007E6354">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59EDAB5A" w14:textId="77777777" w:rsidR="007E6354" w:rsidRPr="007E6354" w:rsidRDefault="007E6354" w:rsidP="007E6354">
            <w:r w:rsidRPr="007E6354">
              <w:t>1024 exabytes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0DD387BF" w14:textId="77777777" w:rsidR="007E6354" w:rsidRPr="007E6354" w:rsidRDefault="007E6354" w:rsidP="007E6354">
            <w:r w:rsidRPr="007E6354">
              <w:t>1 zettabyte</w:t>
            </w:r>
          </w:p>
        </w:tc>
      </w:tr>
      <w:tr w:rsidR="007E6354" w:rsidRPr="007E6354" w14:paraId="168DD137" w14:textId="77777777" w:rsidTr="007E6354">
        <w:trPr>
          <w:trHeight w:val="24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59AF7DDF" w14:textId="77777777" w:rsidR="007E6354" w:rsidRPr="007E6354" w:rsidRDefault="007E6354" w:rsidP="007E6354">
            <w:r w:rsidRPr="007E6354">
              <w:t>1024 zettabytes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3C7CB08C" w14:textId="77777777" w:rsidR="007E6354" w:rsidRPr="007E6354" w:rsidRDefault="007E6354" w:rsidP="007E6354">
            <w:r w:rsidRPr="007E6354">
              <w:t>1 yottabyte</w:t>
            </w:r>
          </w:p>
        </w:tc>
      </w:tr>
      <w:tr w:rsidR="007E6354" w:rsidRPr="007E6354" w14:paraId="32EF3CF6" w14:textId="77777777" w:rsidTr="007E6354">
        <w:trPr>
          <w:trHeight w:val="2"/>
        </w:trPr>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599FE31A" w14:textId="77777777" w:rsidR="007E6354" w:rsidRPr="007E6354" w:rsidRDefault="007E6354" w:rsidP="007E6354">
            <w:r w:rsidRPr="007E6354">
              <w:lastRenderedPageBreak/>
              <w:t>1024 yottabytes</w:t>
            </w:r>
          </w:p>
        </w:tc>
        <w:tc>
          <w:tcPr>
            <w:tcW w:w="0" w:type="auto"/>
            <w:tcBorders>
              <w:top w:val="single" w:sz="4" w:space="0" w:color="000000"/>
              <w:left w:val="single" w:sz="4" w:space="0" w:color="000000"/>
              <w:bottom w:val="single" w:sz="4" w:space="0" w:color="000000"/>
              <w:right w:val="single" w:sz="4" w:space="0" w:color="000000"/>
            </w:tcBorders>
            <w:shd w:val="clear" w:color="auto" w:fill="EEF2F6"/>
            <w:tcMar>
              <w:top w:w="210" w:type="dxa"/>
              <w:left w:w="210" w:type="dxa"/>
              <w:bottom w:w="210" w:type="dxa"/>
              <w:right w:w="210" w:type="dxa"/>
            </w:tcMar>
            <w:vAlign w:val="center"/>
            <w:hideMark/>
          </w:tcPr>
          <w:p w14:paraId="65D83828" w14:textId="77777777" w:rsidR="007E6354" w:rsidRPr="007E6354" w:rsidRDefault="007E6354" w:rsidP="007E6354">
            <w:r w:rsidRPr="007E6354">
              <w:t>1 brontobyte</w:t>
            </w:r>
          </w:p>
        </w:tc>
      </w:tr>
    </w:tbl>
    <w:p w14:paraId="6F793F26" w14:textId="77777777" w:rsidR="005C0AC9" w:rsidRDefault="005C0AC9" w:rsidP="005C0AC9"/>
    <w:p w14:paraId="64791B72" w14:textId="12462AC5" w:rsidR="007E6354" w:rsidRDefault="007E6354" w:rsidP="005C0AC9">
      <w:r>
        <w:t>Data Volumes:</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2687"/>
        <w:gridCol w:w="2781"/>
        <w:gridCol w:w="10732"/>
      </w:tblGrid>
      <w:tr w:rsidR="007E6354" w:rsidRPr="007E6354" w14:paraId="4E9B8A43" w14:textId="77777777" w:rsidTr="007E6354">
        <w:trPr>
          <w:trHeight w:val="20"/>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299B1A6" w14:textId="77777777" w:rsidR="007E6354" w:rsidRPr="007E6354" w:rsidRDefault="007E6354" w:rsidP="007E6354">
            <w:pPr>
              <w:rPr>
                <w:sz w:val="20"/>
                <w:szCs w:val="20"/>
              </w:rPr>
            </w:pPr>
            <w:r w:rsidRPr="007E6354">
              <w:rPr>
                <w:b/>
                <w:bCs/>
                <w:sz w:val="20"/>
                <w:szCs w:val="20"/>
              </w:rPr>
              <w:t>Unit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D40F935" w14:textId="77777777" w:rsidR="007E6354" w:rsidRPr="007E6354" w:rsidRDefault="007E6354" w:rsidP="007E6354">
            <w:pPr>
              <w:rPr>
                <w:sz w:val="20"/>
                <w:szCs w:val="20"/>
              </w:rPr>
            </w:pPr>
            <w:r w:rsidRPr="007E6354">
              <w:rPr>
                <w:b/>
                <w:bCs/>
                <w:sz w:val="20"/>
                <w:szCs w:val="20"/>
              </w:rPr>
              <w:t>Value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0A5402B" w14:textId="77777777" w:rsidR="007E6354" w:rsidRPr="007E6354" w:rsidRDefault="007E6354" w:rsidP="007E6354">
            <w:pPr>
              <w:rPr>
                <w:sz w:val="20"/>
                <w:szCs w:val="20"/>
              </w:rPr>
            </w:pPr>
            <w:r w:rsidRPr="007E6354">
              <w:rPr>
                <w:b/>
                <w:bCs/>
                <w:sz w:val="20"/>
                <w:szCs w:val="20"/>
              </w:rPr>
              <w:t>Example</w:t>
            </w:r>
          </w:p>
        </w:tc>
      </w:tr>
      <w:tr w:rsidR="007E6354" w:rsidRPr="007E6354" w14:paraId="32202E22" w14:textId="77777777" w:rsidTr="007E6354">
        <w:trPr>
          <w:trHeight w:val="20"/>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014019C" w14:textId="77777777" w:rsidR="007E6354" w:rsidRPr="007E6354" w:rsidRDefault="007E6354" w:rsidP="007E6354">
            <w:pPr>
              <w:rPr>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A8E8C45" w14:textId="77777777" w:rsidR="007E6354" w:rsidRPr="007E6354" w:rsidRDefault="007E6354" w:rsidP="007E6354">
            <w:pPr>
              <w:rPr>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9A821AA" w14:textId="77777777" w:rsidR="007E6354" w:rsidRPr="007E6354" w:rsidRDefault="007E6354" w:rsidP="007E6354">
            <w:pPr>
              <w:rPr>
                <w:sz w:val="20"/>
                <w:szCs w:val="20"/>
              </w:rPr>
            </w:pPr>
          </w:p>
        </w:tc>
      </w:tr>
      <w:tr w:rsidR="007E6354" w:rsidRPr="007E6354" w14:paraId="5BC0ACDE"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968ABF" w14:textId="77777777" w:rsidR="007E6354" w:rsidRPr="007E6354" w:rsidRDefault="007E6354" w:rsidP="007E6354">
            <w:pPr>
              <w:rPr>
                <w:sz w:val="20"/>
                <w:szCs w:val="20"/>
              </w:rPr>
            </w:pPr>
            <w:r w:rsidRPr="007E6354">
              <w:rPr>
                <w:sz w:val="20"/>
                <w:szCs w:val="20"/>
              </w:rPr>
              <w:t>Kilobytes (KB)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55844D" w14:textId="77777777" w:rsidR="007E6354" w:rsidRPr="007E6354" w:rsidRDefault="007E6354" w:rsidP="007E6354">
            <w:pPr>
              <w:rPr>
                <w:sz w:val="20"/>
                <w:szCs w:val="20"/>
              </w:rPr>
            </w:pPr>
            <w:r w:rsidRPr="007E6354">
              <w:rPr>
                <w:sz w:val="20"/>
                <w:szCs w:val="20"/>
              </w:rPr>
              <w:t>1,000 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C13951" w14:textId="77777777" w:rsidR="007E6354" w:rsidRPr="007E6354" w:rsidRDefault="007E6354" w:rsidP="007E6354">
            <w:pPr>
              <w:rPr>
                <w:sz w:val="20"/>
                <w:szCs w:val="20"/>
              </w:rPr>
            </w:pPr>
            <w:r w:rsidRPr="007E6354">
              <w:rPr>
                <w:sz w:val="20"/>
                <w:szCs w:val="20"/>
              </w:rPr>
              <w:t>a paragraph of a text document</w:t>
            </w:r>
          </w:p>
        </w:tc>
      </w:tr>
      <w:tr w:rsidR="007E6354" w:rsidRPr="007E6354" w14:paraId="7DA2A1A4"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B4B5B1" w14:textId="77777777" w:rsidR="007E6354" w:rsidRPr="007E6354" w:rsidRDefault="007E6354" w:rsidP="007E6354">
            <w:pPr>
              <w:rPr>
                <w:sz w:val="20"/>
                <w:szCs w:val="20"/>
              </w:rPr>
            </w:pPr>
            <w:r w:rsidRPr="007E6354">
              <w:rPr>
                <w:sz w:val="20"/>
                <w:szCs w:val="20"/>
              </w:rPr>
              <w:t>Megabytes (MB)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AF022" w14:textId="77777777" w:rsidR="007E6354" w:rsidRPr="007E6354" w:rsidRDefault="007E6354" w:rsidP="007E6354">
            <w:pPr>
              <w:rPr>
                <w:sz w:val="20"/>
                <w:szCs w:val="20"/>
              </w:rPr>
            </w:pPr>
            <w:r w:rsidRPr="007E6354">
              <w:rPr>
                <w:sz w:val="20"/>
                <w:szCs w:val="20"/>
              </w:rPr>
              <w:t>1,000 Kilobytes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CB4854" w14:textId="77777777" w:rsidR="007E6354" w:rsidRPr="007E6354" w:rsidRDefault="007E6354" w:rsidP="007E6354">
            <w:pPr>
              <w:rPr>
                <w:sz w:val="20"/>
                <w:szCs w:val="20"/>
              </w:rPr>
            </w:pPr>
            <w:r w:rsidRPr="007E6354">
              <w:rPr>
                <w:sz w:val="20"/>
                <w:szCs w:val="20"/>
              </w:rPr>
              <w:t>a small novel</w:t>
            </w:r>
          </w:p>
        </w:tc>
      </w:tr>
      <w:tr w:rsidR="007E6354" w:rsidRPr="007E6354" w14:paraId="70B47386"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201CB1" w14:textId="77777777" w:rsidR="007E6354" w:rsidRPr="007E6354" w:rsidRDefault="007E6354" w:rsidP="007E6354">
            <w:pPr>
              <w:rPr>
                <w:sz w:val="20"/>
                <w:szCs w:val="20"/>
              </w:rPr>
            </w:pPr>
            <w:r w:rsidRPr="007E6354">
              <w:rPr>
                <w:sz w:val="20"/>
                <w:szCs w:val="20"/>
              </w:rPr>
              <w:t>Gigabytes (GB)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F9A5EA" w14:textId="77777777" w:rsidR="007E6354" w:rsidRPr="007E6354" w:rsidRDefault="007E6354" w:rsidP="007E6354">
            <w:pPr>
              <w:rPr>
                <w:sz w:val="20"/>
                <w:szCs w:val="20"/>
              </w:rPr>
            </w:pPr>
            <w:r w:rsidRPr="007E6354">
              <w:rPr>
                <w:sz w:val="20"/>
                <w:szCs w:val="20"/>
              </w:rPr>
              <w:t>1,000 Megabytes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5EE643" w14:textId="77777777" w:rsidR="007E6354" w:rsidRPr="007E6354" w:rsidRDefault="007E6354" w:rsidP="007E6354">
            <w:pPr>
              <w:rPr>
                <w:sz w:val="20"/>
                <w:szCs w:val="20"/>
              </w:rPr>
            </w:pPr>
            <w:r w:rsidRPr="007E6354">
              <w:rPr>
                <w:sz w:val="20"/>
                <w:szCs w:val="20"/>
              </w:rPr>
              <w:t>Beethoven’s 5th Symphony</w:t>
            </w:r>
          </w:p>
        </w:tc>
      </w:tr>
      <w:tr w:rsidR="007E6354" w:rsidRPr="007E6354" w14:paraId="61A52CE5"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C0DE0E" w14:textId="77777777" w:rsidR="007E6354" w:rsidRPr="007E6354" w:rsidRDefault="007E6354" w:rsidP="007E6354">
            <w:pPr>
              <w:rPr>
                <w:sz w:val="20"/>
                <w:szCs w:val="20"/>
              </w:rPr>
            </w:pPr>
            <w:r w:rsidRPr="007E6354">
              <w:rPr>
                <w:sz w:val="20"/>
                <w:szCs w:val="20"/>
              </w:rPr>
              <w:t>Terabytes (TB)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139B05" w14:textId="77777777" w:rsidR="007E6354" w:rsidRPr="007E6354" w:rsidRDefault="007E6354" w:rsidP="007E6354">
            <w:pPr>
              <w:rPr>
                <w:sz w:val="20"/>
                <w:szCs w:val="20"/>
              </w:rPr>
            </w:pPr>
            <w:r w:rsidRPr="007E6354">
              <w:rPr>
                <w:sz w:val="20"/>
                <w:szCs w:val="20"/>
              </w:rPr>
              <w:t>1,000 Gigabytes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2F0A27" w14:textId="77777777" w:rsidR="007E6354" w:rsidRPr="007E6354" w:rsidRDefault="007E6354" w:rsidP="007E6354">
            <w:pPr>
              <w:rPr>
                <w:sz w:val="20"/>
                <w:szCs w:val="20"/>
              </w:rPr>
            </w:pPr>
            <w:r w:rsidRPr="007E6354">
              <w:rPr>
                <w:sz w:val="20"/>
                <w:szCs w:val="20"/>
              </w:rPr>
              <w:t>all the X-rays in a large hospital</w:t>
            </w:r>
          </w:p>
        </w:tc>
      </w:tr>
      <w:tr w:rsidR="007E6354" w:rsidRPr="007E6354" w14:paraId="48D48839"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B825E9" w14:textId="77777777" w:rsidR="007E6354" w:rsidRPr="007E6354" w:rsidRDefault="007E6354" w:rsidP="007E6354">
            <w:pPr>
              <w:rPr>
                <w:sz w:val="20"/>
                <w:szCs w:val="20"/>
              </w:rPr>
            </w:pPr>
            <w:r w:rsidRPr="007E6354">
              <w:rPr>
                <w:sz w:val="20"/>
                <w:szCs w:val="20"/>
              </w:rPr>
              <w:t>Petabytes (PB)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932885" w14:textId="77777777" w:rsidR="007E6354" w:rsidRPr="007E6354" w:rsidRDefault="007E6354" w:rsidP="007E6354">
            <w:pPr>
              <w:rPr>
                <w:sz w:val="20"/>
                <w:szCs w:val="20"/>
              </w:rPr>
            </w:pPr>
            <w:r w:rsidRPr="007E6354">
              <w:rPr>
                <w:sz w:val="20"/>
                <w:szCs w:val="20"/>
              </w:rPr>
              <w:t>1,000 Terabytes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865E19" w14:textId="77777777" w:rsidR="007E6354" w:rsidRPr="007E6354" w:rsidRDefault="007E6354" w:rsidP="007E6354">
            <w:pPr>
              <w:rPr>
                <w:sz w:val="20"/>
                <w:szCs w:val="20"/>
              </w:rPr>
            </w:pPr>
            <w:r w:rsidRPr="007E6354">
              <w:rPr>
                <w:sz w:val="20"/>
                <w:szCs w:val="20"/>
              </w:rPr>
              <w:t>half the contents of all US academic research libraries</w:t>
            </w:r>
          </w:p>
        </w:tc>
      </w:tr>
      <w:tr w:rsidR="007E6354" w:rsidRPr="007E6354" w14:paraId="3BAEFE01"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7AD3D1" w14:textId="77777777" w:rsidR="007E6354" w:rsidRPr="007E6354" w:rsidRDefault="007E6354" w:rsidP="007E6354">
            <w:pPr>
              <w:rPr>
                <w:sz w:val="20"/>
                <w:szCs w:val="20"/>
              </w:rPr>
            </w:pPr>
            <w:r w:rsidRPr="007E6354">
              <w:rPr>
                <w:sz w:val="20"/>
                <w:szCs w:val="20"/>
              </w:rPr>
              <w:t>Exabytes (EB)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1CBBFD" w14:textId="77777777" w:rsidR="007E6354" w:rsidRPr="007E6354" w:rsidRDefault="007E6354" w:rsidP="007E6354">
            <w:pPr>
              <w:rPr>
                <w:sz w:val="20"/>
                <w:szCs w:val="20"/>
              </w:rPr>
            </w:pPr>
            <w:r w:rsidRPr="007E6354">
              <w:rPr>
                <w:sz w:val="20"/>
                <w:szCs w:val="20"/>
              </w:rPr>
              <w:t>1,000 Petabytes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64A230" w14:textId="77777777" w:rsidR="007E6354" w:rsidRPr="007E6354" w:rsidRDefault="007E6354" w:rsidP="007E6354">
            <w:pPr>
              <w:rPr>
                <w:sz w:val="20"/>
                <w:szCs w:val="20"/>
              </w:rPr>
            </w:pPr>
            <w:r w:rsidRPr="007E6354">
              <w:rPr>
                <w:sz w:val="20"/>
                <w:szCs w:val="20"/>
              </w:rPr>
              <w:t>about one fifth of the words people have ever spoken</w:t>
            </w:r>
          </w:p>
        </w:tc>
      </w:tr>
      <w:tr w:rsidR="007E6354" w:rsidRPr="007E6354" w14:paraId="3B5EFEB6"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533BDD" w14:textId="77777777" w:rsidR="007E6354" w:rsidRPr="007E6354" w:rsidRDefault="007E6354" w:rsidP="007E6354">
            <w:pPr>
              <w:rPr>
                <w:sz w:val="20"/>
                <w:szCs w:val="20"/>
              </w:rPr>
            </w:pPr>
            <w:r w:rsidRPr="007E6354">
              <w:rPr>
                <w:sz w:val="20"/>
                <w:szCs w:val="20"/>
              </w:rPr>
              <w:t>Zettabytes (ZB)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2C5C68" w14:textId="77777777" w:rsidR="007E6354" w:rsidRPr="007E6354" w:rsidRDefault="007E6354" w:rsidP="007E6354">
            <w:pPr>
              <w:rPr>
                <w:sz w:val="20"/>
                <w:szCs w:val="20"/>
              </w:rPr>
            </w:pPr>
            <w:r w:rsidRPr="007E6354">
              <w:rPr>
                <w:sz w:val="20"/>
                <w:szCs w:val="20"/>
              </w:rPr>
              <w:t>1,000 Exabytes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E1FACB" w14:textId="77777777" w:rsidR="007E6354" w:rsidRPr="007E6354" w:rsidRDefault="007E6354" w:rsidP="007E6354">
            <w:pPr>
              <w:rPr>
                <w:sz w:val="20"/>
                <w:szCs w:val="20"/>
              </w:rPr>
            </w:pPr>
            <w:r w:rsidRPr="007E6354">
              <w:rPr>
                <w:sz w:val="20"/>
                <w:szCs w:val="20"/>
              </w:rPr>
              <w:t>as much information as there are grains of sand on all the world’s beaches</w:t>
            </w:r>
          </w:p>
        </w:tc>
      </w:tr>
      <w:tr w:rsidR="007E6354" w:rsidRPr="007E6354" w14:paraId="109C9BA8" w14:textId="77777777" w:rsidTr="007E6354">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E521A" w14:textId="77777777" w:rsidR="007E6354" w:rsidRPr="007E6354" w:rsidRDefault="007E6354" w:rsidP="007E6354">
            <w:pPr>
              <w:rPr>
                <w:sz w:val="20"/>
                <w:szCs w:val="20"/>
              </w:rPr>
            </w:pPr>
            <w:r w:rsidRPr="007E6354">
              <w:rPr>
                <w:sz w:val="20"/>
                <w:szCs w:val="20"/>
              </w:rPr>
              <w:t>Yottabytes (YB)</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807BF3" w14:textId="77777777" w:rsidR="007E6354" w:rsidRPr="007E6354" w:rsidRDefault="007E6354" w:rsidP="007E6354">
            <w:pPr>
              <w:rPr>
                <w:sz w:val="20"/>
                <w:szCs w:val="20"/>
              </w:rPr>
            </w:pPr>
            <w:r w:rsidRPr="007E6354">
              <w:rPr>
                <w:sz w:val="20"/>
                <w:szCs w:val="20"/>
              </w:rPr>
              <w:t>1,000 Zettabytes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1FDE35" w14:textId="77777777" w:rsidR="007E6354" w:rsidRPr="007E6354" w:rsidRDefault="007E6354" w:rsidP="007E6354">
            <w:pPr>
              <w:rPr>
                <w:sz w:val="20"/>
                <w:szCs w:val="20"/>
              </w:rPr>
            </w:pPr>
            <w:r w:rsidRPr="007E6354">
              <w:rPr>
                <w:sz w:val="20"/>
                <w:szCs w:val="20"/>
              </w:rPr>
              <w:t>as much information as there are atoms in 7,000 human bodies</w:t>
            </w:r>
          </w:p>
        </w:tc>
      </w:tr>
    </w:tbl>
    <w:p w14:paraId="3CFC43C0" w14:textId="77777777" w:rsidR="007E6354" w:rsidRDefault="007E6354" w:rsidP="005C0AC9"/>
    <w:p w14:paraId="374B97C6" w14:textId="393FB5C0" w:rsidR="00112F72" w:rsidRDefault="00112F72" w:rsidP="005C0AC9">
      <w:r w:rsidRPr="00112F72">
        <w:t>From Data to Insight</w:t>
      </w:r>
      <w:r>
        <w:t>:</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9762"/>
        <w:gridCol w:w="6438"/>
      </w:tblGrid>
      <w:tr w:rsidR="00112F72" w:rsidRPr="00112F72" w14:paraId="5CDD1F06" w14:textId="77777777" w:rsidTr="00112F72">
        <w:trPr>
          <w:tblHeader/>
        </w:trPr>
        <w:tc>
          <w:tcPr>
            <w:tcW w:w="0" w:type="auto"/>
            <w:tcBorders>
              <w:top w:val="single" w:sz="4" w:space="0" w:color="000000"/>
              <w:left w:val="single" w:sz="4" w:space="0" w:color="000000"/>
              <w:bottom w:val="single" w:sz="6" w:space="0" w:color="C8C8C8"/>
              <w:right w:val="single" w:sz="6" w:space="0" w:color="C8C8C8"/>
            </w:tcBorders>
            <w:shd w:val="clear" w:color="auto" w:fill="EEF2F6"/>
            <w:tcMar>
              <w:top w:w="210" w:type="dxa"/>
              <w:left w:w="210" w:type="dxa"/>
              <w:bottom w:w="210" w:type="dxa"/>
              <w:right w:w="210" w:type="dxa"/>
            </w:tcMar>
            <w:vAlign w:val="center"/>
            <w:hideMark/>
          </w:tcPr>
          <w:p w14:paraId="1FA29CBD" w14:textId="77777777" w:rsidR="00112F72" w:rsidRPr="00112F72" w:rsidRDefault="00112F72" w:rsidP="00112F72">
            <w:r w:rsidRPr="00112F72">
              <w:rPr>
                <w:b/>
                <w:bCs/>
                <w:i/>
                <w:iCs/>
              </w:rPr>
              <w:t>Data</w:t>
            </w:r>
          </w:p>
        </w:tc>
        <w:tc>
          <w:tcPr>
            <w:tcW w:w="0" w:type="auto"/>
            <w:tcBorders>
              <w:top w:val="single" w:sz="4" w:space="0" w:color="000000"/>
              <w:left w:val="single" w:sz="6" w:space="0" w:color="C8C8C8"/>
              <w:bottom w:val="single" w:sz="6" w:space="0" w:color="C8C8C8"/>
              <w:right w:val="single" w:sz="4" w:space="0" w:color="000000"/>
            </w:tcBorders>
            <w:shd w:val="clear" w:color="auto" w:fill="EEF2F6"/>
            <w:tcMar>
              <w:top w:w="210" w:type="dxa"/>
              <w:left w:w="210" w:type="dxa"/>
              <w:bottom w:w="210" w:type="dxa"/>
              <w:right w:w="210" w:type="dxa"/>
            </w:tcMar>
            <w:vAlign w:val="center"/>
            <w:hideMark/>
          </w:tcPr>
          <w:p w14:paraId="3C63D487" w14:textId="77777777" w:rsidR="00112F72" w:rsidRPr="00112F72" w:rsidRDefault="00112F72" w:rsidP="00112F72">
            <w:r w:rsidRPr="00112F72">
              <w:rPr>
                <w:b/>
                <w:bCs/>
                <w:i/>
                <w:iCs/>
              </w:rPr>
              <w:t>Information</w:t>
            </w:r>
          </w:p>
        </w:tc>
      </w:tr>
      <w:tr w:rsidR="00112F72" w:rsidRPr="00112F72" w14:paraId="0AA6F8A5"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FFFFFF"/>
            <w:tcMar>
              <w:top w:w="210" w:type="dxa"/>
              <w:left w:w="210" w:type="dxa"/>
              <w:bottom w:w="210" w:type="dxa"/>
              <w:right w:w="210" w:type="dxa"/>
            </w:tcMar>
            <w:vAlign w:val="center"/>
            <w:hideMark/>
          </w:tcPr>
          <w:p w14:paraId="29FC1D2C" w14:textId="77777777" w:rsidR="00112F72" w:rsidRPr="00112F72" w:rsidRDefault="00112F72" w:rsidP="00112F72">
            <w:r w:rsidRPr="00112F72">
              <w:t>Raw</w:t>
            </w:r>
          </w:p>
        </w:tc>
        <w:tc>
          <w:tcPr>
            <w:tcW w:w="0" w:type="auto"/>
            <w:tcBorders>
              <w:top w:val="single" w:sz="6" w:space="0" w:color="C8C8C8"/>
              <w:left w:val="single" w:sz="6" w:space="0" w:color="C8C8C8"/>
              <w:bottom w:val="single" w:sz="6" w:space="0" w:color="C8C8C8"/>
              <w:right w:val="single" w:sz="4" w:space="0" w:color="000000"/>
            </w:tcBorders>
            <w:shd w:val="clear" w:color="auto" w:fill="FFFFFF"/>
            <w:tcMar>
              <w:top w:w="210" w:type="dxa"/>
              <w:left w:w="210" w:type="dxa"/>
              <w:bottom w:w="210" w:type="dxa"/>
              <w:right w:w="210" w:type="dxa"/>
            </w:tcMar>
            <w:vAlign w:val="center"/>
            <w:hideMark/>
          </w:tcPr>
          <w:p w14:paraId="47F7DB5A" w14:textId="77777777" w:rsidR="00112F72" w:rsidRPr="00112F72" w:rsidRDefault="00112F72" w:rsidP="00112F72">
            <w:r w:rsidRPr="00112F72">
              <w:t>Processed</w:t>
            </w:r>
          </w:p>
        </w:tc>
      </w:tr>
      <w:tr w:rsidR="00112F72" w:rsidRPr="00112F72" w14:paraId="53B1A2FB"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EEF2F6"/>
            <w:tcMar>
              <w:top w:w="210" w:type="dxa"/>
              <w:left w:w="210" w:type="dxa"/>
              <w:bottom w:w="210" w:type="dxa"/>
              <w:right w:w="210" w:type="dxa"/>
            </w:tcMar>
            <w:vAlign w:val="center"/>
            <w:hideMark/>
          </w:tcPr>
          <w:p w14:paraId="429D8977" w14:textId="77777777" w:rsidR="00112F72" w:rsidRPr="00112F72" w:rsidRDefault="00112F72" w:rsidP="00112F72">
            <w:r w:rsidRPr="00112F72">
              <w:t>Items such as characters, words, pictures, and numbers that have no meaning in isolation</w:t>
            </w:r>
          </w:p>
        </w:tc>
        <w:tc>
          <w:tcPr>
            <w:tcW w:w="0" w:type="auto"/>
            <w:tcBorders>
              <w:top w:val="single" w:sz="6" w:space="0" w:color="C8C8C8"/>
              <w:left w:val="single" w:sz="6" w:space="0" w:color="C8C8C8"/>
              <w:bottom w:val="single" w:sz="6" w:space="0" w:color="C8C8C8"/>
              <w:right w:val="single" w:sz="4" w:space="0" w:color="000000"/>
            </w:tcBorders>
            <w:shd w:val="clear" w:color="auto" w:fill="EEF2F6"/>
            <w:tcMar>
              <w:top w:w="210" w:type="dxa"/>
              <w:left w:w="210" w:type="dxa"/>
              <w:bottom w:w="210" w:type="dxa"/>
              <w:right w:w="210" w:type="dxa"/>
            </w:tcMar>
            <w:vAlign w:val="center"/>
            <w:hideMark/>
          </w:tcPr>
          <w:p w14:paraId="30AF6490" w14:textId="77777777" w:rsidR="00112F72" w:rsidRPr="00112F72" w:rsidRDefault="00112F72" w:rsidP="00112F72">
            <w:r w:rsidRPr="00112F72">
              <w:t>Data that is organized and given context to have meaning</w:t>
            </w:r>
          </w:p>
        </w:tc>
      </w:tr>
      <w:tr w:rsidR="00112F72" w:rsidRPr="00112F72" w14:paraId="56772A03"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FFFFFF"/>
            <w:tcMar>
              <w:top w:w="210" w:type="dxa"/>
              <w:left w:w="210" w:type="dxa"/>
              <w:bottom w:w="210" w:type="dxa"/>
              <w:right w:w="210" w:type="dxa"/>
            </w:tcMar>
            <w:vAlign w:val="center"/>
            <w:hideMark/>
          </w:tcPr>
          <w:p w14:paraId="60C659A3" w14:textId="77777777" w:rsidR="00112F72" w:rsidRPr="00112F72" w:rsidRDefault="00112F72" w:rsidP="00112F72">
            <w:r w:rsidRPr="00112F72">
              <w:t>No analysis dependency</w:t>
            </w:r>
          </w:p>
        </w:tc>
        <w:tc>
          <w:tcPr>
            <w:tcW w:w="0" w:type="auto"/>
            <w:tcBorders>
              <w:top w:val="single" w:sz="6" w:space="0" w:color="C8C8C8"/>
              <w:left w:val="single" w:sz="6" w:space="0" w:color="C8C8C8"/>
              <w:bottom w:val="single" w:sz="6" w:space="0" w:color="C8C8C8"/>
              <w:right w:val="single" w:sz="4" w:space="0" w:color="000000"/>
            </w:tcBorders>
            <w:shd w:val="clear" w:color="auto" w:fill="FFFFFF"/>
            <w:tcMar>
              <w:top w:w="210" w:type="dxa"/>
              <w:left w:w="210" w:type="dxa"/>
              <w:bottom w:w="210" w:type="dxa"/>
              <w:right w:w="210" w:type="dxa"/>
            </w:tcMar>
            <w:vAlign w:val="center"/>
            <w:hideMark/>
          </w:tcPr>
          <w:p w14:paraId="3469B5FB" w14:textId="77777777" w:rsidR="00112F72" w:rsidRPr="00112F72" w:rsidRDefault="00112F72" w:rsidP="00112F72">
            <w:r w:rsidRPr="00112F72">
              <w:t>Dependent on the analysis of data</w:t>
            </w:r>
          </w:p>
        </w:tc>
      </w:tr>
      <w:tr w:rsidR="00112F72" w:rsidRPr="00112F72" w14:paraId="36796DCD" w14:textId="77777777" w:rsidTr="00112F72">
        <w:tc>
          <w:tcPr>
            <w:tcW w:w="0" w:type="auto"/>
            <w:tcBorders>
              <w:top w:val="single" w:sz="6" w:space="0" w:color="C8C8C8"/>
              <w:left w:val="single" w:sz="4" w:space="0" w:color="000000"/>
              <w:bottom w:val="single" w:sz="6" w:space="0" w:color="C8C8C8"/>
              <w:right w:val="single" w:sz="6" w:space="0" w:color="C8C8C8"/>
            </w:tcBorders>
            <w:shd w:val="clear" w:color="auto" w:fill="EEF2F6"/>
            <w:tcMar>
              <w:top w:w="210" w:type="dxa"/>
              <w:left w:w="210" w:type="dxa"/>
              <w:bottom w:w="210" w:type="dxa"/>
              <w:right w:w="210" w:type="dxa"/>
            </w:tcMar>
            <w:vAlign w:val="center"/>
            <w:hideMark/>
          </w:tcPr>
          <w:p w14:paraId="6199C9D6" w14:textId="77777777" w:rsidR="00112F72" w:rsidRDefault="00112F72" w:rsidP="00112F72"/>
          <w:p w14:paraId="4CC718C2" w14:textId="77777777" w:rsidR="00112F72" w:rsidRDefault="00112F72" w:rsidP="00112F72"/>
          <w:p w14:paraId="61093637" w14:textId="1BD94EF8" w:rsidR="00112F72" w:rsidRDefault="00112F72" w:rsidP="00112F72">
            <w:r w:rsidRPr="00112F72">
              <w:lastRenderedPageBreak/>
              <w:drawing>
                <wp:inline distT="0" distB="0" distL="0" distR="0" wp14:anchorId="7AB74519" wp14:editId="4F8B1346">
                  <wp:extent cx="3333750" cy="950119"/>
                  <wp:effectExtent l="0" t="0" r="0" b="2540"/>
                  <wp:docPr id="10814362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6202"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9672" cy="954657"/>
                          </a:xfrm>
                          <a:prstGeom prst="rect">
                            <a:avLst/>
                          </a:prstGeom>
                          <a:noFill/>
                          <a:ln>
                            <a:noFill/>
                          </a:ln>
                        </pic:spPr>
                      </pic:pic>
                    </a:graphicData>
                  </a:graphic>
                </wp:inline>
              </w:drawing>
            </w:r>
          </w:p>
          <w:p w14:paraId="34938809" w14:textId="14AAC7F6" w:rsidR="00112F72" w:rsidRPr="00112F72" w:rsidRDefault="00112F72" w:rsidP="00112F72">
            <w:r w:rsidRPr="00112F72">
              <w:t>Unorganized and not dependent on context</w:t>
            </w:r>
          </w:p>
        </w:tc>
        <w:tc>
          <w:tcPr>
            <w:tcW w:w="0" w:type="auto"/>
            <w:tcBorders>
              <w:top w:val="single" w:sz="6" w:space="0" w:color="C8C8C8"/>
              <w:left w:val="single" w:sz="6" w:space="0" w:color="C8C8C8"/>
              <w:bottom w:val="single" w:sz="6" w:space="0" w:color="C8C8C8"/>
              <w:right w:val="single" w:sz="4" w:space="0" w:color="000000"/>
            </w:tcBorders>
            <w:shd w:val="clear" w:color="auto" w:fill="EEF2F6"/>
            <w:tcMar>
              <w:top w:w="210" w:type="dxa"/>
              <w:left w:w="210" w:type="dxa"/>
              <w:bottom w:w="210" w:type="dxa"/>
              <w:right w:w="210" w:type="dxa"/>
            </w:tcMar>
            <w:vAlign w:val="center"/>
            <w:hideMark/>
          </w:tcPr>
          <w:p w14:paraId="1AD69E09" w14:textId="77777777" w:rsidR="00112F72" w:rsidRPr="00112F72" w:rsidRDefault="00112F72" w:rsidP="00112F72">
            <w:r w:rsidRPr="00112F72">
              <w:lastRenderedPageBreak/>
              <w:t>Organized and dependent on context</w:t>
            </w:r>
          </w:p>
        </w:tc>
      </w:tr>
      <w:tr w:rsidR="00112F72" w:rsidRPr="00112F72" w14:paraId="75F20405" w14:textId="77777777" w:rsidTr="00112F72">
        <w:tc>
          <w:tcPr>
            <w:tcW w:w="0" w:type="auto"/>
            <w:tcBorders>
              <w:top w:val="single" w:sz="6" w:space="0" w:color="C8C8C8"/>
              <w:left w:val="single" w:sz="4" w:space="0" w:color="000000"/>
              <w:bottom w:val="single" w:sz="4" w:space="0" w:color="000000"/>
              <w:right w:val="single" w:sz="6" w:space="0" w:color="C8C8C8"/>
            </w:tcBorders>
            <w:shd w:val="clear" w:color="auto" w:fill="FFFFFF"/>
            <w:tcMar>
              <w:top w:w="210" w:type="dxa"/>
              <w:left w:w="210" w:type="dxa"/>
              <w:bottom w:w="210" w:type="dxa"/>
              <w:right w:w="210" w:type="dxa"/>
            </w:tcMar>
            <w:vAlign w:val="center"/>
            <w:hideMark/>
          </w:tcPr>
          <w:p w14:paraId="6B762397" w14:textId="77777777" w:rsidR="00112F72" w:rsidRPr="00112F72" w:rsidRDefault="00112F72" w:rsidP="00112F72">
            <w:r w:rsidRPr="00112F72">
              <w:t>Not typically useful alone</w:t>
            </w:r>
          </w:p>
        </w:tc>
        <w:tc>
          <w:tcPr>
            <w:tcW w:w="0" w:type="auto"/>
            <w:tcBorders>
              <w:top w:val="single" w:sz="6" w:space="0" w:color="C8C8C8"/>
              <w:left w:val="single" w:sz="6" w:space="0" w:color="C8C8C8"/>
              <w:bottom w:val="single" w:sz="4" w:space="0" w:color="000000"/>
              <w:right w:val="single" w:sz="4" w:space="0" w:color="000000"/>
            </w:tcBorders>
            <w:shd w:val="clear" w:color="auto" w:fill="FFFFFF"/>
            <w:tcMar>
              <w:top w:w="210" w:type="dxa"/>
              <w:left w:w="210" w:type="dxa"/>
              <w:bottom w:w="210" w:type="dxa"/>
              <w:right w:w="210" w:type="dxa"/>
            </w:tcMar>
            <w:vAlign w:val="center"/>
            <w:hideMark/>
          </w:tcPr>
          <w:p w14:paraId="2E405B0E" w14:textId="77777777" w:rsidR="00112F72" w:rsidRPr="00112F72" w:rsidRDefault="00112F72" w:rsidP="00112F72">
            <w:r w:rsidRPr="00112F72">
              <w:t>Useful alone</w:t>
            </w:r>
          </w:p>
        </w:tc>
      </w:tr>
    </w:tbl>
    <w:p w14:paraId="2C4900A0" w14:textId="77777777" w:rsidR="00112F72" w:rsidRDefault="00112F72" w:rsidP="005C0AC9"/>
    <w:p w14:paraId="61EEADEC" w14:textId="44DF51C7" w:rsidR="00E107C0" w:rsidRDefault="00E107C0" w:rsidP="005C0AC9">
      <w:r w:rsidRPr="00E107C0">
        <w:t>The Role of Data in the 21st Century</w:t>
      </w:r>
      <w:r>
        <w:t>:</w:t>
      </w:r>
    </w:p>
    <w:p w14:paraId="2D6F5F5B" w14:textId="71C2F1F2" w:rsidR="00E107C0" w:rsidRDefault="00E107C0" w:rsidP="005C0AC9">
      <w:r w:rsidRPr="00E107C0">
        <w:t>Data-Driven Decision-Making</w:t>
      </w:r>
      <w:r>
        <w:t>:</w:t>
      </w:r>
    </w:p>
    <w:p w14:paraId="56BB1849" w14:textId="129C5CF8" w:rsidR="00E107C0" w:rsidRDefault="0061758C" w:rsidP="0061758C">
      <w:pPr>
        <w:pStyle w:val="ListParagraph"/>
        <w:numPr>
          <w:ilvl w:val="0"/>
          <w:numId w:val="1"/>
        </w:numPr>
      </w:pPr>
      <w:r w:rsidRPr="0061758C">
        <w:t xml:space="preserve">data must be organized and </w:t>
      </w:r>
      <w:r w:rsidRPr="0061758C">
        <w:t>analysed</w:t>
      </w:r>
      <w:r w:rsidRPr="0061758C">
        <w:t xml:space="preserve"> to understand patterns, make decisions, identify problems, and feed other systems.</w:t>
      </w:r>
    </w:p>
    <w:p w14:paraId="14762F70" w14:textId="493C8782" w:rsidR="0061758C" w:rsidRDefault="0061758C" w:rsidP="0061758C">
      <w:r w:rsidRPr="0061758C">
        <w:rPr>
          <w:b/>
          <w:bCs/>
          <w:color w:val="FF0000"/>
        </w:rPr>
        <w:t>Data ownership</w:t>
      </w:r>
      <w:r w:rsidRPr="0061758C">
        <w:rPr>
          <w:color w:val="FF0000"/>
        </w:rPr>
        <w:t xml:space="preserve"> </w:t>
      </w:r>
      <w:r w:rsidRPr="0061758C">
        <w:t>describes the rights a person, team, or organization has over one or more data sets.</w:t>
      </w:r>
    </w:p>
    <w:p w14:paraId="2E439F54" w14:textId="0541EE95" w:rsidR="0061758C" w:rsidRDefault="0061758C" w:rsidP="0061758C">
      <w:r w:rsidRPr="0061758C">
        <w:t>Data Architecture</w:t>
      </w:r>
      <w:r>
        <w:t>:</w:t>
      </w:r>
    </w:p>
    <w:p w14:paraId="06B833A2" w14:textId="5F22F73D" w:rsidR="0061758C" w:rsidRDefault="001E4908" w:rsidP="001E4908">
      <w:pPr>
        <w:pStyle w:val="ListParagraph"/>
        <w:numPr>
          <w:ilvl w:val="0"/>
          <w:numId w:val="1"/>
        </w:numPr>
      </w:pPr>
      <w:r w:rsidRPr="001E4908">
        <w:rPr>
          <w:b/>
          <w:bCs/>
          <w:color w:val="FF0000"/>
        </w:rPr>
        <w:t>data architecture</w:t>
      </w:r>
      <w:r w:rsidRPr="001E4908">
        <w:rPr>
          <w:color w:val="FF0000"/>
        </w:rPr>
        <w:t xml:space="preserve"> </w:t>
      </w:r>
      <w:r w:rsidRPr="001E4908">
        <w:t xml:space="preserve">is the </w:t>
      </w:r>
      <w:proofErr w:type="gramStart"/>
      <w:r w:rsidRPr="001E4908">
        <w:t>manner in which</w:t>
      </w:r>
      <w:proofErr w:type="gramEnd"/>
      <w:r w:rsidRPr="001E4908">
        <w:t xml:space="preserve"> data design and management decisions are being made to align with </w:t>
      </w:r>
      <w:r>
        <w:t>E</w:t>
      </w:r>
      <w:r w:rsidRPr="001E4908">
        <w:t xml:space="preserve">nterprise </w:t>
      </w:r>
      <w:r>
        <w:t>A</w:t>
      </w:r>
      <w:r w:rsidRPr="001E4908">
        <w:t>rchitecture</w:t>
      </w:r>
      <w:r>
        <w:t xml:space="preserve"> (</w:t>
      </w:r>
      <w:r w:rsidRPr="001E4908">
        <w:t>EA</w:t>
      </w:r>
      <w:r>
        <w:t>)</w:t>
      </w:r>
      <w:r w:rsidRPr="001E4908">
        <w:t xml:space="preserve"> and in turn, with the business</w:t>
      </w:r>
      <w:r>
        <w:t>.</w:t>
      </w:r>
    </w:p>
    <w:p w14:paraId="0F495981" w14:textId="13442527" w:rsidR="001E4908" w:rsidRDefault="001E4908" w:rsidP="001E4908">
      <w:pPr>
        <w:pStyle w:val="ListParagraph"/>
        <w:numPr>
          <w:ilvl w:val="0"/>
          <w:numId w:val="1"/>
        </w:numPr>
      </w:pPr>
      <w:r w:rsidRPr="001E4908">
        <w:t>data architecture is the agreed blueprint for how data supports an organization’s functions and technologies.</w:t>
      </w:r>
    </w:p>
    <w:p w14:paraId="712645BC" w14:textId="77777777" w:rsidR="001E4908" w:rsidRDefault="001E4908" w:rsidP="001E4908">
      <w:pPr>
        <w:pStyle w:val="ListParagraph"/>
      </w:pPr>
    </w:p>
    <w:p w14:paraId="3AD4E8F2" w14:textId="18AF3D4E" w:rsidR="001E4908" w:rsidRDefault="001E4908" w:rsidP="001E4908">
      <w:pPr>
        <w:pStyle w:val="ListParagraph"/>
        <w:numPr>
          <w:ilvl w:val="0"/>
          <w:numId w:val="2"/>
        </w:numPr>
      </w:pPr>
      <w:r w:rsidRPr="001E4908">
        <w:t>high-quality enterprises and data architectures both exist, organizations run more smoothly, and they can transform as conditions (either internally or in the marketplace) dictate. The absence or poor implementation of both can stifle digital transformation efforts, create high levels of complexity, and increase the possibility of failure.</w:t>
      </w:r>
    </w:p>
    <w:p w14:paraId="01E062ED" w14:textId="6A0806E3" w:rsidR="001E4908" w:rsidRDefault="008B1F54" w:rsidP="001E4908">
      <w:r w:rsidRPr="008B1F54">
        <w:rPr>
          <w:b/>
          <w:bCs/>
        </w:rPr>
        <w:t>data architecture</w:t>
      </w:r>
      <w:r w:rsidRPr="008B1F54">
        <w:t xml:space="preserve"> considers and typically supports</w:t>
      </w:r>
      <w:r>
        <w:t>:</w:t>
      </w:r>
    </w:p>
    <w:p w14:paraId="5C75E1F7" w14:textId="77777777" w:rsidR="008B1F54" w:rsidRDefault="008B1F54" w:rsidP="008B1F54">
      <w:pPr>
        <w:pStyle w:val="ListParagraph"/>
        <w:numPr>
          <w:ilvl w:val="0"/>
          <w:numId w:val="2"/>
        </w:numPr>
      </w:pPr>
      <w:r>
        <w:t>Ensuring data is available to those who need it and are approved to use it.</w:t>
      </w:r>
    </w:p>
    <w:p w14:paraId="316AB804" w14:textId="77777777" w:rsidR="008B1F54" w:rsidRDefault="008B1F54" w:rsidP="008B1F54">
      <w:pPr>
        <w:pStyle w:val="ListParagraph"/>
        <w:numPr>
          <w:ilvl w:val="0"/>
          <w:numId w:val="2"/>
        </w:numPr>
      </w:pPr>
      <w:r>
        <w:t>Reducing the complexity of accessing and utilizing data</w:t>
      </w:r>
    </w:p>
    <w:p w14:paraId="662251E2" w14:textId="77777777" w:rsidR="008B1F54" w:rsidRDefault="008B1F54" w:rsidP="008B1F54">
      <w:pPr>
        <w:pStyle w:val="ListParagraph"/>
        <w:numPr>
          <w:ilvl w:val="0"/>
          <w:numId w:val="2"/>
        </w:numPr>
      </w:pPr>
      <w:r>
        <w:t>Creating and enforcing data protections to support organizational policies and obligations.</w:t>
      </w:r>
    </w:p>
    <w:p w14:paraId="4DAC4289" w14:textId="77777777" w:rsidR="008B1F54" w:rsidRDefault="008B1F54" w:rsidP="008B1F54">
      <w:pPr>
        <w:pStyle w:val="ListParagraph"/>
        <w:numPr>
          <w:ilvl w:val="0"/>
          <w:numId w:val="2"/>
        </w:numPr>
      </w:pPr>
      <w:r>
        <w:t>Adopting and agreeing to data standards</w:t>
      </w:r>
    </w:p>
    <w:p w14:paraId="1A4BD5CA" w14:textId="22305929" w:rsidR="008B1F54" w:rsidRDefault="008B1F54" w:rsidP="008B1F54">
      <w:pPr>
        <w:pStyle w:val="ListParagraph"/>
        <w:numPr>
          <w:ilvl w:val="0"/>
          <w:numId w:val="2"/>
        </w:numPr>
      </w:pPr>
      <w:r>
        <w:t xml:space="preserve">Optimizing the flow and efficient use of data to eliminate bottlenecks and </w:t>
      </w:r>
      <w:r>
        <w:t>duplication.</w:t>
      </w:r>
    </w:p>
    <w:p w14:paraId="330C695E" w14:textId="34CA2190" w:rsidR="008B1F54" w:rsidRDefault="008B1F54" w:rsidP="008B1F54">
      <w:r w:rsidRPr="008B1F54">
        <w:t>The Lifecycle of Data</w:t>
      </w:r>
      <w:r>
        <w:t>:</w:t>
      </w:r>
    </w:p>
    <w:p w14:paraId="4A573BA9" w14:textId="77777777" w:rsidR="00267873" w:rsidRDefault="00267873" w:rsidP="00267873">
      <w:pPr>
        <w:pStyle w:val="ListParagraph"/>
        <w:numPr>
          <w:ilvl w:val="0"/>
          <w:numId w:val="3"/>
        </w:numPr>
      </w:pPr>
      <w:r w:rsidRPr="00267873">
        <w:rPr>
          <w:b/>
          <w:bCs/>
          <w:color w:val="FF0000"/>
        </w:rPr>
        <w:lastRenderedPageBreak/>
        <w:t>Creation:</w:t>
      </w:r>
      <w:r w:rsidRPr="00267873">
        <w:rPr>
          <w:color w:val="FF0000"/>
        </w:rPr>
        <w:t xml:space="preserve">  </w:t>
      </w:r>
      <w:r>
        <w:t>This is the stage at which data comes into being. It may be manual or automated and get created internally or externally. Data is created all the time by a vast number of activities that include system inputs and outputs.</w:t>
      </w:r>
    </w:p>
    <w:p w14:paraId="0F98A47B" w14:textId="77777777" w:rsidR="00267873" w:rsidRDefault="00267873" w:rsidP="00267873">
      <w:pPr>
        <w:pStyle w:val="ListParagraph"/>
        <w:numPr>
          <w:ilvl w:val="0"/>
          <w:numId w:val="3"/>
        </w:numPr>
      </w:pPr>
      <w:r w:rsidRPr="00267873">
        <w:rPr>
          <w:b/>
          <w:bCs/>
          <w:color w:val="FF0000"/>
        </w:rPr>
        <w:t>Storage:</w:t>
      </w:r>
      <w:r w:rsidRPr="00267873">
        <w:rPr>
          <w:color w:val="FF0000"/>
        </w:rPr>
        <w:t xml:space="preserve">  </w:t>
      </w:r>
      <w:r>
        <w:t>Once data is created and assuming you want it available for later use, it must be stored. It most likely will be contained and managed in a database. The database needs a home, too as a local hard drive, server, or cloud service.</w:t>
      </w:r>
    </w:p>
    <w:p w14:paraId="6DEAAD3E" w14:textId="77777777" w:rsidR="00267873" w:rsidRDefault="00267873" w:rsidP="00267873">
      <w:pPr>
        <w:pStyle w:val="ListParagraph"/>
        <w:numPr>
          <w:ilvl w:val="0"/>
          <w:numId w:val="3"/>
        </w:numPr>
      </w:pPr>
      <w:r w:rsidRPr="00267873">
        <w:rPr>
          <w:b/>
          <w:bCs/>
          <w:color w:val="FF0000"/>
        </w:rPr>
        <w:t>Usage:</w:t>
      </w:r>
      <w:r w:rsidRPr="00267873">
        <w:rPr>
          <w:color w:val="FF0000"/>
        </w:rPr>
        <w:t xml:space="preserve">  </w:t>
      </w:r>
      <w:r>
        <w:t>Hopefully you’re capturing and storing data because you want to use it. Maybe not immediately, but at some point, perhaps for analysis. Data may need to be processed to be useful. That could include cleansing it of errors, transforming it to another format, and securing access rights.</w:t>
      </w:r>
    </w:p>
    <w:p w14:paraId="5F0503F4" w14:textId="77777777" w:rsidR="00267873" w:rsidRDefault="00267873" w:rsidP="00267873">
      <w:pPr>
        <w:pStyle w:val="ListParagraph"/>
        <w:numPr>
          <w:ilvl w:val="0"/>
          <w:numId w:val="3"/>
        </w:numPr>
      </w:pPr>
      <w:r w:rsidRPr="00267873">
        <w:rPr>
          <w:b/>
          <w:bCs/>
          <w:color w:val="FF0000"/>
        </w:rPr>
        <w:t>Archival:</w:t>
      </w:r>
      <w:r w:rsidRPr="00267873">
        <w:rPr>
          <w:color w:val="FF0000"/>
        </w:rPr>
        <w:t xml:space="preserve">  </w:t>
      </w:r>
      <w:r>
        <w:t>In this stage, you identify data that is not currently being used and move it to a long-term storage system out of your production environment. If it's needed at some point in the future, it can be retrieved and utilized.</w:t>
      </w:r>
    </w:p>
    <w:p w14:paraId="5E754ECA" w14:textId="5E759F26" w:rsidR="008B1F54" w:rsidRDefault="00267873" w:rsidP="00267873">
      <w:pPr>
        <w:pStyle w:val="ListParagraph"/>
        <w:numPr>
          <w:ilvl w:val="0"/>
          <w:numId w:val="3"/>
        </w:numPr>
      </w:pPr>
      <w:r w:rsidRPr="00267873">
        <w:rPr>
          <w:b/>
          <w:bCs/>
          <w:color w:val="FF0000"/>
        </w:rPr>
        <w:t>Destruction:</w:t>
      </w:r>
      <w:r w:rsidRPr="00267873">
        <w:rPr>
          <w:color w:val="FF0000"/>
        </w:rPr>
        <w:t xml:space="preserve">  </w:t>
      </w:r>
      <w:r>
        <w:t>Despite a desire by some to keep everything forever, there is a logical point where destruction makes sense or is required by regulation or policy. Data destruction involves making data inaccessible and unreadable. It can include the physical destruction of a device such as a hard drive.</w:t>
      </w:r>
    </w:p>
    <w:p w14:paraId="254C8E0A" w14:textId="77777777" w:rsidR="00267873" w:rsidRPr="00267873" w:rsidRDefault="00267873" w:rsidP="00267873">
      <w:pPr>
        <w:rPr>
          <w:b/>
          <w:bCs/>
        </w:rPr>
      </w:pPr>
      <w:r w:rsidRPr="00267873">
        <w:rPr>
          <w:b/>
          <w:bCs/>
        </w:rPr>
        <w:t>Defining Big Data</w:t>
      </w:r>
    </w:p>
    <w:p w14:paraId="04F1DA32" w14:textId="77777777" w:rsidR="00267873" w:rsidRDefault="00267873" w:rsidP="00267873">
      <w:r>
        <w:t>One way to define and characterize big data is through these five Vs:</w:t>
      </w:r>
    </w:p>
    <w:p w14:paraId="4D4C6B5B" w14:textId="77777777" w:rsidR="00267873" w:rsidRDefault="00267873" w:rsidP="00267873"/>
    <w:p w14:paraId="07BF6EEF" w14:textId="77777777" w:rsidR="00267873" w:rsidRDefault="00267873" w:rsidP="00267873">
      <w:pPr>
        <w:pStyle w:val="ListParagraph"/>
        <w:numPr>
          <w:ilvl w:val="0"/>
          <w:numId w:val="4"/>
        </w:numPr>
      </w:pPr>
      <w:r w:rsidRPr="00F22C46">
        <w:rPr>
          <w:b/>
          <w:bCs/>
          <w:color w:val="FF0000"/>
        </w:rPr>
        <w:t>Volume:</w:t>
      </w:r>
      <w:r w:rsidRPr="00F22C46">
        <w:rPr>
          <w:color w:val="FF0000"/>
        </w:rPr>
        <w:t xml:space="preserve"> </w:t>
      </w:r>
      <w:r>
        <w:t>The sheer scale of data being produced is unprecedented and requires new tools, skills, and processes.</w:t>
      </w:r>
    </w:p>
    <w:p w14:paraId="560F7760" w14:textId="77777777" w:rsidR="00267873" w:rsidRDefault="00267873" w:rsidP="00267873">
      <w:pPr>
        <w:pStyle w:val="ListParagraph"/>
        <w:numPr>
          <w:ilvl w:val="0"/>
          <w:numId w:val="4"/>
        </w:numPr>
      </w:pPr>
      <w:r w:rsidRPr="00F22C46">
        <w:rPr>
          <w:b/>
          <w:bCs/>
          <w:color w:val="FF0000"/>
        </w:rPr>
        <w:t>Variety:</w:t>
      </w:r>
      <w:r w:rsidRPr="00F22C46">
        <w:rPr>
          <w:color w:val="FF0000"/>
        </w:rPr>
        <w:t xml:space="preserve"> </w:t>
      </w:r>
      <w:r>
        <w:t>There are already a lot of legacy file formats, such as CSV and MP3, and with new innovations, new formats are emerging all the time. This requires different methods of handling, from analysis to security.</w:t>
      </w:r>
    </w:p>
    <w:p w14:paraId="2A6392B1" w14:textId="77777777" w:rsidR="00267873" w:rsidRDefault="00267873" w:rsidP="00267873">
      <w:pPr>
        <w:pStyle w:val="ListParagraph"/>
        <w:numPr>
          <w:ilvl w:val="0"/>
          <w:numId w:val="4"/>
        </w:numPr>
      </w:pPr>
      <w:r w:rsidRPr="00F22C46">
        <w:rPr>
          <w:b/>
          <w:bCs/>
          <w:color w:val="FF0000"/>
        </w:rPr>
        <w:t>Velocity:</w:t>
      </w:r>
      <w:r w:rsidRPr="00F22C46">
        <w:rPr>
          <w:color w:val="FF0000"/>
        </w:rPr>
        <w:t xml:space="preserve"> </w:t>
      </w:r>
      <w:r>
        <w:t>With so many collection points, digital interfaces, and ubiquitous connectivity, data is being created and moved at increasing speed. Consider that in 2021, Instagram users created, uploaded, and share 65,000 pictures a minute.</w:t>
      </w:r>
    </w:p>
    <w:p w14:paraId="48FF4A98" w14:textId="77777777" w:rsidR="00267873" w:rsidRDefault="00267873" w:rsidP="00267873">
      <w:pPr>
        <w:pStyle w:val="ListParagraph"/>
        <w:numPr>
          <w:ilvl w:val="0"/>
          <w:numId w:val="4"/>
        </w:numPr>
      </w:pPr>
      <w:r w:rsidRPr="00F22C46">
        <w:rPr>
          <w:b/>
          <w:bCs/>
          <w:color w:val="FF0000"/>
        </w:rPr>
        <w:t>Variability:</w:t>
      </w:r>
      <w:r w:rsidRPr="00F22C46">
        <w:rPr>
          <w:color w:val="FF0000"/>
        </w:rPr>
        <w:t xml:space="preserve">  </w:t>
      </w:r>
      <w:r>
        <w:t>The fact that the creation and flow of data are unpredictable.</w:t>
      </w:r>
    </w:p>
    <w:p w14:paraId="535D1C21" w14:textId="04DD8F33" w:rsidR="00267873" w:rsidRDefault="00267873" w:rsidP="00267873">
      <w:pPr>
        <w:pStyle w:val="ListParagraph"/>
        <w:numPr>
          <w:ilvl w:val="0"/>
          <w:numId w:val="4"/>
        </w:numPr>
      </w:pPr>
      <w:r w:rsidRPr="00F22C46">
        <w:rPr>
          <w:b/>
          <w:bCs/>
          <w:color w:val="FF0000"/>
        </w:rPr>
        <w:t>Veracity:</w:t>
      </w:r>
      <w:r w:rsidRPr="00F22C46">
        <w:rPr>
          <w:color w:val="FF0000"/>
        </w:rPr>
        <w:t xml:space="preserve">  </w:t>
      </w:r>
      <w:r>
        <w:t>The quality, including accuracy and truthfulness, of large volume of disparate sets of data, can differ considerably, causing challenges to data management.</w:t>
      </w:r>
    </w:p>
    <w:p w14:paraId="4A4EF98E" w14:textId="103411DB" w:rsidR="00F22C46" w:rsidRDefault="00F22C46" w:rsidP="00F22C46">
      <w:r w:rsidRPr="00F22C46">
        <w:t>Consequences of Big Data</w:t>
      </w:r>
      <w:r>
        <w:t>:</w:t>
      </w:r>
    </w:p>
    <w:p w14:paraId="163C6401" w14:textId="77777777" w:rsidR="00F22C46" w:rsidRPr="00F3787F" w:rsidRDefault="00F22C46" w:rsidP="00F22C46"/>
    <w:sectPr w:rsidR="00F22C46" w:rsidRPr="00F3787F" w:rsidSect="001D4C56">
      <w:pgSz w:w="20636" w:h="14570" w:orient="landscape"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930"/>
    <w:multiLevelType w:val="hybridMultilevel"/>
    <w:tmpl w:val="0B949112"/>
    <w:lvl w:ilvl="0" w:tplc="A6CA21E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14774A"/>
    <w:multiLevelType w:val="hybridMultilevel"/>
    <w:tmpl w:val="55563F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F280234"/>
    <w:multiLevelType w:val="hybridMultilevel"/>
    <w:tmpl w:val="49303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4713A7"/>
    <w:multiLevelType w:val="hybridMultilevel"/>
    <w:tmpl w:val="33D02C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54883471">
    <w:abstractNumId w:val="0"/>
  </w:num>
  <w:num w:numId="2" w16cid:durableId="570431056">
    <w:abstractNumId w:val="2"/>
  </w:num>
  <w:num w:numId="3" w16cid:durableId="1443040128">
    <w:abstractNumId w:val="3"/>
  </w:num>
  <w:num w:numId="4" w16cid:durableId="16726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2E"/>
    <w:rsid w:val="00112F72"/>
    <w:rsid w:val="001D4C56"/>
    <w:rsid w:val="001E4908"/>
    <w:rsid w:val="00267873"/>
    <w:rsid w:val="0055212E"/>
    <w:rsid w:val="005C0AC9"/>
    <w:rsid w:val="005C0B93"/>
    <w:rsid w:val="005E02D7"/>
    <w:rsid w:val="0061758C"/>
    <w:rsid w:val="007E6354"/>
    <w:rsid w:val="008B1F54"/>
    <w:rsid w:val="00B23346"/>
    <w:rsid w:val="00E107C0"/>
    <w:rsid w:val="00F22C46"/>
    <w:rsid w:val="00F378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AEF0"/>
  <w15:chartTrackingRefBased/>
  <w15:docId w15:val="{DC8C387A-B3EE-466E-9B0D-793EE761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2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2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12E"/>
    <w:rPr>
      <w:rFonts w:eastAsiaTheme="majorEastAsia" w:cstheme="majorBidi"/>
      <w:color w:val="272727" w:themeColor="text1" w:themeTint="D8"/>
    </w:rPr>
  </w:style>
  <w:style w:type="paragraph" w:styleId="Title">
    <w:name w:val="Title"/>
    <w:basedOn w:val="Normal"/>
    <w:next w:val="Normal"/>
    <w:link w:val="TitleChar"/>
    <w:uiPriority w:val="10"/>
    <w:qFormat/>
    <w:rsid w:val="00552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12E"/>
    <w:pPr>
      <w:spacing w:before="160"/>
      <w:jc w:val="center"/>
    </w:pPr>
    <w:rPr>
      <w:i/>
      <w:iCs/>
      <w:color w:val="404040" w:themeColor="text1" w:themeTint="BF"/>
    </w:rPr>
  </w:style>
  <w:style w:type="character" w:customStyle="1" w:styleId="QuoteChar">
    <w:name w:val="Quote Char"/>
    <w:basedOn w:val="DefaultParagraphFont"/>
    <w:link w:val="Quote"/>
    <w:uiPriority w:val="29"/>
    <w:rsid w:val="0055212E"/>
    <w:rPr>
      <w:i/>
      <w:iCs/>
      <w:color w:val="404040" w:themeColor="text1" w:themeTint="BF"/>
    </w:rPr>
  </w:style>
  <w:style w:type="paragraph" w:styleId="ListParagraph">
    <w:name w:val="List Paragraph"/>
    <w:basedOn w:val="Normal"/>
    <w:uiPriority w:val="34"/>
    <w:qFormat/>
    <w:rsid w:val="0055212E"/>
    <w:pPr>
      <w:ind w:left="720"/>
      <w:contextualSpacing/>
    </w:pPr>
  </w:style>
  <w:style w:type="character" w:styleId="IntenseEmphasis">
    <w:name w:val="Intense Emphasis"/>
    <w:basedOn w:val="DefaultParagraphFont"/>
    <w:uiPriority w:val="21"/>
    <w:qFormat/>
    <w:rsid w:val="0055212E"/>
    <w:rPr>
      <w:i/>
      <w:iCs/>
      <w:color w:val="2F5496" w:themeColor="accent1" w:themeShade="BF"/>
    </w:rPr>
  </w:style>
  <w:style w:type="paragraph" w:styleId="IntenseQuote">
    <w:name w:val="Intense Quote"/>
    <w:basedOn w:val="Normal"/>
    <w:next w:val="Normal"/>
    <w:link w:val="IntenseQuoteChar"/>
    <w:uiPriority w:val="30"/>
    <w:qFormat/>
    <w:rsid w:val="00552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12E"/>
    <w:rPr>
      <w:i/>
      <w:iCs/>
      <w:color w:val="2F5496" w:themeColor="accent1" w:themeShade="BF"/>
    </w:rPr>
  </w:style>
  <w:style w:type="character" w:styleId="IntenseReference">
    <w:name w:val="Intense Reference"/>
    <w:basedOn w:val="DefaultParagraphFont"/>
    <w:uiPriority w:val="32"/>
    <w:qFormat/>
    <w:rsid w:val="005521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1523">
      <w:bodyDiv w:val="1"/>
      <w:marLeft w:val="0"/>
      <w:marRight w:val="0"/>
      <w:marTop w:val="0"/>
      <w:marBottom w:val="0"/>
      <w:divBdr>
        <w:top w:val="none" w:sz="0" w:space="0" w:color="auto"/>
        <w:left w:val="none" w:sz="0" w:space="0" w:color="auto"/>
        <w:bottom w:val="none" w:sz="0" w:space="0" w:color="auto"/>
        <w:right w:val="none" w:sz="0" w:space="0" w:color="auto"/>
      </w:divBdr>
    </w:div>
    <w:div w:id="291711452">
      <w:bodyDiv w:val="1"/>
      <w:marLeft w:val="0"/>
      <w:marRight w:val="0"/>
      <w:marTop w:val="0"/>
      <w:marBottom w:val="0"/>
      <w:divBdr>
        <w:top w:val="none" w:sz="0" w:space="0" w:color="auto"/>
        <w:left w:val="none" w:sz="0" w:space="0" w:color="auto"/>
        <w:bottom w:val="none" w:sz="0" w:space="0" w:color="auto"/>
        <w:right w:val="none" w:sz="0" w:space="0" w:color="auto"/>
      </w:divBdr>
    </w:div>
    <w:div w:id="861628432">
      <w:bodyDiv w:val="1"/>
      <w:marLeft w:val="0"/>
      <w:marRight w:val="0"/>
      <w:marTop w:val="0"/>
      <w:marBottom w:val="0"/>
      <w:divBdr>
        <w:top w:val="none" w:sz="0" w:space="0" w:color="auto"/>
        <w:left w:val="none" w:sz="0" w:space="0" w:color="auto"/>
        <w:bottom w:val="none" w:sz="0" w:space="0" w:color="auto"/>
        <w:right w:val="none" w:sz="0" w:space="0" w:color="auto"/>
      </w:divBdr>
    </w:div>
    <w:div w:id="1277251004">
      <w:bodyDiv w:val="1"/>
      <w:marLeft w:val="0"/>
      <w:marRight w:val="0"/>
      <w:marTop w:val="0"/>
      <w:marBottom w:val="0"/>
      <w:divBdr>
        <w:top w:val="none" w:sz="0" w:space="0" w:color="auto"/>
        <w:left w:val="none" w:sz="0" w:space="0" w:color="auto"/>
        <w:bottom w:val="none" w:sz="0" w:space="0" w:color="auto"/>
        <w:right w:val="none" w:sz="0" w:space="0" w:color="auto"/>
      </w:divBdr>
    </w:div>
    <w:div w:id="148943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3</cp:revision>
  <dcterms:created xsi:type="dcterms:W3CDTF">2024-05-03T06:47:00Z</dcterms:created>
  <dcterms:modified xsi:type="dcterms:W3CDTF">2024-05-03T12:05:00Z</dcterms:modified>
</cp:coreProperties>
</file>