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Strong Password Policy</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MFA for logon</w:t>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VPN / encrypted tunnel for data in transit</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Configure firewall</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per scenario to avoid future breach, first need to change the default admin password with strong password policy includes complex password, change password at certain period(quarter), nullifying to use existing password for change the password, this will ensure that admin and other users password remain secure. Here we can also add another security control which enhances the security of login by MFA. If the users has neither chosen a strong password nor change password for long time, still MFA will minimize the risk of bruteforce or dictionary attack.</w:t>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Here employees share their password so we can use vpn tunnel to provide an encrypted channel to avoid MIMA attack/packet sniffing. If they use public wifi or any public internet so everytime they are connected through encrypted channel.</w:t>
            </w:r>
          </w:p>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Here we approached the defence in depth model, initially through data in transit through encrypted channels, then strong password and MFA, which ensure the CIA triad. This above hardening method needs to be configured once in a while.</w:t>
            </w:r>
          </w:p>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Also we can configure firewall rules to block all the incoming requests from the public except with some allowlist rules. Firewall rules need to be frequently updated.</w:t>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Subnet and VLAN</w:t>
            </w:r>
            <w:r w:rsidDel="00000000" w:rsidR="00000000" w:rsidRPr="00000000">
              <w:rPr>
                <w:rtl w:val="0"/>
              </w:rPr>
            </w:r>
          </w:p>
        </w:tc>
      </w:tr>
    </w:tbl>
    <w:p w:rsidR="00000000" w:rsidDel="00000000" w:rsidP="00000000" w:rsidRDefault="00000000" w:rsidRPr="00000000" w14:paraId="00000017">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8">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