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E5" w:rsidRDefault="004B20E5" w:rsidP="00016E35">
      <w:pPr>
        <w:pStyle w:val="berschrift1"/>
        <w:rPr>
          <w:color w:val="auto"/>
          <w:sz w:val="28"/>
        </w:rPr>
      </w:pPr>
      <w:bookmarkStart w:id="0" w:name="_Toc498321436"/>
      <w:r w:rsidRPr="004B20E5">
        <w:rPr>
          <w:color w:val="auto"/>
          <w:sz w:val="28"/>
        </w:rPr>
        <w:t>2. Methods</w:t>
      </w:r>
      <w:bookmarkEnd w:id="0"/>
    </w:p>
    <w:p w:rsidR="004B20E5" w:rsidRPr="004B20E5" w:rsidRDefault="004B20E5" w:rsidP="00016E35"/>
    <w:p w:rsidR="004B20E5" w:rsidRDefault="004B20E5" w:rsidP="00016E35">
      <w:pPr>
        <w:pStyle w:val="berschrift2"/>
        <w:rPr>
          <w:color w:val="auto"/>
        </w:rPr>
      </w:pPr>
      <w:bookmarkStart w:id="1" w:name="_Toc498321437"/>
      <w:r w:rsidRPr="004B20E5">
        <w:rPr>
          <w:color w:val="auto"/>
        </w:rPr>
        <w:t>2.1 Participants</w:t>
      </w:r>
      <w:bookmarkEnd w:id="1"/>
    </w:p>
    <w:p w:rsidR="004B20E5" w:rsidRPr="004B20E5" w:rsidRDefault="004B20E5" w:rsidP="00016E35"/>
    <w:p w:rsidR="004B20E5" w:rsidRDefault="004B20E5" w:rsidP="00016E35">
      <w:pPr>
        <w:pStyle w:val="berschrift2"/>
        <w:rPr>
          <w:color w:val="auto"/>
        </w:rPr>
      </w:pPr>
      <w:bookmarkStart w:id="2" w:name="_Toc498321438"/>
      <w:r w:rsidRPr="004B20E5">
        <w:rPr>
          <w:color w:val="auto"/>
        </w:rPr>
        <w:t>2.2 Experimental Design and Setup</w:t>
      </w:r>
      <w:bookmarkEnd w:id="2"/>
    </w:p>
    <w:p w:rsidR="004B20E5" w:rsidRPr="004B20E5" w:rsidRDefault="004B20E5" w:rsidP="00016E35"/>
    <w:p w:rsidR="004B20E5" w:rsidRDefault="004B20E5" w:rsidP="00016E35">
      <w:pPr>
        <w:pStyle w:val="berschrift3"/>
        <w:ind w:left="720"/>
        <w:rPr>
          <w:color w:val="auto"/>
        </w:rPr>
      </w:pPr>
      <w:bookmarkStart w:id="3" w:name="_Toc498321439"/>
      <w:r w:rsidRPr="00016E35">
        <w:rPr>
          <w:color w:val="auto"/>
        </w:rPr>
        <w:t>2.2.1 General Procedure</w:t>
      </w:r>
      <w:bookmarkEnd w:id="3"/>
    </w:p>
    <w:p w:rsidR="00E40032" w:rsidRPr="00E40032" w:rsidRDefault="00E40032" w:rsidP="00E40032"/>
    <w:p w:rsidR="00E40032" w:rsidRPr="00E40032" w:rsidRDefault="00E40032" w:rsidP="00E40032">
      <w:pPr>
        <w:pStyle w:val="KeinLeerraum"/>
        <w:spacing w:line="360" w:lineRule="auto"/>
        <w:ind w:firstLine="567"/>
        <w:jc w:val="both"/>
        <w:rPr>
          <w:noProof/>
          <w:sz w:val="24"/>
          <w:szCs w:val="24"/>
          <w:lang w:val="en-GB"/>
        </w:rPr>
      </w:pPr>
      <w:r w:rsidRPr="00E40032">
        <w:rPr>
          <w:noProof/>
          <w:sz w:val="24"/>
          <w:szCs w:val="24"/>
          <w:lang w:val="en-GB"/>
        </w:rPr>
        <w:t>When participants arrived at the lab, they were greeted and informed about the procedure. First, they filled out questionnaires and provided general demographic data. Then, they were prepared for EEG recordings and received a brief oral summary</w:t>
      </w:r>
      <w:r w:rsidR="00FD1A7A">
        <w:rPr>
          <w:noProof/>
          <w:sz w:val="24"/>
          <w:szCs w:val="24"/>
          <w:lang w:val="en-GB"/>
        </w:rPr>
        <w:t xml:space="preserve"> of the task. Afterwards</w:t>
      </w:r>
      <w:r w:rsidRPr="00E40032">
        <w:rPr>
          <w:noProof/>
          <w:sz w:val="24"/>
          <w:szCs w:val="24"/>
          <w:lang w:val="en-GB"/>
        </w:rPr>
        <w:t xml:space="preserve"> participants could read through a written description of the task on their own. Before the experiment started, participants were presented 16 training trials with feedback on their performance. There was no performance feedback after the training.  If they did well and had no further questions, participants proceeded until the end without further interactions with the experimenter. Experim</w:t>
      </w:r>
      <w:r w:rsidR="00FD1A7A">
        <w:rPr>
          <w:noProof/>
          <w:sz w:val="24"/>
          <w:szCs w:val="24"/>
          <w:lang w:val="en-GB"/>
        </w:rPr>
        <w:t>ental blocks were separated by</w:t>
      </w:r>
      <w:r w:rsidRPr="00E40032">
        <w:rPr>
          <w:noProof/>
          <w:sz w:val="24"/>
          <w:szCs w:val="24"/>
          <w:lang w:val="en-GB"/>
        </w:rPr>
        <w:t xml:space="preserve"> </w:t>
      </w:r>
      <w:r w:rsidR="00FD1A7A">
        <w:rPr>
          <w:noProof/>
          <w:sz w:val="24"/>
          <w:szCs w:val="24"/>
          <w:lang w:val="en-GB"/>
        </w:rPr>
        <w:t>breaks that each lasted one minute</w:t>
      </w:r>
      <w:r w:rsidRPr="00E40032">
        <w:rPr>
          <w:noProof/>
          <w:sz w:val="24"/>
          <w:szCs w:val="24"/>
          <w:lang w:val="en-GB"/>
        </w:rPr>
        <w:t>.</w:t>
      </w:r>
    </w:p>
    <w:p w:rsidR="00E40032" w:rsidRDefault="00E40032" w:rsidP="00E40032">
      <w:pPr>
        <w:pStyle w:val="KeinLeerraum"/>
        <w:spacing w:line="360" w:lineRule="auto"/>
        <w:ind w:firstLine="567"/>
        <w:jc w:val="both"/>
        <w:rPr>
          <w:noProof/>
          <w:sz w:val="24"/>
          <w:szCs w:val="24"/>
          <w:lang w:val="en-GB"/>
        </w:rPr>
      </w:pPr>
      <w:r w:rsidRPr="00E40032">
        <w:rPr>
          <w:noProof/>
          <w:sz w:val="24"/>
          <w:szCs w:val="24"/>
          <w:lang w:val="en-GB"/>
        </w:rPr>
        <w:t xml:space="preserve">In each of the </w:t>
      </w:r>
      <w:r w:rsidR="00FD1A7A">
        <w:rPr>
          <w:noProof/>
          <w:sz w:val="24"/>
          <w:szCs w:val="24"/>
          <w:lang w:val="en-GB"/>
        </w:rPr>
        <w:t>four</w:t>
      </w:r>
      <w:r w:rsidRPr="00E40032">
        <w:rPr>
          <w:noProof/>
          <w:sz w:val="24"/>
          <w:szCs w:val="24"/>
          <w:lang w:val="en-GB"/>
        </w:rPr>
        <w:t xml:space="preserve"> blocks </w:t>
      </w:r>
      <w:r w:rsidR="00FD1A7A">
        <w:rPr>
          <w:noProof/>
          <w:sz w:val="24"/>
          <w:szCs w:val="24"/>
          <w:lang w:val="en-GB"/>
        </w:rPr>
        <w:t>52</w:t>
      </w:r>
      <w:r w:rsidRPr="00E40032">
        <w:rPr>
          <w:noProof/>
          <w:sz w:val="24"/>
          <w:szCs w:val="24"/>
          <w:lang w:val="en-GB"/>
        </w:rPr>
        <w:t xml:space="preserve"> trials with four different trialtypes (AX, BX, AY, BY) were presented. One trial included two stimulus types, which consisted of blue and white dot patterns on a black background. The first dot pattern (i.e. the cue) was presented in light blue for 250 ms, followed by </w:t>
      </w:r>
      <w:r w:rsidR="00FD1A7A">
        <w:rPr>
          <w:noProof/>
          <w:sz w:val="24"/>
          <w:szCs w:val="24"/>
          <w:lang w:val="en-GB"/>
        </w:rPr>
        <w:t>a jittered interstimulus interval of 3.5 to 4.5</w:t>
      </w:r>
      <w:r w:rsidRPr="00E40032">
        <w:rPr>
          <w:noProof/>
          <w:sz w:val="24"/>
          <w:szCs w:val="24"/>
          <w:lang w:val="en-GB"/>
        </w:rPr>
        <w:t xml:space="preserve"> seconds. The second dot pattern (i.e. the probe) was presented in white for 300 ms. As soon as the probe appeared, subjects had a time window of 800 ms to respond. After 300 ms the probe disappeared. A </w:t>
      </w:r>
      <w:r w:rsidR="00FD1A7A">
        <w:rPr>
          <w:noProof/>
          <w:sz w:val="24"/>
          <w:szCs w:val="24"/>
          <w:lang w:val="en-GB"/>
        </w:rPr>
        <w:t>jittered intertrialinterval of 3.5 to 4</w:t>
      </w:r>
      <w:r w:rsidRPr="00E40032">
        <w:rPr>
          <w:noProof/>
          <w:sz w:val="24"/>
          <w:szCs w:val="24"/>
          <w:lang w:val="en-GB"/>
        </w:rPr>
        <w:t>.5 seconds followed before the next cue.</w:t>
      </w:r>
    </w:p>
    <w:p w:rsidR="00FD1A7A" w:rsidRPr="00E40032" w:rsidRDefault="00FD1A7A" w:rsidP="00E40032">
      <w:pPr>
        <w:pStyle w:val="KeinLeerraum"/>
        <w:spacing w:line="360" w:lineRule="auto"/>
        <w:ind w:firstLine="567"/>
        <w:jc w:val="both"/>
        <w:rPr>
          <w:noProof/>
          <w:sz w:val="24"/>
          <w:szCs w:val="24"/>
          <w:lang w:val="en-GB"/>
        </w:rPr>
      </w:pPr>
    </w:p>
    <w:p w:rsidR="004B20E5" w:rsidRDefault="004B20E5" w:rsidP="00016E35">
      <w:pPr>
        <w:pStyle w:val="berschrift3"/>
        <w:ind w:left="720"/>
        <w:rPr>
          <w:color w:val="auto"/>
        </w:rPr>
      </w:pPr>
      <w:bookmarkStart w:id="4" w:name="_Toc498321440"/>
      <w:r w:rsidRPr="00016E35">
        <w:rPr>
          <w:color w:val="auto"/>
        </w:rPr>
        <w:t>2.2.2 DPX Paradigm</w:t>
      </w:r>
      <w:bookmarkEnd w:id="4"/>
    </w:p>
    <w:p w:rsidR="00FD1A7A" w:rsidRPr="00FD1A7A" w:rsidRDefault="00FD1A7A" w:rsidP="00FD1A7A"/>
    <w:p w:rsidR="00FD1A7A" w:rsidRPr="00E40032" w:rsidRDefault="00FD1A7A" w:rsidP="00FD1A7A">
      <w:pPr>
        <w:pStyle w:val="KeinLeerraum"/>
        <w:spacing w:line="360" w:lineRule="auto"/>
        <w:ind w:firstLine="567"/>
        <w:jc w:val="both"/>
        <w:rPr>
          <w:noProof/>
          <w:sz w:val="24"/>
          <w:szCs w:val="24"/>
          <w:lang w:val="en-GB"/>
        </w:rPr>
      </w:pPr>
      <w:r w:rsidRPr="00E40032">
        <w:rPr>
          <w:noProof/>
          <w:sz w:val="24"/>
          <w:szCs w:val="24"/>
          <w:lang w:val="en-GB"/>
        </w:rPr>
        <w:t xml:space="preserve">Participants were instructed to push the right button with their middle finger after a correct cue-probe combination (AX). Incorrect combinations had to be responded to by pushing the left button with their index finger. All dot patterns were constructed starting with a square of nine equidistant dots. These nine positions were used to permute the dots and create different patterns. In the AX combination the cue consisted of three blue dots arranged in a vertical line (A) at the centre of the screen. The corresponding probe had the two upper </w:t>
      </w:r>
      <w:r w:rsidRPr="00E40032">
        <w:rPr>
          <w:noProof/>
          <w:sz w:val="24"/>
          <w:szCs w:val="24"/>
          <w:lang w:val="en-GB"/>
        </w:rPr>
        <w:lastRenderedPageBreak/>
        <w:t xml:space="preserve">dots of the vertical line and one on the top right position (X). Any deviation in the cue (B), probe (Y) or in both was considered incorrect. </w:t>
      </w:r>
    </w:p>
    <w:p w:rsidR="004B20E5" w:rsidRPr="00FD1A7A" w:rsidRDefault="00FD1A7A" w:rsidP="00FD1A7A">
      <w:pPr>
        <w:pStyle w:val="KeinLeerraum"/>
        <w:spacing w:line="360" w:lineRule="auto"/>
        <w:ind w:firstLine="567"/>
        <w:jc w:val="both"/>
        <w:rPr>
          <w:noProof/>
          <w:sz w:val="24"/>
          <w:szCs w:val="24"/>
          <w:lang w:val="en-GB"/>
        </w:rPr>
      </w:pPr>
      <w:r>
        <w:rPr>
          <w:noProof/>
          <w:sz w:val="24"/>
          <w:szCs w:val="24"/>
          <w:lang w:val="en-GB"/>
        </w:rPr>
        <w:t xml:space="preserve">Across all </w:t>
      </w:r>
      <w:r w:rsidRPr="00E40032">
        <w:rPr>
          <w:noProof/>
          <w:sz w:val="24"/>
          <w:szCs w:val="24"/>
          <w:lang w:val="en-GB"/>
        </w:rPr>
        <w:t xml:space="preserve">blocks </w:t>
      </w:r>
      <w:r>
        <w:rPr>
          <w:noProof/>
          <w:sz w:val="24"/>
          <w:szCs w:val="24"/>
          <w:lang w:val="en-GB"/>
        </w:rPr>
        <w:t>208</w:t>
      </w:r>
      <w:r w:rsidRPr="00E40032">
        <w:rPr>
          <w:noProof/>
          <w:sz w:val="24"/>
          <w:szCs w:val="24"/>
          <w:lang w:val="en-GB"/>
        </w:rPr>
        <w:t xml:space="preserve"> trials were presented with 1</w:t>
      </w:r>
      <w:r>
        <w:rPr>
          <w:noProof/>
          <w:sz w:val="24"/>
          <w:szCs w:val="24"/>
          <w:lang w:val="en-GB"/>
        </w:rPr>
        <w:t>36</w:t>
      </w:r>
      <w:r w:rsidRPr="00E40032">
        <w:rPr>
          <w:noProof/>
          <w:sz w:val="24"/>
          <w:szCs w:val="24"/>
          <w:lang w:val="en-GB"/>
        </w:rPr>
        <w:t xml:space="preserve"> AX (</w:t>
      </w:r>
      <w:r>
        <w:rPr>
          <w:noProof/>
          <w:sz w:val="24"/>
          <w:szCs w:val="24"/>
          <w:lang w:val="en-GB"/>
        </w:rPr>
        <w:t>65.3%) and 24</w:t>
      </w:r>
      <w:r w:rsidRPr="00E40032">
        <w:rPr>
          <w:noProof/>
          <w:sz w:val="24"/>
          <w:szCs w:val="24"/>
          <w:lang w:val="en-GB"/>
        </w:rPr>
        <w:t xml:space="preserve"> trials (1</w:t>
      </w:r>
      <w:r>
        <w:rPr>
          <w:noProof/>
          <w:sz w:val="24"/>
          <w:szCs w:val="24"/>
          <w:lang w:val="en-GB"/>
        </w:rPr>
        <w:t>1.5</w:t>
      </w:r>
      <w:r w:rsidRPr="00E40032">
        <w:rPr>
          <w:noProof/>
          <w:sz w:val="24"/>
          <w:szCs w:val="24"/>
          <w:lang w:val="en-GB"/>
        </w:rPr>
        <w:t>%) for BX, AY and BY respectively. In order for the paradigm to take effect, AX had to have the highest frequency. Thus, participants developed the dominant response tendency towards AX to push the right button. However, in a small amount of trials (i.e AY) the expectation to see a correct probe after a correct cue was violated with an oddball. Therefore, an AY trial required participants to correct their behavioural planning in the last moment by updating WM in a reactive control style. They had to integrate the surprising information, as the last stimulus and not the cue was the imperative stimulus for their response. By contrast, when subjects saw an incorrect cue, a strong proactivity was triggered. Regardless of the probe, in a trial starting with an incorrect cue there was only one correct response option left. Thus, the incorrect cue, as the imperative stimulus, had to be m</w:t>
      </w:r>
      <w:bookmarkStart w:id="5" w:name="_GoBack"/>
      <w:bookmarkEnd w:id="5"/>
      <w:r w:rsidRPr="00E40032">
        <w:rPr>
          <w:noProof/>
          <w:sz w:val="24"/>
          <w:szCs w:val="24"/>
          <w:lang w:val="en-GB"/>
        </w:rPr>
        <w:t>aintained in WM and subjects engaged in early behavioural control. In trials with an incorrect cue and a correct probe (i.e. BX) subjects had to additionally inhibit the dominant response tendency to push the right button by responding in accordance to the context. The last combination BY was a control condition and most likely did not require cognitive control efforts.</w:t>
      </w:r>
    </w:p>
    <w:p w:rsidR="00FD1A7A" w:rsidRPr="004B20E5" w:rsidRDefault="00FD1A7A" w:rsidP="00016E35"/>
    <w:p w:rsidR="004B20E5" w:rsidRDefault="004B20E5" w:rsidP="00016E35">
      <w:pPr>
        <w:pStyle w:val="berschrift2"/>
        <w:rPr>
          <w:color w:val="auto"/>
        </w:rPr>
      </w:pPr>
      <w:bookmarkStart w:id="6" w:name="_Toc498321441"/>
      <w:r w:rsidRPr="004B20E5">
        <w:rPr>
          <w:color w:val="auto"/>
        </w:rPr>
        <w:t>2.3 Data acquisition</w:t>
      </w:r>
      <w:bookmarkEnd w:id="6"/>
    </w:p>
    <w:p w:rsidR="004B20E5" w:rsidRPr="004B20E5" w:rsidRDefault="004B20E5" w:rsidP="00016E35"/>
    <w:p w:rsidR="004B20E5" w:rsidRPr="00016E35" w:rsidRDefault="004B20E5" w:rsidP="00016E35">
      <w:pPr>
        <w:pStyle w:val="berschrift3"/>
        <w:ind w:left="720"/>
        <w:rPr>
          <w:color w:val="auto"/>
        </w:rPr>
      </w:pPr>
      <w:bookmarkStart w:id="7" w:name="_Toc498321442"/>
      <w:r w:rsidRPr="00016E35">
        <w:rPr>
          <w:color w:val="auto"/>
        </w:rPr>
        <w:t>2.3.1 Materials and software</w:t>
      </w:r>
      <w:bookmarkEnd w:id="7"/>
    </w:p>
    <w:p w:rsidR="004B20E5" w:rsidRPr="00016E35" w:rsidRDefault="004B20E5" w:rsidP="00016E35"/>
    <w:p w:rsidR="004B20E5" w:rsidRPr="00016E35" w:rsidRDefault="004B20E5" w:rsidP="00016E35">
      <w:pPr>
        <w:pStyle w:val="berschrift3"/>
        <w:ind w:left="720"/>
        <w:rPr>
          <w:color w:val="auto"/>
        </w:rPr>
      </w:pPr>
      <w:bookmarkStart w:id="8" w:name="_Toc498321443"/>
      <w:r w:rsidRPr="00016E35">
        <w:rPr>
          <w:color w:val="auto"/>
        </w:rPr>
        <w:t xml:space="preserve">2.3.2 </w:t>
      </w:r>
      <w:r w:rsidR="00C51951">
        <w:rPr>
          <w:color w:val="auto"/>
        </w:rPr>
        <w:t>EEG data acquisition</w:t>
      </w:r>
      <w:bookmarkEnd w:id="8"/>
    </w:p>
    <w:p w:rsidR="004B20E5" w:rsidRPr="004B20E5" w:rsidRDefault="004B20E5" w:rsidP="00016E35"/>
    <w:p w:rsidR="00016E35" w:rsidRDefault="00016E35" w:rsidP="00016E35">
      <w:pPr>
        <w:pStyle w:val="berschrift3"/>
        <w:ind w:left="720"/>
        <w:rPr>
          <w:color w:val="auto"/>
        </w:rPr>
      </w:pPr>
      <w:bookmarkStart w:id="9" w:name="_Toc498321444"/>
      <w:r>
        <w:rPr>
          <w:color w:val="auto"/>
        </w:rPr>
        <w:t xml:space="preserve">2.3.3 </w:t>
      </w:r>
      <w:proofErr w:type="gramStart"/>
      <w:r w:rsidR="00C51951">
        <w:rPr>
          <w:color w:val="auto"/>
        </w:rPr>
        <w:t>fMRI</w:t>
      </w:r>
      <w:proofErr w:type="gramEnd"/>
      <w:r w:rsidR="00C51951">
        <w:rPr>
          <w:color w:val="auto"/>
        </w:rPr>
        <w:t xml:space="preserve"> data acquisition</w:t>
      </w:r>
      <w:bookmarkEnd w:id="9"/>
    </w:p>
    <w:p w:rsidR="00C51951" w:rsidRDefault="00C51951" w:rsidP="00C51951"/>
    <w:p w:rsidR="00C51951" w:rsidRDefault="00C51951" w:rsidP="00C51951">
      <w:pPr>
        <w:pStyle w:val="berschrift3"/>
        <w:ind w:left="720"/>
        <w:rPr>
          <w:color w:val="auto"/>
        </w:rPr>
      </w:pPr>
      <w:bookmarkStart w:id="10" w:name="_Toc498321445"/>
      <w:r>
        <w:rPr>
          <w:color w:val="auto"/>
        </w:rPr>
        <w:t xml:space="preserve">2.3.4 </w:t>
      </w:r>
      <w:r w:rsidRPr="00C51951">
        <w:rPr>
          <w:color w:val="auto"/>
        </w:rPr>
        <w:t>Measures for simultaneous recordings</w:t>
      </w:r>
      <w:bookmarkEnd w:id="10"/>
    </w:p>
    <w:p w:rsidR="00016E35" w:rsidRPr="00016E35" w:rsidRDefault="00016E35" w:rsidP="00016E35"/>
    <w:p w:rsidR="004B20E5" w:rsidRDefault="004B20E5" w:rsidP="00016E35">
      <w:pPr>
        <w:pStyle w:val="berschrift2"/>
        <w:rPr>
          <w:color w:val="auto"/>
        </w:rPr>
      </w:pPr>
      <w:bookmarkStart w:id="11" w:name="_Toc498321446"/>
      <w:r w:rsidRPr="004B20E5">
        <w:rPr>
          <w:color w:val="auto"/>
        </w:rPr>
        <w:t>2.4 Data analys</w:t>
      </w:r>
      <w:r w:rsidR="00C51951">
        <w:rPr>
          <w:color w:val="auto"/>
        </w:rPr>
        <w:t>es</w:t>
      </w:r>
      <w:bookmarkEnd w:id="11"/>
    </w:p>
    <w:p w:rsidR="004B20E5" w:rsidRPr="004B20E5" w:rsidRDefault="004B20E5" w:rsidP="00016E35"/>
    <w:p w:rsidR="00016E35" w:rsidRPr="00016E35" w:rsidRDefault="00016E35" w:rsidP="00016E35">
      <w:pPr>
        <w:pStyle w:val="berschrift3"/>
        <w:ind w:left="720"/>
        <w:rPr>
          <w:color w:val="auto"/>
        </w:rPr>
      </w:pPr>
      <w:bookmarkStart w:id="12" w:name="_Toc498321447"/>
      <w:r w:rsidRPr="00016E35">
        <w:rPr>
          <w:color w:val="auto"/>
        </w:rPr>
        <w:t>2.4.1 Behavioural Data</w:t>
      </w:r>
      <w:bookmarkEnd w:id="12"/>
    </w:p>
    <w:p w:rsidR="00016E35" w:rsidRPr="00016E35" w:rsidRDefault="00016E35" w:rsidP="00016E35"/>
    <w:p w:rsidR="00016E35" w:rsidRPr="00016E35" w:rsidRDefault="00016E35" w:rsidP="00016E35">
      <w:pPr>
        <w:pStyle w:val="berschrift3"/>
        <w:ind w:left="720"/>
        <w:rPr>
          <w:color w:val="auto"/>
        </w:rPr>
      </w:pPr>
      <w:bookmarkStart w:id="13" w:name="_Toc498321448"/>
      <w:r w:rsidRPr="00016E35">
        <w:rPr>
          <w:color w:val="auto"/>
        </w:rPr>
        <w:t xml:space="preserve">2.4.2 </w:t>
      </w:r>
      <w:proofErr w:type="gramStart"/>
      <w:r w:rsidRPr="00016E35">
        <w:rPr>
          <w:color w:val="auto"/>
        </w:rPr>
        <w:t>fMRI</w:t>
      </w:r>
      <w:proofErr w:type="gramEnd"/>
      <w:r w:rsidRPr="00016E35">
        <w:rPr>
          <w:color w:val="auto"/>
        </w:rPr>
        <w:t xml:space="preserve"> </w:t>
      </w:r>
      <w:proofErr w:type="spellStart"/>
      <w:r w:rsidRPr="00016E35">
        <w:rPr>
          <w:color w:val="auto"/>
        </w:rPr>
        <w:t>preprocessing</w:t>
      </w:r>
      <w:bookmarkEnd w:id="13"/>
      <w:proofErr w:type="spellEnd"/>
    </w:p>
    <w:p w:rsidR="00016E35" w:rsidRPr="00016E35" w:rsidRDefault="00016E35" w:rsidP="00016E35"/>
    <w:p w:rsidR="00016E35" w:rsidRDefault="00016E35" w:rsidP="00016E35">
      <w:pPr>
        <w:pStyle w:val="berschrift3"/>
        <w:ind w:left="720"/>
        <w:rPr>
          <w:color w:val="auto"/>
        </w:rPr>
      </w:pPr>
      <w:bookmarkStart w:id="14" w:name="_Toc498321449"/>
      <w:r w:rsidRPr="00016E35">
        <w:rPr>
          <w:color w:val="auto"/>
        </w:rPr>
        <w:lastRenderedPageBreak/>
        <w:t xml:space="preserve">2.4.3 EEG </w:t>
      </w:r>
      <w:proofErr w:type="spellStart"/>
      <w:r w:rsidRPr="00016E35">
        <w:rPr>
          <w:color w:val="auto"/>
        </w:rPr>
        <w:t>preprocessing</w:t>
      </w:r>
      <w:bookmarkEnd w:id="14"/>
      <w:proofErr w:type="spellEnd"/>
    </w:p>
    <w:p w:rsidR="00C51951" w:rsidRDefault="00C51951" w:rsidP="00C51951"/>
    <w:p w:rsidR="00C51951" w:rsidRPr="00C51951" w:rsidRDefault="00C51951" w:rsidP="00C51951">
      <w:pPr>
        <w:pStyle w:val="berschrift3"/>
        <w:ind w:left="720"/>
        <w:rPr>
          <w:color w:val="auto"/>
        </w:rPr>
      </w:pPr>
      <w:bookmarkStart w:id="15" w:name="_Toc498321450"/>
      <w:r w:rsidRPr="00016E35">
        <w:rPr>
          <w:color w:val="auto"/>
        </w:rPr>
        <w:t xml:space="preserve">2.4.3 </w:t>
      </w:r>
      <w:r>
        <w:rPr>
          <w:color w:val="auto"/>
        </w:rPr>
        <w:t>EEG-informed BOLD prediction and forward head model computation</w:t>
      </w:r>
      <w:bookmarkEnd w:id="15"/>
    </w:p>
    <w:p w:rsidR="00016E35" w:rsidRPr="00016E35" w:rsidRDefault="00016E35" w:rsidP="00016E35"/>
    <w:p w:rsidR="00016E35" w:rsidRPr="00016E35" w:rsidRDefault="00016E35" w:rsidP="00016E35">
      <w:pPr>
        <w:pStyle w:val="berschrift3"/>
        <w:ind w:left="720"/>
        <w:rPr>
          <w:color w:val="auto"/>
        </w:rPr>
      </w:pPr>
      <w:bookmarkStart w:id="16" w:name="_Toc498321451"/>
      <w:r w:rsidRPr="00016E35">
        <w:rPr>
          <w:color w:val="auto"/>
        </w:rPr>
        <w:t>2.4.4 Joint and parallel ICA</w:t>
      </w:r>
      <w:bookmarkEnd w:id="16"/>
    </w:p>
    <w:p w:rsidR="00016E35" w:rsidRPr="00016E35" w:rsidRDefault="00016E35" w:rsidP="00016E35"/>
    <w:p w:rsidR="00F4399A" w:rsidRPr="00F4399A" w:rsidRDefault="00C51951" w:rsidP="00F4399A">
      <w:pPr>
        <w:pStyle w:val="berschrift3"/>
        <w:ind w:left="720"/>
        <w:rPr>
          <w:color w:val="auto"/>
        </w:rPr>
      </w:pPr>
      <w:bookmarkStart w:id="17" w:name="_Toc498321452"/>
      <w:r>
        <w:rPr>
          <w:color w:val="auto"/>
        </w:rPr>
        <w:t>2.4.5</w:t>
      </w:r>
      <w:r w:rsidR="00463168">
        <w:rPr>
          <w:color w:val="auto"/>
        </w:rPr>
        <w:t xml:space="preserve"> </w:t>
      </w:r>
      <w:r>
        <w:rPr>
          <w:color w:val="auto"/>
        </w:rPr>
        <w:t>Partial Least Squares for EEG-fMRI</w:t>
      </w:r>
      <w:bookmarkEnd w:id="17"/>
    </w:p>
    <w:p w:rsidR="003B3E4B" w:rsidRPr="000115CD" w:rsidRDefault="003B3E4B" w:rsidP="000115CD">
      <w:pPr>
        <w:pStyle w:val="berschrift1"/>
        <w:rPr>
          <w:color w:val="auto"/>
          <w:sz w:val="28"/>
        </w:rPr>
      </w:pPr>
    </w:p>
    <w:sectPr w:rsidR="003B3E4B" w:rsidRPr="000115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50163"/>
    <w:multiLevelType w:val="multilevel"/>
    <w:tmpl w:val="BFA6B5E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DA22FBD"/>
    <w:multiLevelType w:val="multilevel"/>
    <w:tmpl w:val="957EAA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15631CA"/>
    <w:multiLevelType w:val="hybridMultilevel"/>
    <w:tmpl w:val="342CC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C905F7"/>
    <w:multiLevelType w:val="hybridMultilevel"/>
    <w:tmpl w:val="2F423DEE"/>
    <w:lvl w:ilvl="0" w:tplc="CC848CA6">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 w15:restartNumberingAfterBreak="0">
    <w:nsid w:val="669000F2"/>
    <w:multiLevelType w:val="hybridMultilevel"/>
    <w:tmpl w:val="1D406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9E297D"/>
    <w:multiLevelType w:val="hybridMultilevel"/>
    <w:tmpl w:val="69EAA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587F75"/>
    <w:multiLevelType w:val="multilevel"/>
    <w:tmpl w:val="1FC87DD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9963884"/>
    <w:multiLevelType w:val="hybridMultilevel"/>
    <w:tmpl w:val="B1B851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7F"/>
    <w:rsid w:val="000115CD"/>
    <w:rsid w:val="00016E35"/>
    <w:rsid w:val="00050A0A"/>
    <w:rsid w:val="00056710"/>
    <w:rsid w:val="00057A9D"/>
    <w:rsid w:val="0007649E"/>
    <w:rsid w:val="000952CC"/>
    <w:rsid w:val="000A0549"/>
    <w:rsid w:val="00120D6B"/>
    <w:rsid w:val="00120E83"/>
    <w:rsid w:val="001252A6"/>
    <w:rsid w:val="00125D1D"/>
    <w:rsid w:val="00146F94"/>
    <w:rsid w:val="001652F8"/>
    <w:rsid w:val="00184C16"/>
    <w:rsid w:val="001A0660"/>
    <w:rsid w:val="001C39F2"/>
    <w:rsid w:val="001D3666"/>
    <w:rsid w:val="001E1AA6"/>
    <w:rsid w:val="002073C9"/>
    <w:rsid w:val="00227097"/>
    <w:rsid w:val="00231399"/>
    <w:rsid w:val="00256AD2"/>
    <w:rsid w:val="00284F7D"/>
    <w:rsid w:val="00293AE6"/>
    <w:rsid w:val="002A541C"/>
    <w:rsid w:val="002B48F5"/>
    <w:rsid w:val="002B5764"/>
    <w:rsid w:val="002D74E9"/>
    <w:rsid w:val="002F1D3E"/>
    <w:rsid w:val="00305C64"/>
    <w:rsid w:val="00353D60"/>
    <w:rsid w:val="003861C2"/>
    <w:rsid w:val="00394AFF"/>
    <w:rsid w:val="003A6157"/>
    <w:rsid w:val="003B3E4B"/>
    <w:rsid w:val="003E2ACC"/>
    <w:rsid w:val="003E4CED"/>
    <w:rsid w:val="0040629D"/>
    <w:rsid w:val="00417400"/>
    <w:rsid w:val="00420802"/>
    <w:rsid w:val="00420FB1"/>
    <w:rsid w:val="0044064F"/>
    <w:rsid w:val="00463168"/>
    <w:rsid w:val="00463621"/>
    <w:rsid w:val="004639CC"/>
    <w:rsid w:val="00470B7E"/>
    <w:rsid w:val="0047715F"/>
    <w:rsid w:val="00481C84"/>
    <w:rsid w:val="004838F8"/>
    <w:rsid w:val="004B20E5"/>
    <w:rsid w:val="004C5AED"/>
    <w:rsid w:val="004F21EC"/>
    <w:rsid w:val="004F4EE9"/>
    <w:rsid w:val="00522F58"/>
    <w:rsid w:val="00542CC0"/>
    <w:rsid w:val="0056432B"/>
    <w:rsid w:val="005832C3"/>
    <w:rsid w:val="00585A1F"/>
    <w:rsid w:val="005A460E"/>
    <w:rsid w:val="005B7C7F"/>
    <w:rsid w:val="005C0B78"/>
    <w:rsid w:val="005E3411"/>
    <w:rsid w:val="00631983"/>
    <w:rsid w:val="006503D5"/>
    <w:rsid w:val="006D1AFF"/>
    <w:rsid w:val="00706077"/>
    <w:rsid w:val="00715C8D"/>
    <w:rsid w:val="00753038"/>
    <w:rsid w:val="007A6C35"/>
    <w:rsid w:val="007C2D13"/>
    <w:rsid w:val="007C55F6"/>
    <w:rsid w:val="007C5B36"/>
    <w:rsid w:val="007C75D0"/>
    <w:rsid w:val="007E39B7"/>
    <w:rsid w:val="007E7387"/>
    <w:rsid w:val="007F08A6"/>
    <w:rsid w:val="008143CD"/>
    <w:rsid w:val="00836683"/>
    <w:rsid w:val="0085204A"/>
    <w:rsid w:val="00862A63"/>
    <w:rsid w:val="00866A11"/>
    <w:rsid w:val="008A22DE"/>
    <w:rsid w:val="008A4543"/>
    <w:rsid w:val="008B36D3"/>
    <w:rsid w:val="008B58F8"/>
    <w:rsid w:val="008D0219"/>
    <w:rsid w:val="008E208A"/>
    <w:rsid w:val="008F52D4"/>
    <w:rsid w:val="0092549D"/>
    <w:rsid w:val="00925F35"/>
    <w:rsid w:val="00927325"/>
    <w:rsid w:val="009420B0"/>
    <w:rsid w:val="009839F7"/>
    <w:rsid w:val="00985F1E"/>
    <w:rsid w:val="00996956"/>
    <w:rsid w:val="009C56B6"/>
    <w:rsid w:val="009E4FF3"/>
    <w:rsid w:val="009F6441"/>
    <w:rsid w:val="009F6F40"/>
    <w:rsid w:val="00A47CE2"/>
    <w:rsid w:val="00AD5A5A"/>
    <w:rsid w:val="00AD6DA1"/>
    <w:rsid w:val="00AE7FAD"/>
    <w:rsid w:val="00AF2634"/>
    <w:rsid w:val="00B0616D"/>
    <w:rsid w:val="00B123BD"/>
    <w:rsid w:val="00B440A4"/>
    <w:rsid w:val="00B72288"/>
    <w:rsid w:val="00B73766"/>
    <w:rsid w:val="00B80B90"/>
    <w:rsid w:val="00BF2B56"/>
    <w:rsid w:val="00BF5C98"/>
    <w:rsid w:val="00C02001"/>
    <w:rsid w:val="00C02140"/>
    <w:rsid w:val="00C51951"/>
    <w:rsid w:val="00C742D3"/>
    <w:rsid w:val="00C95113"/>
    <w:rsid w:val="00CB0D19"/>
    <w:rsid w:val="00CE1856"/>
    <w:rsid w:val="00CF1C70"/>
    <w:rsid w:val="00D16A82"/>
    <w:rsid w:val="00D21DEE"/>
    <w:rsid w:val="00DA0B8C"/>
    <w:rsid w:val="00DA1E6A"/>
    <w:rsid w:val="00DA6272"/>
    <w:rsid w:val="00DC765E"/>
    <w:rsid w:val="00DD5216"/>
    <w:rsid w:val="00E35415"/>
    <w:rsid w:val="00E40032"/>
    <w:rsid w:val="00E830F8"/>
    <w:rsid w:val="00EA12BB"/>
    <w:rsid w:val="00EA7BDC"/>
    <w:rsid w:val="00EB489F"/>
    <w:rsid w:val="00EC00CE"/>
    <w:rsid w:val="00EC36BC"/>
    <w:rsid w:val="00EF6487"/>
    <w:rsid w:val="00F254CB"/>
    <w:rsid w:val="00F276DD"/>
    <w:rsid w:val="00F4399A"/>
    <w:rsid w:val="00F52B2B"/>
    <w:rsid w:val="00F87D8A"/>
    <w:rsid w:val="00FA5AD7"/>
    <w:rsid w:val="00FD020D"/>
    <w:rsid w:val="00FD1A7A"/>
    <w:rsid w:val="00FD22A1"/>
    <w:rsid w:val="00FD2D22"/>
    <w:rsid w:val="00FF4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2D384-0677-4809-958E-90A28FC5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50A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87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2F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22F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50A0A"/>
    <w:rPr>
      <w:color w:val="0563C1" w:themeColor="hyperlink"/>
      <w:u w:val="single"/>
    </w:rPr>
  </w:style>
  <w:style w:type="character" w:customStyle="1" w:styleId="berschrift1Zchn">
    <w:name w:val="Überschrift 1 Zchn"/>
    <w:basedOn w:val="Absatz-Standardschriftart"/>
    <w:link w:val="berschrift1"/>
    <w:uiPriority w:val="9"/>
    <w:rsid w:val="00050A0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50A0A"/>
    <w:pPr>
      <w:outlineLvl w:val="9"/>
    </w:pPr>
    <w:rPr>
      <w:lang w:eastAsia="en-GB"/>
    </w:rPr>
  </w:style>
  <w:style w:type="paragraph" w:styleId="Verzeichnis1">
    <w:name w:val="toc 1"/>
    <w:basedOn w:val="Standard"/>
    <w:next w:val="Standard"/>
    <w:autoRedefine/>
    <w:uiPriority w:val="39"/>
    <w:unhideWhenUsed/>
    <w:rsid w:val="00050A0A"/>
    <w:pPr>
      <w:spacing w:after="100"/>
    </w:pPr>
  </w:style>
  <w:style w:type="character" w:customStyle="1" w:styleId="berschrift2Zchn">
    <w:name w:val="Überschrift 2 Zchn"/>
    <w:basedOn w:val="Absatz-Standardschriftart"/>
    <w:link w:val="berschrift2"/>
    <w:uiPriority w:val="9"/>
    <w:rsid w:val="00F87D8A"/>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8A4543"/>
    <w:pPr>
      <w:spacing w:after="100"/>
      <w:ind w:left="220"/>
    </w:pPr>
  </w:style>
  <w:style w:type="character" w:styleId="Platzhaltertext">
    <w:name w:val="Placeholder Text"/>
    <w:basedOn w:val="Absatz-Standardschriftart"/>
    <w:uiPriority w:val="99"/>
    <w:semiHidden/>
    <w:rsid w:val="00E830F8"/>
    <w:rPr>
      <w:color w:val="808080"/>
    </w:rPr>
  </w:style>
  <w:style w:type="paragraph" w:styleId="Listenabsatz">
    <w:name w:val="List Paragraph"/>
    <w:basedOn w:val="Standard"/>
    <w:uiPriority w:val="34"/>
    <w:qFormat/>
    <w:rsid w:val="00E830F8"/>
    <w:pPr>
      <w:ind w:left="720"/>
      <w:contextualSpacing/>
    </w:pPr>
  </w:style>
  <w:style w:type="character" w:customStyle="1" w:styleId="berschrift3Zchn">
    <w:name w:val="Überschrift 3 Zchn"/>
    <w:basedOn w:val="Absatz-Standardschriftart"/>
    <w:link w:val="berschrift3"/>
    <w:uiPriority w:val="9"/>
    <w:rsid w:val="00522F5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522F58"/>
    <w:rPr>
      <w:rFonts w:asciiTheme="majorHAnsi" w:eastAsiaTheme="majorEastAsia" w:hAnsiTheme="majorHAnsi" w:cstheme="majorBidi"/>
      <w:i/>
      <w:iCs/>
      <w:color w:val="2E74B5" w:themeColor="accent1" w:themeShade="BF"/>
    </w:rPr>
  </w:style>
  <w:style w:type="paragraph" w:styleId="Verzeichnis3">
    <w:name w:val="toc 3"/>
    <w:basedOn w:val="Standard"/>
    <w:next w:val="Standard"/>
    <w:autoRedefine/>
    <w:uiPriority w:val="39"/>
    <w:unhideWhenUsed/>
    <w:rsid w:val="003B3E4B"/>
    <w:pPr>
      <w:spacing w:after="100"/>
      <w:ind w:left="440"/>
    </w:pPr>
  </w:style>
  <w:style w:type="paragraph" w:customStyle="1" w:styleId="Default">
    <w:name w:val="Default"/>
    <w:rsid w:val="00706077"/>
    <w:pPr>
      <w:autoSpaceDE w:val="0"/>
      <w:autoSpaceDN w:val="0"/>
      <w:adjustRightInd w:val="0"/>
      <w:spacing w:after="0" w:line="240" w:lineRule="auto"/>
    </w:pPr>
    <w:rPr>
      <w:rFonts w:ascii="Calibri" w:hAnsi="Calibri" w:cs="Calibri"/>
      <w:color w:val="000000"/>
      <w:sz w:val="24"/>
      <w:szCs w:val="24"/>
    </w:rPr>
  </w:style>
  <w:style w:type="paragraph" w:styleId="KeinLeerraum">
    <w:name w:val="No Spacing"/>
    <w:uiPriority w:val="1"/>
    <w:qFormat/>
    <w:rsid w:val="00E40032"/>
    <w:pPr>
      <w:spacing w:after="0" w:line="240" w:lineRule="auto"/>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BBCCE-60F7-4838-A537-9FBB76C4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3318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dc:creator>
  <cp:keywords/>
  <dc:description/>
  <cp:lastModifiedBy>Malte</cp:lastModifiedBy>
  <cp:revision>2</cp:revision>
  <dcterms:created xsi:type="dcterms:W3CDTF">2017-11-27T05:53:00Z</dcterms:created>
  <dcterms:modified xsi:type="dcterms:W3CDTF">2017-11-27T05:53:00Z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2df437ba-f466-32dd-99cb-c6f676a68988</vt:lpwstr>
  </property>
  <property fmtid="{D5CDD505-2E9C-101B-9397-08002B2CF9AE}" pid="24" name="Mendeley Citation Style_1">
    <vt:lpwstr>http://www.zotero.org/styles/apa</vt:lpwstr>
  </property>
</Properties>
</file>