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FD70D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0B1BD629" w:rsidR="00FD70DD" w:rsidRPr="00FD7931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Perte/vole d’une clé USB</w:t>
            </w:r>
          </w:p>
        </w:tc>
        <w:tc>
          <w:tcPr>
            <w:tcW w:w="1318" w:type="dxa"/>
            <w:vAlign w:val="center"/>
          </w:tcPr>
          <w:p w14:paraId="15885E12" w14:textId="1368C7B8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2B8DA232" w14:textId="0550DBE5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la clé USB</w:t>
            </w:r>
          </w:p>
        </w:tc>
        <w:tc>
          <w:tcPr>
            <w:tcW w:w="574" w:type="dxa"/>
            <w:vAlign w:val="center"/>
          </w:tcPr>
          <w:p w14:paraId="739420D7" w14:textId="76AC7F92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14BCDFA7" w14:textId="2EEC9DC9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208" w:type="dxa"/>
            <w:vAlign w:val="center"/>
          </w:tcPr>
          <w:p w14:paraId="2CDCD3C6" w14:textId="134C8C12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Remplacement de la clé USB</w:t>
            </w:r>
          </w:p>
        </w:tc>
        <w:tc>
          <w:tcPr>
            <w:tcW w:w="522" w:type="dxa"/>
            <w:vAlign w:val="center"/>
          </w:tcPr>
          <w:p w14:paraId="2EB51F0F" w14:textId="6C6255E5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75754AE7" w14:textId="0E62C9EF" w:rsidR="00FD70DD" w:rsidRPr="00A84ABE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sensibles retrouvable sur le net, gros dégâts à l’image</w:t>
            </w:r>
          </w:p>
        </w:tc>
      </w:tr>
      <w:tr w:rsidR="00FD70D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7D57E995" w:rsidR="00FD70DD" w:rsidRPr="00FD7931" w:rsidRDefault="00DD2D7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Mise en place d’un virus via clé USB</w:t>
            </w:r>
          </w:p>
        </w:tc>
        <w:tc>
          <w:tcPr>
            <w:tcW w:w="1318" w:type="dxa"/>
            <w:vAlign w:val="center"/>
          </w:tcPr>
          <w:p w14:paraId="2589335A" w14:textId="336960BA" w:rsidR="00FD70DD" w:rsidRDefault="00DD2D7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1B83DBAA" w14:textId="0C35F84C" w:rsidR="00FD70DD" w:rsidRDefault="00315F6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de tous le parc informatique</w:t>
            </w:r>
          </w:p>
        </w:tc>
        <w:tc>
          <w:tcPr>
            <w:tcW w:w="574" w:type="dxa"/>
            <w:vAlign w:val="center"/>
          </w:tcPr>
          <w:p w14:paraId="2C8EC5AD" w14:textId="7BA11385" w:rsidR="00FD70DD" w:rsidRDefault="00A64EFE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7C424B2C" w14:textId="16241EFD" w:rsidR="00FD70DD" w:rsidRDefault="00DD2D7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208" w:type="dxa"/>
            <w:vAlign w:val="center"/>
          </w:tcPr>
          <w:p w14:paraId="467C9526" w14:textId="77777777" w:rsidR="00FD70DD" w:rsidRDefault="00315F6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de toutes les machines</w:t>
            </w:r>
          </w:p>
          <w:p w14:paraId="164AC236" w14:textId="01010AA3" w:rsidR="00315F67" w:rsidRDefault="00315F6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Remplacement de certains postes</w:t>
            </w:r>
          </w:p>
        </w:tc>
        <w:tc>
          <w:tcPr>
            <w:tcW w:w="522" w:type="dxa"/>
            <w:vAlign w:val="center"/>
          </w:tcPr>
          <w:p w14:paraId="4D094265" w14:textId="688A2C92" w:rsidR="00FD70DD" w:rsidRDefault="00DD2D7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46914915" w14:textId="77777777" w:rsidR="00FD70DD" w:rsidRDefault="00B21236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Données sensibles retrouvable sur le net, gros dégâts à l’image</w:t>
            </w:r>
          </w:p>
          <w:p w14:paraId="7745000B" w14:textId="775B3AAB" w:rsidR="00B21236" w:rsidRDefault="00A13BA7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Plusieurs jours d’empêchement de travail</w:t>
            </w:r>
          </w:p>
        </w:tc>
      </w:tr>
      <w:tr w:rsidR="00FD70D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766BBAA7" w:rsidR="00FD70DD" w:rsidRPr="00FD7931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7AFDD1EF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4B4040AC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0A932D5F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19FC9956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76CC62F0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1DBD0097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60B51394" w:rsidR="00FD70DD" w:rsidRDefault="00FD70DD" w:rsidP="00FD70D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1A2CAE">
        <w:trPr>
          <w:trHeight w:hRule="exact" w:val="8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3BF781E4" w14:textId="77777777" w:rsidR="007502EA" w:rsidRDefault="000E64F9" w:rsidP="007502EA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0E64F9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  <w:p w14:paraId="5D830AC6" w14:textId="58F3B30B" w:rsidR="009865BE" w:rsidRPr="004C7AD3" w:rsidRDefault="009865BE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  <w:r w:rsidRPr="009865BE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3EBA2C14" w:rsidR="00354A9F" w:rsidRPr="004C7AD3" w:rsidRDefault="00F254D9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F254D9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236C94D5" w:rsidR="00354A9F" w:rsidRPr="004C7AD3" w:rsidRDefault="006E6D04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6E6D04">
              <w:rPr>
                <w:b/>
                <w:bCs/>
                <w:color w:val="4472C4" w:themeColor="accent1"/>
                <w:sz w:val="20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25364A5F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79D2C0A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FEF6BB" w14:textId="77777777" w:rsidR="00354A9F" w:rsidRDefault="000E64F9" w:rsidP="00D649C7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  <w:r w:rsidRPr="000E64F9">
              <w:rPr>
                <w:b/>
                <w:bCs/>
                <w:color w:val="FF0000"/>
                <w:sz w:val="20"/>
                <w:lang w:val="fr-FR"/>
              </w:rPr>
              <w:t>1</w:t>
            </w:r>
          </w:p>
          <w:p w14:paraId="33E036BA" w14:textId="33A2A5BB" w:rsidR="00F254D9" w:rsidRPr="004C7AD3" w:rsidRDefault="00F254D9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F254D9">
              <w:rPr>
                <w:b/>
                <w:bCs/>
                <w:color w:val="FF0000"/>
                <w:sz w:val="20"/>
                <w:lang w:val="fr-FR"/>
              </w:rPr>
              <w:t>2</w:t>
            </w:r>
          </w:p>
        </w:tc>
      </w:tr>
      <w:tr w:rsidR="00ED648D" w:rsidRPr="004C7AD3" w14:paraId="7DEE5A90" w14:textId="77777777" w:rsidTr="001A2CAE">
        <w:trPr>
          <w:trHeight w:hRule="exact" w:val="7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1B17BD5F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6A1BF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78FF02D1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2ECFE7D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09A8C25B" w:rsidR="00354A9F" w:rsidRPr="004C7AD3" w:rsidRDefault="001F2BD1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1F2BD1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6237B34E" w:rsidR="00354A9F" w:rsidRPr="004C7AD3" w:rsidRDefault="001F2BD1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1F2BD1">
              <w:rPr>
                <w:b/>
                <w:bCs/>
                <w:color w:val="4472C4" w:themeColor="accent1"/>
                <w:sz w:val="20"/>
                <w:lang w:val="fr-FR"/>
              </w:rPr>
              <w:t>2</w:t>
            </w: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CC7DA9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49D63E5B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Déposer toutes les données sur une solution Cloud (One drive)</w:t>
            </w:r>
          </w:p>
        </w:tc>
        <w:tc>
          <w:tcPr>
            <w:tcW w:w="1695" w:type="dxa"/>
            <w:vAlign w:val="center"/>
          </w:tcPr>
          <w:p w14:paraId="1ADCA871" w14:textId="15C63B73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12.- par utilisateur par mois</w:t>
            </w:r>
          </w:p>
        </w:tc>
        <w:tc>
          <w:tcPr>
            <w:tcW w:w="1423" w:type="dxa"/>
            <w:vAlign w:val="center"/>
          </w:tcPr>
          <w:p w14:paraId="1E36AA14" w14:textId="5DD1B337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32278F7E" w14:textId="2D95E62B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46" w:type="dxa"/>
            <w:vAlign w:val="center"/>
          </w:tcPr>
          <w:p w14:paraId="32B8A087" w14:textId="2921A4E0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6FF32705" w14:textId="4AD88839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Moins d’</w:t>
            </w:r>
            <w:r w:rsidR="00C67F0F">
              <w:rPr>
                <w:b/>
                <w:bCs/>
                <w:color w:val="0070C0"/>
              </w:rPr>
              <w:t>utilités</w:t>
            </w:r>
            <w:r>
              <w:rPr>
                <w:b/>
                <w:bCs/>
                <w:color w:val="0070C0"/>
              </w:rPr>
              <w:t xml:space="preserve"> (pour un voleur) de voler </w:t>
            </w:r>
            <w:r>
              <w:rPr>
                <w:b/>
                <w:bCs/>
                <w:color w:val="0070C0"/>
              </w:rPr>
              <w:t>la clé USB</w:t>
            </w:r>
          </w:p>
        </w:tc>
        <w:tc>
          <w:tcPr>
            <w:tcW w:w="559" w:type="dxa"/>
            <w:vAlign w:val="center"/>
          </w:tcPr>
          <w:p w14:paraId="5E2CCBB2" w14:textId="27C4D9E7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12" w:type="dxa"/>
            <w:vAlign w:val="center"/>
          </w:tcPr>
          <w:p w14:paraId="778F669E" w14:textId="45E8493C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Toutes les données restent disponibles et accessibles depuis une autre machine</w:t>
            </w:r>
          </w:p>
        </w:tc>
      </w:tr>
      <w:tr w:rsidR="00CC7DA9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3544D443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Empêcher l’utilisation des ports USB</w:t>
            </w:r>
            <w:r w:rsidR="005A6CF9">
              <w:rPr>
                <w:b/>
                <w:bCs/>
                <w:color w:val="0070C0"/>
              </w:rPr>
              <w:t xml:space="preserve"> pour les clés USB</w:t>
            </w:r>
            <w:r w:rsidR="001A2CAE">
              <w:rPr>
                <w:b/>
                <w:bCs/>
                <w:color w:val="0070C0"/>
              </w:rPr>
              <w:t xml:space="preserve"> sur la majorité des postes</w:t>
            </w:r>
          </w:p>
        </w:tc>
        <w:tc>
          <w:tcPr>
            <w:tcW w:w="1695" w:type="dxa"/>
            <w:vAlign w:val="center"/>
          </w:tcPr>
          <w:p w14:paraId="61B43FFF" w14:textId="32A328F2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5B081531" w14:textId="201A5D5C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775BE282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0F9FEC77" w14:textId="387D9B89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347" w:type="dxa"/>
            <w:vAlign w:val="center"/>
          </w:tcPr>
          <w:p w14:paraId="053F483B" w14:textId="703B7CBE" w:rsidR="00CC7DA9" w:rsidRPr="00A84ABE" w:rsidRDefault="001A2CAE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Très forte chance de ne pas devoir remplacer et reset le parc </w:t>
            </w:r>
            <w:r w:rsidR="00C67F0F">
              <w:rPr>
                <w:b/>
                <w:bCs/>
                <w:color w:val="0070C0"/>
              </w:rPr>
              <w:t>informatique</w:t>
            </w:r>
          </w:p>
        </w:tc>
        <w:tc>
          <w:tcPr>
            <w:tcW w:w="559" w:type="dxa"/>
            <w:vAlign w:val="center"/>
          </w:tcPr>
          <w:p w14:paraId="67C2BF58" w14:textId="5417B8AF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2412" w:type="dxa"/>
            <w:vAlign w:val="center"/>
          </w:tcPr>
          <w:p w14:paraId="353390D9" w14:textId="1FE04E03" w:rsidR="00CC7DA9" w:rsidRPr="00A84ABE" w:rsidRDefault="00701090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Très forte chance de ne pas avoir une fuite de données</w:t>
            </w:r>
          </w:p>
        </w:tc>
      </w:tr>
      <w:tr w:rsidR="00CC7DA9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CC7DA9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224CF136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36ACE7FF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2CF7BA25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4B6997F7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2E4FEDFC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3F72B328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4713034E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6A75DFAE" w:rsidR="00CC7DA9" w:rsidRPr="00A84ABE" w:rsidRDefault="00CC7DA9" w:rsidP="00CC7DA9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BB10C" w14:textId="77777777" w:rsidR="00EB1856" w:rsidRDefault="00EB1856">
      <w:pPr>
        <w:spacing w:line="240" w:lineRule="auto"/>
      </w:pPr>
      <w:r>
        <w:separator/>
      </w:r>
    </w:p>
  </w:endnote>
  <w:endnote w:type="continuationSeparator" w:id="0">
    <w:p w14:paraId="053F0ADB" w14:textId="77777777" w:rsidR="00EB1856" w:rsidRDefault="00EB1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318E0DFF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5A6CF9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4ECCF" w14:textId="77777777" w:rsidR="00EB1856" w:rsidRDefault="00EB1856">
      <w:pPr>
        <w:spacing w:line="240" w:lineRule="auto"/>
      </w:pPr>
      <w:r>
        <w:separator/>
      </w:r>
    </w:p>
  </w:footnote>
  <w:footnote w:type="continuationSeparator" w:id="0">
    <w:p w14:paraId="0D598154" w14:textId="77777777" w:rsidR="00EB1856" w:rsidRDefault="00EB1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E64F9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0AB9"/>
    <w:rsid w:val="001A1553"/>
    <w:rsid w:val="001A287C"/>
    <w:rsid w:val="001A2CAE"/>
    <w:rsid w:val="001A7DFA"/>
    <w:rsid w:val="001B6B46"/>
    <w:rsid w:val="001C06F5"/>
    <w:rsid w:val="001D4117"/>
    <w:rsid w:val="001D439E"/>
    <w:rsid w:val="001E7DD2"/>
    <w:rsid w:val="001F0C6E"/>
    <w:rsid w:val="001F1BD5"/>
    <w:rsid w:val="001F2BD1"/>
    <w:rsid w:val="0021732F"/>
    <w:rsid w:val="002256C8"/>
    <w:rsid w:val="00226485"/>
    <w:rsid w:val="00244751"/>
    <w:rsid w:val="002513E0"/>
    <w:rsid w:val="00252063"/>
    <w:rsid w:val="00252E5F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238A"/>
    <w:rsid w:val="002C3A43"/>
    <w:rsid w:val="002C79C7"/>
    <w:rsid w:val="002E2943"/>
    <w:rsid w:val="002F54C6"/>
    <w:rsid w:val="0030049C"/>
    <w:rsid w:val="00302CEB"/>
    <w:rsid w:val="003119D0"/>
    <w:rsid w:val="00315F67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44F4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A6CF9"/>
    <w:rsid w:val="005B1E91"/>
    <w:rsid w:val="005B53C2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D210C"/>
    <w:rsid w:val="006E4A9B"/>
    <w:rsid w:val="006E6D04"/>
    <w:rsid w:val="006F6E8B"/>
    <w:rsid w:val="006F7099"/>
    <w:rsid w:val="00701090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0F9D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865BE"/>
    <w:rsid w:val="009A26F3"/>
    <w:rsid w:val="009A4038"/>
    <w:rsid w:val="009B6210"/>
    <w:rsid w:val="009D09C8"/>
    <w:rsid w:val="009E5E79"/>
    <w:rsid w:val="00A04A28"/>
    <w:rsid w:val="00A13BA7"/>
    <w:rsid w:val="00A20CD5"/>
    <w:rsid w:val="00A30740"/>
    <w:rsid w:val="00A406FF"/>
    <w:rsid w:val="00A50F43"/>
    <w:rsid w:val="00A53B4A"/>
    <w:rsid w:val="00A64EFE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236"/>
    <w:rsid w:val="00B21425"/>
    <w:rsid w:val="00B37BD1"/>
    <w:rsid w:val="00B41A56"/>
    <w:rsid w:val="00B47509"/>
    <w:rsid w:val="00B72120"/>
    <w:rsid w:val="00B737B2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67F0F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C7DA9"/>
    <w:rsid w:val="00CD7A8A"/>
    <w:rsid w:val="00CE1D38"/>
    <w:rsid w:val="00CF4549"/>
    <w:rsid w:val="00D07BFC"/>
    <w:rsid w:val="00D13E4A"/>
    <w:rsid w:val="00D16645"/>
    <w:rsid w:val="00D25601"/>
    <w:rsid w:val="00D30117"/>
    <w:rsid w:val="00D33773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D2D77"/>
    <w:rsid w:val="00DE3BDE"/>
    <w:rsid w:val="00DE699A"/>
    <w:rsid w:val="00DF371E"/>
    <w:rsid w:val="00DF6E27"/>
    <w:rsid w:val="00E072FF"/>
    <w:rsid w:val="00E37CCA"/>
    <w:rsid w:val="00E4065D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8414C"/>
    <w:rsid w:val="00E9040C"/>
    <w:rsid w:val="00E912E1"/>
    <w:rsid w:val="00EB1856"/>
    <w:rsid w:val="00EB2353"/>
    <w:rsid w:val="00EB6C07"/>
    <w:rsid w:val="00EC18EE"/>
    <w:rsid w:val="00EC71CF"/>
    <w:rsid w:val="00ED2F8F"/>
    <w:rsid w:val="00ED4731"/>
    <w:rsid w:val="00ED592C"/>
    <w:rsid w:val="00ED648D"/>
    <w:rsid w:val="00EE245D"/>
    <w:rsid w:val="00EE55F3"/>
    <w:rsid w:val="00EF5AB2"/>
    <w:rsid w:val="00F22FAA"/>
    <w:rsid w:val="00F254D9"/>
    <w:rsid w:val="00F47450"/>
    <w:rsid w:val="00F735F6"/>
    <w:rsid w:val="00F74C4D"/>
    <w:rsid w:val="00F8022C"/>
    <w:rsid w:val="00F822F8"/>
    <w:rsid w:val="00F92731"/>
    <w:rsid w:val="00FB1E22"/>
    <w:rsid w:val="00FB6C83"/>
    <w:rsid w:val="00FD70DD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203</cp:revision>
  <cp:lastPrinted>2022-09-22T09:20:00Z</cp:lastPrinted>
  <dcterms:created xsi:type="dcterms:W3CDTF">2023-10-04T07:22:00Z</dcterms:created>
  <dcterms:modified xsi:type="dcterms:W3CDTF">2024-10-03T13:39:00Z</dcterms:modified>
</cp:coreProperties>
</file>