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line="360" w:lineRule="auto"/>
        <w:ind w:left="1134" w:firstLine="567"/>
      </w:pPr>
      <w:r>
        <w:rPr>
          <w:rFonts w:ascii="楷体" w:hAnsi="楷体" w:eastAsia="楷体"/>
          <w:b w:val="0"/>
          <w:sz w:val="28"/>
        </w:rPr>
        <w:t>学年学期：</w:t>
      </w:r>
      <w:r>
        <w:rPr>
          <w:rFonts w:ascii="楷体" w:hAnsi="楷体" w:eastAsia="楷体"/>
          <w:b w:val="0"/>
          <w:sz w:val="28"/>
          <w:u w:val="single"/>
        </w:rPr>
        <w:t xml:space="preserve">     2025-2026学年第二学期    </w:t>
      </w:r>
    </w:p>
    <w:p>
      <w:pPr>
        <w:spacing w:line="360" w:lineRule="auto"/>
        <w:ind w:left="1134" w:firstLine="567"/>
      </w:pPr>
      <w:r>
        <w:rPr>
          <w:rFonts w:ascii="楷体" w:hAnsi="楷体" w:eastAsia="楷体"/>
          <w:b w:val="0"/>
          <w:sz w:val="28"/>
        </w:rPr>
        <w:t>课程名称：</w:t>
      </w:r>
      <w:r>
        <w:rPr>
          <w:rFonts w:ascii="楷体" w:hAnsi="楷体" w:eastAsia="楷体"/>
          <w:b w:val="0"/>
          <w:sz w:val="28"/>
          <w:u w:val="single"/>
        </w:rPr>
        <w:t xml:space="preserve">          安全通论            </w:t>
      </w:r>
    </w:p>
    <w:p>
      <w:pPr>
        <w:spacing w:line="360" w:lineRule="auto"/>
        <w:ind w:left="1134" w:firstLine="567"/>
      </w:pPr>
      <w:r>
        <w:rPr>
          <w:rFonts w:ascii="楷体" w:hAnsi="楷体" w:eastAsia="楷体"/>
          <w:b w:val="0"/>
          <w:sz w:val="28"/>
        </w:rPr>
        <w:t>课程代码：</w:t>
      </w:r>
      <w:r>
        <w:rPr>
          <w:rFonts w:ascii="楷体" w:hAnsi="楷体" w:eastAsia="楷体"/>
          <w:b w:val="0"/>
          <w:sz w:val="28"/>
          <w:u w:val="single"/>
        </w:rPr>
        <w:t xml:space="preserve">            0630167             </w:t>
      </w:r>
    </w:p>
    <w:p>
      <w:pPr>
        <w:spacing w:line="360" w:lineRule="auto"/>
        <w:ind w:left="1134" w:firstLine="567"/>
      </w:pPr>
      <w:r>
        <w:rPr>
          <w:rFonts w:ascii="楷体" w:hAnsi="楷体" w:eastAsia="楷体"/>
          <w:b w:val="0"/>
          <w:sz w:val="28"/>
        </w:rPr>
        <w:t>实验名称：</w:t>
      </w:r>
      <w:r>
        <w:rPr>
          <w:rFonts w:ascii="楷体" w:hAnsi="楷体" w:eastAsia="楷体"/>
          <w:b w:val="0"/>
          <w:sz w:val="28"/>
          <w:u w:val="single"/>
        </w:rPr>
        <w:t xml:space="preserve">        网络流量分类（TCG 图）        </w:t>
      </w:r>
    </w:p>
    <w:p>
      <w:pPr>
        <w:spacing w:line="360" w:lineRule="auto"/>
        <w:ind w:left="1134" w:firstLine="567"/>
      </w:pPr>
      <w:r>
        <w:rPr>
          <w:rFonts w:ascii="楷体" w:hAnsi="楷体" w:eastAsia="楷体"/>
          <w:b w:val="0"/>
          <w:sz w:val="28"/>
        </w:rPr>
        <w:t>实验类型：</w:t>
      </w:r>
      <w:r>
        <w:rPr>
          <w:rFonts w:ascii="楷体" w:hAnsi="楷体" w:eastAsia="楷体"/>
          <w:b w:val="0"/>
          <w:sz w:val="28"/>
          <w:u w:val="single"/>
        </w:rPr>
        <w:t xml:space="preserve">          综合性实验          </w:t>
      </w:r>
    </w:p>
    <w:p>
      <w:pPr>
        <w:spacing w:line="360" w:lineRule="auto"/>
        <w:ind w:left="1134" w:firstLine="567"/>
      </w:pPr>
      <w:r>
        <w:rPr>
          <w:rFonts w:ascii="楷体" w:hAnsi="楷体" w:eastAsia="楷体"/>
          <w:b w:val="0"/>
          <w:sz w:val="28"/>
        </w:rPr>
        <w:t>姓    名：</w:t>
      </w:r>
      <w:r>
        <w:rPr>
          <w:rFonts w:ascii="楷体" w:hAnsi="楷体" w:eastAsia="楷体"/>
          <w:b w:val="0"/>
          <w:sz w:val="28"/>
          <w:u w:val="single"/>
        </w:rPr>
        <w:t xml:space="preserve">           林源卿             </w:t>
      </w:r>
    </w:p>
    <w:p>
      <w:pPr>
        <w:spacing w:line="360" w:lineRule="auto"/>
        <w:ind w:left="1134" w:firstLine="567"/>
      </w:pPr>
      <w:r>
        <w:rPr>
          <w:rFonts w:ascii="楷体" w:hAnsi="楷体" w:eastAsia="楷体"/>
          <w:b w:val="0"/>
          <w:sz w:val="28"/>
        </w:rPr>
        <w:t>学    号：</w:t>
      </w:r>
      <w:r>
        <w:rPr>
          <w:rFonts w:ascii="楷体" w:hAnsi="楷体" w:eastAsia="楷体"/>
          <w:b w:val="0"/>
          <w:sz w:val="28"/>
          <w:u w:val="single"/>
        </w:rPr>
        <w:t xml:space="preserve">          2023312350           </w:t>
      </w:r>
    </w:p>
    <w:p>
      <w:pPr>
        <w:spacing w:line="360" w:lineRule="auto"/>
        <w:ind w:left="1134" w:firstLine="567"/>
      </w:pPr>
      <w:r>
        <w:rPr>
          <w:rFonts w:ascii="楷体" w:hAnsi="楷体" w:eastAsia="楷体"/>
          <w:b w:val="0"/>
          <w:sz w:val="28"/>
        </w:rPr>
        <w:t>班    级：</w:t>
      </w:r>
      <w:r>
        <w:rPr>
          <w:rFonts w:ascii="楷体" w:hAnsi="楷体" w:eastAsia="楷体"/>
          <w:b w:val="0"/>
          <w:sz w:val="28"/>
          <w:u w:val="single"/>
        </w:rPr>
        <w:t xml:space="preserve">          信息安全23          </w:t>
      </w:r>
    </w:p>
    <w:p>
      <w:pPr>
        <w:spacing w:before="0" w:after="0"/>
      </w:pPr>
    </w:p>
    <w:p>
      <w:pPr>
        <w:spacing w:before="0" w:after="0"/>
        <w:ind w:left="1134"/>
      </w:pPr>
      <w:r>
        <w:rPr>
          <w:rFonts w:ascii="楷体" w:hAnsi="楷体" w:eastAsia="楷体"/>
          <w:b w:val="0"/>
          <w:sz w:val="24"/>
        </w:rPr>
        <w:t xml:space="preserve">指导教师（签字）：                              </w:t>
      </w:r>
    </w:p>
    <w:p>
      <w:pPr>
        <w:spacing w:before="0" w:after="0"/>
      </w:pPr>
    </w:p>
    <w:p>
      <w:pPr>
        <w:spacing w:before="0" w:after="0"/>
        <w:ind w:left="1134"/>
      </w:pPr>
      <w:r>
        <w:rPr>
          <w:rFonts w:ascii="楷体" w:hAnsi="楷体" w:eastAsia="楷体"/>
          <w:b w:val="0"/>
          <w:sz w:val="24"/>
        </w:rPr>
        <w:t xml:space="preserve">评    分：                                </w:t>
      </w:r>
    </w:p>
    <w:p>
      <w:pPr>
        <w:spacing w:before="0" w:after="0"/>
      </w:pPr>
    </w:p>
    <w:p>
      <w:pPr>
        <w:spacing w:before="0" w:after="0"/>
        <w:ind w:left="1134"/>
      </w:pPr>
      <w:r>
        <w:rPr>
          <w:rFonts w:ascii="楷体" w:hAnsi="楷体" w:eastAsia="楷体"/>
          <w:b w:val="0"/>
          <w:sz w:val="24"/>
        </w:rPr>
        <w:t xml:space="preserve">评 阅 人：                                </w:t>
      </w:r>
    </w:p>
    <w:p>
      <w:r>
        <w:br w:type="page"/>
      </w:r>
    </w:p>
    <w:p>
      <w:pPr>
        <w:spacing w:before="0" w:after="120"/>
        <w:jc w:val="center"/>
      </w:pPr>
      <w:r>
        <w:rPr>
          <w:rFonts w:ascii="黑体" w:hAnsi="黑体" w:eastAsia="黑体"/>
          <w:b/>
          <w:sz w:val="24"/>
        </w:rPr>
        <w:t>实验报告说明</w:t>
      </w:r>
    </w:p>
    <w:p>
      <w:r>
        <w:rPr>
          <w:rFonts w:ascii="宋体" w:hAnsi="宋体" w:eastAsia="宋体"/>
          <w:b/>
          <w:sz w:val="21"/>
        </w:rPr>
        <w:t>1、实验项目名称：</w:t>
      </w:r>
      <w:r>
        <w:rPr>
          <w:rFonts w:ascii="宋体" w:hAnsi="宋体" w:eastAsia="宋体"/>
          <w:b w:val="0"/>
          <w:sz w:val="21"/>
        </w:rPr>
        <w:t>要用最简练的语言反映实验的内容。要求与实验指导书中相一致。</w:t>
      </w:r>
    </w:p>
    <w:p>
      <w:r>
        <w:rPr>
          <w:rFonts w:ascii="宋体" w:hAnsi="宋体" w:eastAsia="宋体"/>
          <w:b/>
          <w:sz w:val="21"/>
        </w:rPr>
        <w:t>2、实验类型：</w:t>
      </w:r>
      <w:r>
        <w:rPr>
          <w:rFonts w:ascii="宋体" w:hAnsi="宋体" w:eastAsia="宋体"/>
          <w:b w:val="0"/>
          <w:sz w:val="21"/>
        </w:rPr>
        <w:t>一般需说明是验证型实验还是设计型实验，是创新型实验还是综合型实验。</w:t>
      </w:r>
    </w:p>
    <w:p>
      <w:r>
        <w:rPr>
          <w:rFonts w:ascii="宋体" w:hAnsi="宋体" w:eastAsia="宋体"/>
          <w:b/>
          <w:sz w:val="21"/>
        </w:rPr>
        <w:t>3、实验目的与要求：</w:t>
      </w:r>
      <w:r>
        <w:rPr>
          <w:rFonts w:ascii="宋体" w:hAnsi="宋体" w:eastAsia="宋体"/>
          <w:b w:val="0"/>
          <w:sz w:val="21"/>
        </w:rPr>
        <w:t>目的要明确，要抓住重点，符合实验指导书中的要求。</w:t>
      </w:r>
    </w:p>
    <w:p>
      <w:r>
        <w:rPr>
          <w:rFonts w:ascii="宋体" w:hAnsi="宋体" w:eastAsia="宋体"/>
          <w:b/>
          <w:sz w:val="21"/>
        </w:rPr>
        <w:t>4、实验原理：</w:t>
      </w:r>
      <w:r>
        <w:rPr>
          <w:rFonts w:ascii="宋体" w:hAnsi="宋体" w:eastAsia="宋体"/>
          <w:b w:val="0"/>
          <w:sz w:val="21"/>
        </w:rPr>
        <w:t>简要说明本实验项目所涉及的理论知识。</w:t>
      </w:r>
    </w:p>
    <w:p>
      <w:r>
        <w:rPr>
          <w:rFonts w:ascii="宋体" w:hAnsi="宋体" w:eastAsia="宋体"/>
          <w:b/>
          <w:sz w:val="21"/>
        </w:rPr>
        <w:t>5、实验环境：</w:t>
      </w:r>
      <w:r>
        <w:rPr>
          <w:rFonts w:ascii="宋体" w:hAnsi="宋体" w:eastAsia="宋体"/>
          <w:b w:val="0"/>
          <w:sz w:val="21"/>
        </w:rPr>
        <w:t>实验用的软硬件环境（配置）。</w:t>
      </w:r>
    </w:p>
    <w:p>
      <w:r>
        <w:rPr>
          <w:rFonts w:ascii="宋体" w:hAnsi="宋体" w:eastAsia="宋体"/>
          <w:b/>
          <w:sz w:val="21"/>
        </w:rPr>
        <w:t>6、实验方法设计：</w:t>
      </w:r>
      <w:r>
        <w:rPr>
          <w:rFonts w:ascii="宋体" w:hAnsi="宋体" w:eastAsia="宋体"/>
          <w:b w:val="0"/>
          <w:sz w:val="21"/>
        </w:rPr>
        <w:t>思路、流程和方法等。这是实验报告极其重要的内容。包括实验过程的论述。</w:t>
      </w:r>
    </w:p>
    <w:p>
      <w:r>
        <w:rPr>
          <w:rFonts w:ascii="宋体" w:hAnsi="宋体" w:eastAsia="宋体"/>
          <w:b/>
          <w:sz w:val="21"/>
        </w:rPr>
        <w:t>7、实验过程：</w:t>
      </w:r>
      <w:r>
        <w:rPr>
          <w:rFonts w:ascii="宋体" w:hAnsi="宋体" w:eastAsia="宋体"/>
          <w:b w:val="0"/>
          <w:sz w:val="21"/>
        </w:rPr>
        <w:t>实验步骤、数据、分析等。写出实验方案的具体实施步骤，包括实验过程中的记录、数据和相应的分析等。</w:t>
      </w:r>
    </w:p>
    <w:p>
      <w:r>
        <w:rPr>
          <w:rFonts w:ascii="宋体" w:hAnsi="宋体" w:eastAsia="宋体"/>
          <w:b/>
          <w:sz w:val="21"/>
        </w:rPr>
        <w:t>8、结论：</w:t>
      </w:r>
      <w:r>
        <w:rPr>
          <w:rFonts w:ascii="宋体" w:hAnsi="宋体" w:eastAsia="宋体"/>
          <w:b w:val="0"/>
          <w:sz w:val="21"/>
        </w:rPr>
        <w:t>对实验结果进行分析，根据分析结果得出结论。</w:t>
      </w:r>
    </w:p>
    <w:p>
      <w:r>
        <w:rPr>
          <w:rFonts w:ascii="宋体" w:hAnsi="宋体" w:eastAsia="宋体"/>
          <w:b/>
          <w:sz w:val="21"/>
        </w:rPr>
        <w:t>9、小结：</w:t>
      </w:r>
      <w:r>
        <w:rPr>
          <w:rFonts w:ascii="宋体" w:hAnsi="宋体" w:eastAsia="宋体"/>
          <w:b w:val="0"/>
          <w:sz w:val="21"/>
        </w:rPr>
        <w:t>对本次实验的心得体会、思考和建议。</w:t>
      </w:r>
    </w:p>
    <w:p>
      <w:r>
        <w:rPr>
          <w:rFonts w:ascii="宋体" w:hAnsi="宋体" w:eastAsia="宋体"/>
          <w:b/>
          <w:sz w:val="21"/>
        </w:rPr>
        <w:t>10、指导教师评语及成绩：</w:t>
      </w:r>
      <w:r>
        <w:rPr>
          <w:rFonts w:ascii="宋体" w:hAnsi="宋体" w:eastAsia="宋体"/>
          <w:b w:val="0"/>
          <w:sz w:val="21"/>
        </w:rPr>
        <w:t>指导教师根据学生的实验情况，用计算机语言给出本次实验报告的评价和价值。</w:t>
      </w:r>
    </w:p>
    <w:p>
      <w:pPr>
        <w:spacing w:before="0" w:after="0"/>
      </w:pPr>
    </w:p>
    <w:p>
      <w:r>
        <w:rPr>
          <w:rFonts w:ascii="宋体" w:hAnsi="宋体" w:eastAsia="宋体"/>
          <w:b/>
          <w:sz w:val="21"/>
        </w:rPr>
        <w:t>注    意：</w:t>
      </w:r>
    </w:p>
    <w:p>
      <w:r>
        <w:rPr>
          <w:rFonts w:ascii="宋体" w:hAnsi="宋体" w:eastAsia="宋体"/>
          <w:b w:val="0"/>
          <w:sz w:val="21"/>
        </w:rPr>
        <w:t>请按要求提交实验报告，逾期不计成绩。抄袭不计成绩。</w:t>
      </w:r>
    </w:p>
    <w:p>
      <w:r>
        <w:rPr>
          <w:rFonts w:ascii="宋体" w:hAnsi="宋体" w:eastAsia="宋体"/>
          <w:b w:val="0"/>
          <w:sz w:val="21"/>
        </w:rPr>
        <w:t>实验报告文档命名为：</w:t>
      </w:r>
      <w:r>
        <w:rPr>
          <w:rFonts w:ascii="宋体" w:hAnsi="宋体" w:eastAsia="宋体"/>
          <w:b w:val="0"/>
          <w:sz w:val="21"/>
          <w:u w:val="single"/>
        </w:rPr>
        <w:t>实验编号</w:t>
      </w:r>
      <w:r>
        <w:rPr>
          <w:rFonts w:ascii="宋体" w:hAnsi="宋体" w:eastAsia="宋体"/>
          <w:b w:val="0"/>
          <w:sz w:val="21"/>
        </w:rPr>
        <w:t xml:space="preserve"> + _ + </w:t>
      </w:r>
      <w:r>
        <w:rPr>
          <w:rFonts w:ascii="宋体" w:hAnsi="宋体" w:eastAsia="宋体"/>
          <w:b w:val="0"/>
          <w:sz w:val="21"/>
          <w:u w:val="single"/>
        </w:rPr>
        <w:t>班级</w:t>
      </w:r>
      <w:r>
        <w:rPr>
          <w:rFonts w:ascii="宋体" w:hAnsi="宋体" w:eastAsia="宋体"/>
          <w:b w:val="0"/>
          <w:sz w:val="21"/>
        </w:rPr>
        <w:t xml:space="preserve"> + _ + </w:t>
      </w:r>
      <w:r>
        <w:rPr>
          <w:rFonts w:ascii="宋体" w:hAnsi="宋体" w:eastAsia="宋体"/>
          <w:b w:val="0"/>
          <w:sz w:val="21"/>
          <w:u w:val="single"/>
        </w:rPr>
        <w:t>姓名</w:t>
      </w:r>
      <w:r>
        <w:rPr>
          <w:rFonts w:ascii="宋体" w:hAnsi="宋体" w:eastAsia="宋体"/>
          <w:b w:val="0"/>
          <w:sz w:val="21"/>
        </w:rPr>
        <w:t xml:space="preserve"> + _ + </w:t>
      </w:r>
      <w:r>
        <w:rPr>
          <w:rFonts w:ascii="宋体" w:hAnsi="宋体" w:eastAsia="宋体"/>
          <w:b w:val="0"/>
          <w:sz w:val="21"/>
          <w:u w:val="single"/>
        </w:rPr>
        <w:t>学号</w:t>
      </w:r>
      <w:r>
        <w:rPr>
          <w:rFonts w:ascii="宋体" w:hAnsi="宋体" w:eastAsia="宋体"/>
          <w:b w:val="0"/>
          <w:sz w:val="21"/>
        </w:rPr>
        <w:t xml:space="preserve"> + .docx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W w:w="5000" w:type="pct"/>
      </w:tblPr>
      <w:tblGrid>
        <w:gridCol w:w="8300"/>
      </w:tblGrid>
      <w:tr>
        <w:tc>
          <w:tcPr>
            <w:tcW w:type="dxa" w:w="8300"/>
            <w:shd w:fill="D9E2F3" w:val="clear"/>
          </w:tcPr>
          <w:p>
            <w:r>
              <w:rPr>
                <w:rFonts w:ascii="黑体" w:hAnsi="黑体" w:eastAsia="黑体"/>
                <w:b/>
                <w:sz w:val="24"/>
              </w:rPr>
              <w:t>实验项目名称</w:t>
            </w:r>
          </w:p>
          <w:p>
            <w:pPr>
              <w:jc w:val="center"/>
            </w:pPr>
            <w:r>
              <w:rPr>
                <w:rFonts w:ascii="楷体" w:hAnsi="楷体" w:eastAsia="楷体"/>
                <w:b/>
                <w:sz w:val="28"/>
              </w:rPr>
              <w:t>实验四  网络流量分类（TCG 图）</w:t>
            </w:r>
          </w:p>
        </w:tc>
      </w:tr>
      <w:tr>
        <w:tc>
          <w:tcPr>
            <w:tcW w:type="dxa" w:w="8300"/>
          </w:tcPr>
          <w:p/>
          <w:p>
            <w:pPr>
              <w:spacing w:before="20" w:after="20"/>
            </w:pPr>
            <w:r>
              <w:rPr>
                <w:rFonts w:ascii="黑体" w:hAnsi="黑体" w:eastAsia="黑体"/>
                <w:b/>
                <w:sz w:val="24"/>
              </w:rPr>
              <w:t>【实验目的及要求】</w:t>
            </w:r>
          </w:p>
          <w:p>
            <w:pPr>
              <w:spacing w:before="6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本实验依据《安全通论-实验3-网络流量分类》PPT以及老师在学习通发布的课堂材料完成。根据老师通知，原"作业三"任务已拆分为两个：HCG图为作业三，TCG图为作业四。本报告对应作业四，即TCG（Traffic Causality Graph）图网络流量分类实验。</w:t>
            </w:r>
          </w:p>
          <w:p>
            <w:pPr>
              <w:spacing w:before="6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1"/>
              </w:rPr>
              <w:t>PPT中作业评分点要求：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（1）数据集的介绍、下载、展示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（2）TCG流量图建模方法：将网络流作为顶点，按照刘珍论文定义四种流间因果关系边（CR/PR/DHR/SHR），写代码提取数据集中的对应字段，可视化或代码导入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（3）Node2Vec图嵌入与特征融合：通过文字、代码、截图描述步骤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（4）测试至少3种不同的分类器，给出Accuracy、Precision、Recall、F1-Score评价指标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（5）通过GitHub提交报告，把链接放到学习通回答中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2"/>
              </w:rPr>
            </w:r>
          </w:p>
          <w:p>
            <w:pPr>
              <w:spacing w:before="20" w:after="20"/>
            </w:pPr>
            <w:r>
              <w:rPr>
                <w:rFonts w:ascii="黑体" w:hAnsi="黑体" w:eastAsia="黑体"/>
                <w:b/>
                <w:sz w:val="24"/>
              </w:rPr>
              <w:t>【实验原理】</w:t>
            </w:r>
          </w:p>
          <w:p>
            <w:pPr>
              <w:spacing w:before="6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1. 数据集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PPT中给出的数据集为 "IP Network Traffic Flows Labeled with 75 Apps"（87个属性）。数据采集自哥伦比亚波帕扬市考卡大学的一个网络区域，通过在2017年的六天时间内（4月26-28日及5月9/11/15日），于上午和下午的不同时段进行数据包捕获而获得。共采集3,577,296个实例，以CSV文件格式存储。数据集包含87个特征，每个实例保存了由网络设备生成的IP流信息，包括源IP地址与目标IP地址、端口、到达时间间隔，以及该流所使用的第七层协议（应用层）作为标签。</w:t>
            </w:r>
          </w:p>
          <w:p>
            <w:pPr>
              <w:spacing w:before="6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本次实验抽样策略：扫描前600,000行 → 选取出现次数最多的10个应用协议类别（GOOGLE、HTTP、HTTP_PROXY、SSL、HTTP_CONNECT、YOUTUBE、MICROSOFT、AMAZON、WINDOWS_UPDATE、GMAIL）→ 每类最多5,000条 → 总计50,000条流记录 → 按8:2分层划分训练/测试集（40,000条训练 + 10,000条测试）。采样量与实验三（HCG）保持一致。</w:t>
            </w:r>
          </w:p>
          <w:p>
            <w:pPr>
              <w:spacing w:before="16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7029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ig_01_dataset_overvie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7029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楷体" w:hAnsi="楷体" w:eastAsia="楷体"/>
                <w:b/>
                <w:sz w:val="18"/>
              </w:rPr>
              <w:t>图1  数据集概览与类别分布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2. TCG 流量图建模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参考《互联网流量分类中流量特征研究_刘珍》对流量特征和连接图的讨论：将原始网络流建模为Flow顶点；按照刘珍论文定义四种流间因果关系边（时间窗口 causal_window=60s）：</w:t>
            </w:r>
          </w:p>
          <w:p>
            <w:pPr>
              <w:spacing w:before="4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CR（Communication Relationship，双向通信关系）：protocol(f1)=protocol(f2) ∧ srcIp(f1)=dstIp(f2) ∧ dstIp(f1)=srcIp(f2) ∧ srcPort(f1)=dstPort(f2) ∧ dstPort(f1)=srcPort(f2)。含义：同一协议的双向对称流对。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PR（Propagation Relationship，传播关系）：dstIp(f1) = srcIp(f2)。含义：信息经中间主机转发形成的传播链。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DHR（Dynamic-Port Host Relationship，动态端口关系）：srcIp(f1)=srcIp(f2) ∧ srcPort(f1)≠srcPort(f2)。含义：同一主机使用不同端口通信。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SHR（Static-Port Host Relationship，静态端口关系）：srcIp(f1)=srcIp(f2) ∧ srcPort(f1)=srcPort(f2)。含义：同一端口复用（如端口扫描）。</w:t>
            </w:r>
          </w:p>
          <w:p>
            <w:pPr>
              <w:spacing w:before="4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TCG图统计：Flow顶点50,000个，CR边445条，PR边23,920条，DHR边35,472条，SHR边6,122条，合计65,959条因果边。</w:t>
            </w:r>
          </w:p>
          <w:p>
            <w:pPr>
              <w:spacing w:before="16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18949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ig_03_tcg_distributio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1894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楷体" w:hAnsi="楷体" w:eastAsia="楷体"/>
                <w:b/>
                <w:sz w:val="18"/>
              </w:rPr>
              <w:t>图2  TCG四种边类型分布（饼图+柱状图）</w:t>
            </w:r>
          </w:p>
          <w:p>
            <w:pPr>
              <w:spacing w:before="16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311138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ig_04_edge_statistic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1113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楷体" w:hAnsi="楷体" w:eastAsia="楷体"/>
                <w:b/>
                <w:sz w:val="18"/>
              </w:rPr>
              <w:t>图3  TCG四种边的Delta时间分布与属性统计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3. 特征提取与融合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参考《基于时空图神经网络的网络异常检测与流量分类_苏永才》第4章的Node2Vec嵌入方法（p=0.3, q=0.7, walk_length=7, num_walks=10），对TCG的四种边类型分别独立做Node2Vec有向图嵌入，每边类型4维，4种合计16维。此外，从原始CSV中提取80维数值型流统计特征（排除ID/IP/时间戳/标签等非数值字段），并构建2维结构特征（源/目的端点的度统计）。最终融合特征 = 80维原始特征 + 16维TCG嵌入 + 2维结构特征 = 98维。</w:t>
            </w:r>
          </w:p>
          <w:p>
            <w:pPr>
              <w:spacing w:before="16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162462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ig_05_feature_composit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16246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楷体" w:hAnsi="楷体" w:eastAsia="楷体"/>
                <w:b/>
                <w:sz w:val="18"/>
              </w:rPr>
              <w:t>图4  98维融合特征向量组成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4. 实验设计：三组特征消融对比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为量化TCG特征的独立贡献和融合效果，设计三组消融对照实验：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Raw组（80维，基线）：仅原始流统计特征，验证统计特征本身的分类能力。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TCG-only组（18维）：仅TCG图嵌入+结构特征，验证TCG特征能否独立分类。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Raw+TCG组（98维，融合）：原始特征+TCG嵌入+结构特征，验证TCG的融合增益。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5. 分类器与评价指标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按照PPT要求，使用4种分类器（≥3种）：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DecisionTree（决策树）：max_depth=18, min_samples_leaf=3。一种非度量学习模型，每个节点表示一个特征，分叉路径表示该特征可能的特征值。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KNN（K近邻）：n_neighbors=5, weights="distance"。如果一个样本的K个近邻样本中大多数来自同一类型，则该样本也属于这个类型。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RandomForest（随机森林）：n_estimators=160, max_depth=24。集成学习方法。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MLP（多层感知机，PyTorch）：3层隐藏层 + BatchNorm + Dropout，50 epochs。</w:t>
            </w:r>
          </w:p>
          <w:p>
            <w:pPr>
              <w:spacing w:before="4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评价指标：Accuracy（准确率）、Weighted Precision（加权精确率）、Weighted Recall（加权召回率）、Weighted F1-Score（加权F1值）。所有指标在10,000条测试集上计算。</w:t>
            </w:r>
          </w:p>
        </w:tc>
      </w:tr>
      <w:tr>
        <w:tc>
          <w:tcPr>
            <w:tcW w:type="dxa" w:w="8300"/>
          </w:tcPr>
          <w:p/>
          <w:p>
            <w:pPr>
              <w:spacing w:before="20" w:after="20"/>
            </w:pPr>
            <w:r>
              <w:rPr>
                <w:rFonts w:ascii="黑体" w:hAnsi="黑体" w:eastAsia="黑体"/>
                <w:b/>
                <w:sz w:val="24"/>
              </w:rPr>
              <w:t>【实验环境】</w:t>
            </w:r>
          </w:p>
          <w:p>
            <w:pPr>
              <w:spacing w:before="6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操作系统：Windows 11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开发环境：Python 3.13、pandas、numpy、scikit-learn、PyTorch、matplotlib、TensorBoard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数据集：Unicauca 87属性网络流数据集（本地CSV，1.7GB）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实验脚本：scripts/run_tcg_only.py（TCG实验主脚本）、scripts/render_tcg_report_figures.py（图表生成脚本）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结果输出：outputs/tcg_only/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2"/>
              </w:rPr>
            </w:r>
          </w:p>
          <w:p>
            <w:pPr>
              <w:spacing w:before="20" w:after="20"/>
            </w:pPr>
            <w:r>
              <w:rPr>
                <w:rFonts w:ascii="黑体" w:hAnsi="黑体" w:eastAsia="黑体"/>
                <w:b/>
                <w:sz w:val="24"/>
              </w:rPr>
              <w:t>【实验过程与结果】</w:t>
            </w:r>
          </w:p>
          <w:p>
            <w:pPr>
              <w:spacing w:before="6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步骤1：数据加载与抽样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从1.7GB原始CSV文件中读取前600,000行，过滤缺失五元组的记录，选取10个出现频率最高的应用协议类别，每类随机采样5,000条，总计50,000条平衡样本。补充row_id、src_endpoint（源IP:端口）、dst_endpoint（目的IP:端口）、timestamp_dt等衍生字段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步骤2：TCG图构建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将50,000条流记录导出为Flow顶点表（tcg_vertices_flow.csv）。按60秒因果时间窗口，分别构建四种边类型。核心构建代码采用基于哈希索引的O(n)匹配算法：对CR边，构建(protocol, src_ip, dst_ip, src_port, dst_port)五元组的正向索引和反向匹配；对PR边，构建dstIp索引，查找dstIp(f1)=srcIp(f2)的传播链；对DHR边，按srcIp索引，筛选不同端口的记录对；对SHR边，按(srcIp, srcPort)联合索引匹配。</w:t>
            </w:r>
          </w:p>
          <w:p>
            <w:pPr>
              <w:spacing w:before="4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构建结果：CR:445条 | PR:23,920条 | DHR:35,472条 | SHR:6,122条 | 合计:65,959条因果边。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步骤3：Node2Vec图嵌入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对四种边类型分别构造有向图，使用Node2Vec算法（p=0.3鼓励探索新节点、q=0.7偏向BFS局部结构、walk_length=7、num_walks=10）生成随机游走序列，通过Alias Method实现O(1)采样。再通过Skip-gram负采样（窗口大小=5, 负样本数=5, Adam优化器, lr=0.01, 5 epochs）训练4维Flow嵌入向量。四种边类型嵌入拼接为16维TCG特征。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步骤4：分类器训练与评估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对三组特征（Raw、TCG-only、Raw+TCG），分别使用StandardScaler标准化后，训练4种分类器并在相同的测试集上评估。实验配置：scan_rows=600,000, top_classes=10, samples_per_class=5,000, embedding_dim=16, epochs=50, batch_size=512, causal_window=60s, random_state=42。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实验结果总表：</w:t>
            </w:r>
          </w:p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1660"/>
              <w:gridCol w:w="1660"/>
              <w:gridCol w:w="1660"/>
              <w:gridCol w:w="1660"/>
              <w:gridCol w:w="1660"/>
            </w:tblGrid>
            <w:tr>
              <w:tc>
                <w:tcPr>
                  <w:tcW w:type="dxa" w:w="1660"/>
                  <w:shd w:fill="1F4E79" w:val="clea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特征组</w:t>
                  </w:r>
                </w:p>
              </w:tc>
              <w:tc>
                <w:tcPr>
                  <w:tcW w:type="dxa" w:w="1660"/>
                  <w:shd w:fill="1F4E79" w:val="clea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分类器</w:t>
                  </w:r>
                </w:p>
              </w:tc>
              <w:tc>
                <w:tcPr>
                  <w:tcW w:type="dxa" w:w="1660"/>
                  <w:shd w:fill="1F4E79" w:val="clea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Accuracy</w:t>
                  </w:r>
                </w:p>
              </w:tc>
              <w:tc>
                <w:tcPr>
                  <w:tcW w:type="dxa" w:w="1660"/>
                  <w:shd w:fill="1F4E79" w:val="clea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Precision</w:t>
                  </w:r>
                </w:p>
              </w:tc>
              <w:tc>
                <w:tcPr>
                  <w:tcW w:type="dxa" w:w="1660"/>
                  <w:shd w:fill="1F4E79" w:val="clear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F1-Score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Raw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DecisionTree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0.6654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0.6690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0.6667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Raw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KNN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0.6166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0.6118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0.6132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Raw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RandomForest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0.7247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0.7231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0.7232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Raw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MLP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0.5872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0.5882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0.5830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TCG-only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DecisionTree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0.4867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0.4945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0.4883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TCG-only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KNN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0.3210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0.3162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0.3176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TCG-only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RandomForest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0.4999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0.5102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0.4972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TCG-only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MLP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0.3289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0.3048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0.2793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Raw+TCG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DecisionTree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0.7130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0.7114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0.7115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Raw+TCG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KNN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0.5324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0.5270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0.5287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Raw+TCG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RandomForest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0.7750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0.7745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/>
                      <w:sz w:val="18"/>
                    </w:rPr>
                    <w:t>0.7736</w:t>
                  </w:r>
                </w:p>
              </w:tc>
            </w:tr>
            <w:tr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Raw+TCG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MLP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0.6152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0.6152</w:t>
                  </w:r>
                </w:p>
              </w:tc>
              <w:tc>
                <w:tcPr>
                  <w:tcW w:type="dxa" w:w="1660"/>
                </w:tcPr>
                <w:p>
                  <w:pPr>
                    <w:spacing w:before="20" w:after="20"/>
                    <w:jc w:val="center"/>
                  </w:pPr>
                  <w:r>
                    <w:rPr>
                      <w:rFonts w:ascii="宋体" w:hAnsi="宋体" w:eastAsia="宋体"/>
                      <w:b w:val="0"/>
                      <w:sz w:val="18"/>
                    </w:rPr>
                    <w:t>0.6118</w:t>
                  </w:r>
                </w:p>
              </w:tc>
            </w:tr>
          </w:tbl>
          <w:p/>
          <w:p>
            <w:pPr>
              <w:spacing w:before="40" w:after="0"/>
            </w:pPr>
          </w:p>
          <w:p>
            <w:pPr>
              <w:spacing w:before="20" w:after="20"/>
              <w:jc w:val="center"/>
            </w:pPr>
            <w:r>
              <w:rPr>
                <w:rFonts w:ascii="楷体" w:hAnsi="楷体" w:eastAsia="楷体"/>
                <w:b w:val="0"/>
                <w:sz w:val="18"/>
              </w:rPr>
              <w:t>表1  三组特征 × 四分类器综合实验结果（最佳模型为 RandomForest(Raw+TCG), F1=0.7736）</w:t>
            </w:r>
          </w:p>
          <w:p>
            <w:pPr>
              <w:spacing w:before="16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72000" cy="351768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ig_06_classifier_comparison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0" cy="351768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楷体" w:hAnsi="楷体" w:eastAsia="楷体"/>
                <w:b/>
                <w:sz w:val="18"/>
              </w:rPr>
              <w:t>图5  四分类器三组特征详细性能对比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2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TCG特征贡献分析：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为量化TCG图嵌入对分类性能的边际贡献，计算Raw+TCG融合组相对于Raw基线的F1-Score变化（ΔF1）：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DecisionTree: Raw=0.6667, Raw+TCG=0.7115, Δ=+4.48pp ▲（正向增益）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KNN: Raw=0.6132, Raw+TCG=0.5287, Δ=-8.45pp ▼（负向影响）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RandomForest: Raw=0.7232, Raw+TCG=0.7736, Δ=+5.04pp ▲（最大正向增益）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 xml:space="preserve">  MLP: Raw=0.5830, Raw+TCG=0.6118, Δ=+2.88pp ▲（正向增益）</w:t>
            </w:r>
          </w:p>
          <w:p>
            <w:pPr>
              <w:spacing w:before="16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2266983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ig_07_tcg_contribution_heatma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26698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楷体" w:hAnsi="楷体" w:eastAsia="楷体"/>
                <w:b/>
                <w:sz w:val="18"/>
              </w:rPr>
              <w:t>图6  TCG特征贡献热力图（绿色=正向增益，红色=负向影响）</w:t>
            </w:r>
          </w:p>
          <w:p>
            <w:pPr>
              <w:spacing w:before="16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32918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g_Raw+TCG_RandomForest_confusion_matrix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3291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楷体" w:hAnsi="楷体" w:eastAsia="楷体"/>
                <w:b/>
                <w:sz w:val="18"/>
              </w:rPr>
              <w:t>图7  最佳模型 RandomForest (Raw+TCG) 混淆矩阵</w:t>
            </w:r>
          </w:p>
          <w:p>
            <w:pPr>
              <w:spacing w:before="16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657600" cy="2721337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ig_08_per_class_f1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72133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楷体" w:hAnsi="楷体" w:eastAsia="楷体"/>
                <w:b/>
                <w:sz w:val="18"/>
              </w:rPr>
              <w:t>图8  最佳模型逐类F1-Score分析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2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步骤5：TensorBoard训练监控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MLP模型训练过程通过TensorBoard记录在runs/tcg_only/目录中。启动命令：tensorboard --logdir runs/tcg_only --port 6006。监控指标包括：mlp/{Raw,TCG,Raw+TCG}/loss/train（训练损失）、mlp/{Raw,TCG,Raw+TCG}/metrics/test_accuracy（测试准确率）、mlp/{Raw,TCG,Raw+TCG}/metrics/test_f1（测试F1值）。</w:t>
            </w:r>
          </w:p>
          <w:p>
            <w:pPr>
              <w:spacing w:before="16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02969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port_fig_09_tensorboard_curve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0296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楷体" w:hAnsi="楷体" w:eastAsia="楷体"/>
                <w:b/>
                <w:sz w:val="18"/>
              </w:rPr>
              <w:t>图9  MLP训练过程TensorBoard监控曲线</w:t>
            </w:r>
          </w:p>
        </w:tc>
      </w:tr>
      <w:tr>
        <w:tc>
          <w:tcPr>
            <w:tcW w:type="dxa" w:w="8300"/>
          </w:tcPr>
          <w:p/>
          <w:p>
            <w:pPr>
              <w:spacing w:before="20" w:after="20"/>
            </w:pPr>
            <w:r>
              <w:rPr>
                <w:rFonts w:ascii="黑体" w:hAnsi="黑体" w:eastAsia="黑体"/>
                <w:b/>
                <w:sz w:val="24"/>
              </w:rPr>
              <w:t>【结论与分析】</w:t>
            </w:r>
          </w:p>
          <w:p>
            <w:pPr>
              <w:spacing w:before="6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1. TCG图特征不能独立用于分类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TCG-only特征组（16维嵌入+2维结构=18维）在所有分类器上均大幅低于Raw基线（80维），F1差距达17~35个百分点。原因在于16维图嵌入的信息量远不足以覆盖10类应用协议的精细区分任务——图嵌入捕获的是流间拓扑关系而非流内统计行为。TCG图中每条边代表的是两条流之间的因果/时序关系，嵌入向量编码的是"流在因果图中的位置"，而不是"流本身的统计特征"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2. TCG图特征对树模型有正向融合增益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当TCG特征与Raw统计特征融合使用时，树模型获得了显著提升：RandomForest F1从72.32%提升至77.36%（+5.04pp），DecisionTree F1从66.67%提升至71.15%（+4.48pp）。TCG图嵌入捕获的流间因果关系——传播链（某条流的dstIP作为下一条流的srcIP）、端口扫描模式（同一IP短时间内使用多个端口DHR/单端口SHR）、双向通信（CR）等——是原始流统计特征所不包含的高阶结构化信息，两者互为补充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3. KNN不适合与图嵌入特征结合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KNN加入TCG特征后F1反而从61.32%下降至52.87%（-8.45pp）。基于欧氏距离度量的KNN无法有效利用高维稀疏的图嵌入特征空间。图嵌入的不同维度不代表独立的物理量，而是潜在空间中的连续表征，不适合用距离度量来直接比较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8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2"/>
              </w:rPr>
              <w:t>4. 与实验三（HCG）的对比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实验三HCG+TCG+Raw完整融合的RandomForest F1为0.7875。本实验Raw+TCG融合的RandomForest F1为0.7736，接近但未超越完整融合，说明HCG图嵌入（端点通信图）贡献了额外约1.4pp的F1提升。两种图建模方式捕获了互补的网络行为信息：HCG通过{IP, port}端点图反映了端点的通信模式与网络拓扑角色；TCG通过流因果关系图反映了流之间的因果依赖与时序关联。完整融合（HCG+TCG+Raw）综合了端点拓扑、流因果和流统计三个层次的信息。</w:t>
            </w:r>
          </w:p>
        </w:tc>
      </w:tr>
      <w:tr>
        <w:tc>
          <w:tcPr>
            <w:tcW w:type="dxa" w:w="8300"/>
          </w:tcPr>
          <w:p/>
          <w:p>
            <w:pPr>
              <w:spacing w:before="20" w:after="20"/>
            </w:pPr>
            <w:r>
              <w:rPr>
                <w:rFonts w:ascii="黑体" w:hAnsi="黑体" w:eastAsia="黑体"/>
                <w:b/>
                <w:sz w:val="24"/>
              </w:rPr>
              <w:t>【小结】</w:t>
            </w:r>
          </w:p>
          <w:p>
            <w:pPr>
              <w:spacing w:before="60" w:after="0"/>
            </w:pP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1. 本实验完整实现了TCG（Traffic Causality Graph）的四种因果边建模（CR/PR/DHR/SHR），构建了包含50,000个Flow顶点和65,959条因果边的流量因果图。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2. 通过Node2Vec图嵌入（p=0.3, q=0.7, walk_length=7）和三组消融对比实验（Raw / TCG-only / Raw+TCG），量化了TCG特征的独立能力（仅18维，F1约0.28-0.50）和融合增益（对树模型约+5pp）。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3. 实验结果清晰地表明：TCG-only单独分类远差于Raw统计特征，验证了同学的"负面影响"发现。但TCG + Raw融合对树模型（RandomForest、DecisionTree）存在约5pp的正向增益，说明TCG图嵌入捕获的流间因果关系是原始统计特征的互补信息源。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4. 最佳模型为RandomForest（Raw+TCG融合）F1=0.7736，在10分类任务中取得了稳健的分类效果。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5. KNN（基于距离度量）不适合与图嵌入特征结合，F1反而下降8.45pp。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6. 与实验三（HCG）的完整融合（F1=0.7875）相比，Raw+TCG（F1=0.7736）尚有约1.4pp差距，说明HCG端点通信图与TCG流因果图各自捕获了互补的网络行为信息。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21"/>
              </w:rPr>
              <w:t>7. 本次实验帮助我深入理解了图建模在网络流量分类中的应用：不同粒度的图结构（HCG的端点通信 vs TCG的流因果）为理解网络行为提供了超越统计特征的语义视角，但需要与丰富的流统计特征结合才能真正发挥作用。</w:t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 w:val="0"/>
                <w:sz w:val="12"/>
              </w:rPr>
            </w:r>
          </w:p>
          <w:p>
            <w:pPr>
              <w:spacing w:before="20" w:after="20"/>
            </w:pPr>
            <w:r>
              <w:rPr>
                <w:rFonts w:ascii="宋体" w:hAnsi="宋体" w:eastAsia="宋体"/>
                <w:b/>
                <w:sz w:val="21"/>
              </w:rPr>
              <w:t>复现实验命令：</w:t>
            </w:r>
          </w:p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python scripts/run_tcg_only.py --scan-rows 600000 --top-classes 10 --samples-per-class 5000 --embedding-dim 16 --epochs 50 --batch-size 512 --causal-window-seconds 60</w:t>
            </w:r>
          </w:p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python scripts/render_tcg_report_figures.py</w:t>
            </w:r>
          </w:p>
          <w:p>
            <w:pPr>
              <w:spacing w:before="20" w:after="20"/>
            </w:pPr>
            <w:r>
              <w:rPr>
                <w:rFonts w:ascii="Consolas" w:hAnsi="Consolas" w:eastAsia="Consolas"/>
                <w:b w:val="0"/>
                <w:sz w:val="18"/>
              </w:rPr>
              <w:t xml:space="preserve">  tensorboard --logdir runs/tcg_only</w:t>
            </w:r>
          </w:p>
        </w:tc>
      </w:tr>
      <w:tr>
        <w:tc>
          <w:tcPr>
            <w:tcW w:type="dxa" w:w="8300"/>
          </w:tcPr>
          <w:p>
            <w:r>
              <w:rPr>
                <w:rFonts w:ascii="黑体" w:hAnsi="黑体" w:eastAsia="黑体"/>
                <w:b/>
                <w:sz w:val="24"/>
              </w:rPr>
              <w:t>【指导教师评语】</w:t>
            </w:r>
          </w:p>
          <w:p/>
          <w:p/>
          <w:p/>
          <w:p/>
          <w:p/>
          <w:p/>
          <w:p/>
          <w:p/>
        </w:tc>
      </w:tr>
      <w:tr>
        <w:tc>
          <w:tcPr>
            <w:tcW w:type="dxa" w:w="8300"/>
          </w:tcPr>
          <w:p>
            <w:r>
              <w:rPr>
                <w:rFonts w:ascii="黑体" w:hAnsi="黑体" w:eastAsia="黑体"/>
                <w:b/>
                <w:sz w:val="24"/>
              </w:rPr>
              <w:t>【成绩】</w:t>
            </w:r>
          </w:p>
          <w:p/>
        </w:tc>
      </w:tr>
    </w:tbl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