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2D6A8E6">
      <w:pPr>
        <w:spacing w:line="240" w:lineRule="auto"/>
        <w:jc w:val="center"/>
        <w:rPr>
          <w:rFonts w:hint="eastAsia" w:ascii="宋体" w:hAnsi="宋体" w:eastAsia="宋体" w:cs="宋体"/>
          <w:b/>
          <w:bCs/>
          <w:sz w:val="32"/>
          <w:szCs w:val="40"/>
          <w:lang w:val="en-US" w:eastAsia="zh-CN"/>
        </w:rPr>
      </w:pPr>
      <w:r>
        <w:rPr>
          <w:rFonts w:hint="eastAsia" w:ascii="宋体" w:hAnsi="宋体" w:eastAsia="宋体" w:cs="宋体"/>
          <w:b/>
          <w:bCs/>
          <w:sz w:val="32"/>
          <w:szCs w:val="40"/>
          <w:lang w:val="en-US" w:eastAsia="zh-CN"/>
        </w:rPr>
        <w:t>开题报告</w:t>
      </w:r>
    </w:p>
    <w:p w14:paraId="7171C0B6">
      <w:pPr>
        <w:numPr>
          <w:ilvl w:val="0"/>
          <w:numId w:val="1"/>
        </w:numPr>
        <w:spacing w:beforeLines="50" w:line="240" w:lineRule="auto"/>
        <w:jc w:val="both"/>
        <w:rPr>
          <w:rFonts w:hint="eastAsia" w:ascii="宋体" w:hAnsi="宋体" w:eastAsia="宋体" w:cs="宋体"/>
          <w:b/>
          <w:bCs/>
          <w:sz w:val="24"/>
          <w:szCs w:val="18"/>
          <w:lang w:val="en-US" w:eastAsia="zh-CN"/>
        </w:rPr>
      </w:pPr>
      <w:r>
        <w:rPr>
          <w:rFonts w:hint="eastAsia" w:ascii="宋体" w:hAnsi="宋体" w:eastAsia="宋体" w:cs="宋体"/>
          <w:b/>
          <w:bCs/>
          <w:sz w:val="28"/>
          <w:szCs w:val="20"/>
          <w:lang w:val="en-US" w:eastAsia="zh-CN"/>
        </w:rPr>
        <w:t>课题目的</w:t>
      </w:r>
    </w:p>
    <w:p w14:paraId="304BD1D4">
      <w:pPr>
        <w:bidi w:val="0"/>
        <w:spacing w:line="240" w:lineRule="auto"/>
        <w:jc w:val="both"/>
        <w:rPr>
          <w:rFonts w:hint="eastAsia" w:ascii="宋体" w:hAnsi="宋体" w:eastAsia="宋体" w:cs="宋体"/>
          <w:szCs w:val="20"/>
          <w:lang w:val="en-US" w:eastAsia="zh-CN"/>
        </w:rPr>
      </w:pPr>
      <w:r>
        <w:rPr>
          <w:rFonts w:hint="eastAsia" w:ascii="宋体" w:hAnsi="宋体" w:eastAsia="宋体" w:cs="宋体"/>
          <w:szCs w:val="20"/>
          <w:lang w:val="en-US" w:eastAsia="zh-CN"/>
        </w:rPr>
        <w:t>随着“双碳”战略的实施，锂离子电池的健康管理（BMS）已成为行业痛点。电池老化是一个跨越数千次循环的复杂过程。当前主流BMS软件系统在核心算法层面面临两大瓶颈：</w:t>
      </w:r>
    </w:p>
    <w:p w14:paraId="57DB319D">
      <w:pPr>
        <w:numPr>
          <w:ilvl w:val="0"/>
          <w:numId w:val="2"/>
        </w:numPr>
        <w:bidi w:val="0"/>
        <w:spacing w:line="240" w:lineRule="auto"/>
        <w:ind w:left="425" w:leftChars="0" w:hanging="425" w:firstLineChars="0"/>
        <w:jc w:val="both"/>
        <w:rPr>
          <w:rFonts w:hint="eastAsia" w:ascii="宋体" w:hAnsi="宋体" w:eastAsia="宋体" w:cs="宋体"/>
          <w:szCs w:val="20"/>
          <w:lang w:val="en-US" w:eastAsia="zh-CN"/>
        </w:rPr>
      </w:pPr>
      <w:r>
        <w:rPr>
          <w:rFonts w:hint="eastAsia" w:ascii="宋体" w:hAnsi="宋体" w:eastAsia="宋体" w:cs="宋体"/>
          <w:szCs w:val="20"/>
          <w:lang w:val="en-US" w:eastAsia="zh-CN"/>
        </w:rPr>
        <w:t>算力层面：虽然Transformer能提取全局特征，但其</w:t>
      </w:r>
      <m:oMath>
        <m:r>
          <m:rPr/>
          <w:rPr>
            <w:rFonts w:hint="default" w:ascii="DejaVu Math TeX Gyre" w:hAnsi="DejaVu Math TeX Gyre" w:eastAsia="宋体" w:cs="宋体"/>
            <w:kern w:val="2"/>
            <w:sz w:val="21"/>
            <w:szCs w:val="20"/>
            <w:lang w:val="en-US" w:eastAsia="zh-CN" w:bidi="ar-SA"/>
          </w:rPr>
          <m:t>O(</m:t>
        </m:r>
        <m:sSup>
          <m:sSupPr>
            <m:ctrlPr>
              <w:rPr>
                <w:rFonts w:hint="default" w:ascii="DejaVu Math TeX Gyre" w:hAnsi="DejaVu Math TeX Gyre" w:eastAsia="宋体" w:cs="宋体"/>
                <w:i/>
                <w:kern w:val="2"/>
                <w:sz w:val="21"/>
                <w:szCs w:val="20"/>
                <w:lang w:val="en-US" w:eastAsia="zh-CN" w:bidi="ar-SA"/>
              </w:rPr>
            </m:ctrlPr>
          </m:sSupPr>
          <m:e>
            <m:r>
              <m:rPr/>
              <w:rPr>
                <w:rFonts w:hint="default" w:ascii="DejaVu Math TeX Gyre" w:hAnsi="DejaVu Math TeX Gyre" w:eastAsia="宋体" w:cs="宋体"/>
                <w:kern w:val="2"/>
                <w:sz w:val="21"/>
                <w:szCs w:val="20"/>
                <w:lang w:val="en-US" w:eastAsia="zh-CN" w:bidi="ar-SA"/>
              </w:rPr>
              <m:t>N</m:t>
            </m:r>
            <m:ctrlPr>
              <w:rPr>
                <w:rFonts w:hint="default" w:ascii="DejaVu Math TeX Gyre" w:hAnsi="DejaVu Math TeX Gyre" w:eastAsia="宋体" w:cs="宋体"/>
                <w:i/>
                <w:kern w:val="2"/>
                <w:sz w:val="21"/>
                <w:szCs w:val="20"/>
                <w:lang w:val="en-US" w:eastAsia="zh-CN" w:bidi="ar-SA"/>
              </w:rPr>
            </m:ctrlPr>
          </m:e>
          <m:sup>
            <m:r>
              <m:rPr/>
              <w:rPr>
                <w:rFonts w:hint="default" w:ascii="DejaVu Math TeX Gyre" w:hAnsi="DejaVu Math TeX Gyre" w:eastAsia="宋体" w:cs="宋体"/>
                <w:kern w:val="2"/>
                <w:sz w:val="21"/>
                <w:szCs w:val="20"/>
                <w:lang w:val="en-US" w:eastAsia="zh-CN" w:bidi="ar-SA"/>
              </w:rPr>
              <m:t>2</m:t>
            </m:r>
            <m:ctrlPr>
              <w:rPr>
                <w:rFonts w:hint="default" w:ascii="DejaVu Math TeX Gyre" w:hAnsi="DejaVu Math TeX Gyre" w:eastAsia="宋体" w:cs="宋体"/>
                <w:i/>
                <w:kern w:val="2"/>
                <w:sz w:val="21"/>
                <w:szCs w:val="20"/>
                <w:lang w:val="en-US" w:eastAsia="zh-CN" w:bidi="ar-SA"/>
              </w:rPr>
            </m:ctrlPr>
          </m:sup>
        </m:sSup>
        <m:r>
          <m:rPr/>
          <w:rPr>
            <w:rFonts w:hint="default" w:ascii="DejaVu Math TeX Gyre" w:hAnsi="DejaVu Math TeX Gyre" w:eastAsia="宋体" w:cs="宋体"/>
            <w:kern w:val="2"/>
            <w:sz w:val="21"/>
            <w:szCs w:val="20"/>
            <w:lang w:val="en-US" w:eastAsia="zh-CN" w:bidi="ar-SA"/>
          </w:rPr>
          <m:t>)</m:t>
        </m:r>
      </m:oMath>
      <w:r>
        <w:rPr>
          <w:rFonts w:hint="eastAsia" w:ascii="宋体" w:hAnsi="宋体" w:eastAsia="宋体" w:cs="宋体"/>
          <w:szCs w:val="20"/>
          <w:lang w:val="en-US" w:eastAsia="zh-CN"/>
        </w:rPr>
        <w:t>的计算复杂度导致在处理全生命周期（&gt;3000 Cycles）数据时显存呈指数级增长，难以在工业级系统中落地。现有的模态分解等优化方法虽然有效，但计算链路过于复杂，影响系统的实时响应能力。</w:t>
      </w:r>
    </w:p>
    <w:p w14:paraId="5CCFC249">
      <w:pPr>
        <w:numPr>
          <w:ilvl w:val="0"/>
          <w:numId w:val="2"/>
        </w:numPr>
        <w:bidi w:val="0"/>
        <w:spacing w:line="240" w:lineRule="auto"/>
        <w:ind w:left="425" w:leftChars="0" w:hanging="425" w:firstLineChars="0"/>
        <w:jc w:val="both"/>
        <w:rPr>
          <w:rFonts w:hint="eastAsia" w:ascii="宋体" w:hAnsi="宋体" w:eastAsia="宋体" w:cs="宋体"/>
          <w:szCs w:val="20"/>
          <w:lang w:val="en-US" w:eastAsia="zh-CN"/>
        </w:rPr>
      </w:pPr>
      <w:r>
        <w:rPr>
          <w:rFonts w:hint="eastAsia" w:ascii="宋体" w:hAnsi="宋体" w:eastAsia="宋体" w:cs="宋体"/>
          <w:szCs w:val="20"/>
          <w:lang w:val="en-US" w:eastAsia="zh-CN"/>
        </w:rPr>
        <w:t>预测和解释层面：现有的深度学习模型大多都为黑盒，通常在经过分析和处理之后只会输出一个异常数值或者预测数值。无论是集成学习模型还是混合神经网络，使用自然语言进行输出总结，告诉用户故障的原因，导致非专业用户无法理解系统提示，在现阶段是一个极大的难题，限制了软件的实用价值。</w:t>
      </w:r>
    </w:p>
    <w:p w14:paraId="7B81CA03">
      <w:pPr>
        <w:widowControl w:val="0"/>
        <w:numPr>
          <w:ilvl w:val="0"/>
          <w:numId w:val="0"/>
        </w:numPr>
        <w:spacing w:line="240" w:lineRule="auto"/>
        <w:jc w:val="both"/>
        <w:rPr>
          <w:rFonts w:hint="eastAsia" w:ascii="宋体" w:hAnsi="宋体" w:eastAsia="宋体" w:cs="宋体"/>
          <w:b w:val="0"/>
          <w:bCs w:val="0"/>
          <w:sz w:val="21"/>
          <w:szCs w:val="15"/>
          <w:lang w:val="en-US" w:eastAsia="zh-CN"/>
        </w:rPr>
      </w:pPr>
      <w:r>
        <w:rPr>
          <w:rFonts w:hint="eastAsia" w:ascii="宋体" w:hAnsi="宋体" w:eastAsia="宋体" w:cs="宋体"/>
          <w:b w:val="0"/>
          <w:bCs w:val="0"/>
          <w:sz w:val="21"/>
          <w:szCs w:val="15"/>
          <w:lang w:val="en-US" w:eastAsia="zh-CN"/>
        </w:rPr>
        <w:t>针对当前锂电池健康管理领域存在的长程序列预测难、模型缺乏可解释性以及系统化程度低等问题，本课题旨在结合2024年提出的最新的深度学习技术xLSTM和GraphRAG，设计开发一套能够进行高效精准的寿命预测、并且生成文本型诊断报告的锂电池健康管理系统。</w:t>
      </w:r>
    </w:p>
    <w:p w14:paraId="3D91B6BE">
      <w:pPr>
        <w:keepNext w:val="0"/>
        <w:keepLines w:val="0"/>
        <w:widowControl/>
        <w:suppressLineNumbers w:val="0"/>
        <w:spacing w:line="240" w:lineRule="auto"/>
        <w:jc w:val="both"/>
        <w:rPr>
          <w:rFonts w:hint="eastAsia" w:ascii="宋体" w:hAnsi="宋体" w:eastAsia="宋体" w:cs="宋体"/>
          <w:kern w:val="0"/>
          <w:sz w:val="21"/>
          <w:szCs w:val="21"/>
          <w:lang w:val="en-US" w:eastAsia="zh-CN" w:bidi="ar"/>
        </w:rPr>
      </w:pPr>
      <w:r>
        <w:rPr>
          <w:rFonts w:hint="eastAsia" w:ascii="宋体" w:hAnsi="宋体" w:eastAsia="宋体" w:cs="宋体"/>
          <w:kern w:val="0"/>
          <w:sz w:val="21"/>
          <w:szCs w:val="21"/>
          <w:lang w:val="en-US" w:eastAsia="zh-CN" w:bidi="ar"/>
        </w:rPr>
        <w:t>本研究将引入xLSTM与Transformer的深层混合架构。利用xLSTM的mLSTM（矩阵记忆） 特性以线性复杂度处理超长历史序列，解决显存瓶颈；同时应用GraphRAG技术，作为连接数据与模型的桥梁，将电池故障知识库与大模型相结合。让系统不仅能输出预测数值，更能在检测到异常时，检索相关子图结构，自动生成具有物理依据的故障分析文本。</w:t>
      </w:r>
    </w:p>
    <w:p w14:paraId="323FCCA4">
      <w:pPr>
        <w:keepNext w:val="0"/>
        <w:keepLines w:val="0"/>
        <w:widowControl/>
        <w:suppressLineNumbers w:val="0"/>
        <w:spacing w:line="240" w:lineRule="auto"/>
        <w:jc w:val="both"/>
        <w:rPr>
          <w:rFonts w:hint="eastAsia" w:ascii="宋体" w:hAnsi="宋体" w:eastAsia="宋体" w:cs="宋体"/>
          <w:szCs w:val="20"/>
          <w:lang w:val="en-US" w:eastAsia="zh-CN"/>
        </w:rPr>
      </w:pPr>
      <w:r>
        <w:rPr>
          <w:rFonts w:hint="eastAsia" w:ascii="宋体" w:hAnsi="宋体" w:eastAsia="宋体" w:cs="宋体"/>
          <w:kern w:val="0"/>
          <w:sz w:val="21"/>
          <w:szCs w:val="21"/>
          <w:lang w:val="en-US" w:eastAsia="zh-CN" w:bidi="ar"/>
        </w:rPr>
        <w:t>通过本课题的研究，期望结合前沿技术探索锂电池健康管理的更多可能性，并为后续相关研究奠定基础。</w:t>
      </w:r>
    </w:p>
    <w:p w14:paraId="3651C2CD">
      <w:pPr>
        <w:numPr>
          <w:ilvl w:val="0"/>
          <w:numId w:val="1"/>
        </w:numPr>
        <w:spacing w:beforeLines="50" w:line="240" w:lineRule="auto"/>
        <w:jc w:val="both"/>
        <w:rPr>
          <w:rFonts w:hint="eastAsia" w:ascii="宋体" w:hAnsi="宋体" w:eastAsia="宋体" w:cs="宋体"/>
          <w:b/>
          <w:bCs/>
          <w:sz w:val="24"/>
          <w:szCs w:val="18"/>
          <w:lang w:val="en-US" w:eastAsia="zh-CN"/>
        </w:rPr>
      </w:pPr>
      <w:r>
        <w:rPr>
          <w:rFonts w:hint="eastAsia" w:ascii="宋体" w:hAnsi="宋体" w:eastAsia="宋体" w:cs="宋体"/>
          <w:b/>
          <w:bCs/>
          <w:sz w:val="28"/>
          <w:szCs w:val="20"/>
          <w:lang w:val="en-US" w:eastAsia="zh-CN"/>
        </w:rPr>
        <w:t>课题意义</w:t>
      </w:r>
    </w:p>
    <w:p w14:paraId="1073FE91">
      <w:pPr>
        <w:keepNext w:val="0"/>
        <w:keepLines w:val="0"/>
        <w:widowControl/>
        <w:suppressLineNumbers w:val="0"/>
        <w:spacing w:line="240" w:lineRule="auto"/>
        <w:jc w:val="both"/>
        <w:rPr>
          <w:rFonts w:hint="eastAsia" w:ascii="宋体" w:hAnsi="宋体" w:eastAsia="宋体" w:cs="宋体"/>
          <w:b w:val="0"/>
          <w:bCs w:val="0"/>
          <w:sz w:val="21"/>
          <w:szCs w:val="15"/>
          <w:lang w:val="en-US" w:eastAsia="zh-CN"/>
        </w:rPr>
      </w:pPr>
      <w:r>
        <w:rPr>
          <w:rFonts w:hint="eastAsia" w:ascii="宋体" w:hAnsi="宋体" w:eastAsia="宋体" w:cs="宋体"/>
          <w:b w:val="0"/>
          <w:bCs w:val="0"/>
          <w:sz w:val="21"/>
          <w:szCs w:val="15"/>
          <w:lang w:val="en-US" w:eastAsia="zh-CN"/>
        </w:rPr>
        <w:t>本课题的研究意义主要体现在理论与实践两个方面：</w:t>
      </w:r>
    </w:p>
    <w:p w14:paraId="1F28EC37">
      <w:pPr>
        <w:keepNext w:val="0"/>
        <w:keepLines w:val="0"/>
        <w:widowControl/>
        <w:suppressLineNumbers w:val="0"/>
        <w:spacing w:line="240" w:lineRule="auto"/>
        <w:jc w:val="both"/>
        <w:rPr>
          <w:rFonts w:hint="eastAsia" w:ascii="宋体" w:hAnsi="宋体" w:eastAsia="宋体" w:cs="宋体"/>
          <w:b w:val="0"/>
          <w:bCs w:val="0"/>
          <w:sz w:val="21"/>
          <w:szCs w:val="15"/>
          <w:lang w:val="en-US" w:eastAsia="zh-CN"/>
        </w:rPr>
      </w:pPr>
      <w:r>
        <w:rPr>
          <w:rFonts w:hint="eastAsia" w:ascii="宋体" w:hAnsi="宋体" w:eastAsia="宋体" w:cs="宋体"/>
          <w:b w:val="0"/>
          <w:bCs w:val="0"/>
          <w:sz w:val="21"/>
          <w:szCs w:val="15"/>
          <w:lang w:val="en-US" w:eastAsia="zh-CN"/>
        </w:rPr>
        <w:t>在理论方面，通过研究xLSTM与GraphRAG在锂电池健康管理中的应用，能够促进软件工程、人工智能与新能源科学的交叉融合。特别是探索“参数化记忆”（模型权重）与“非参数化记忆”（外部知识库）的协同机制，为解决工业长序列数据的建模难题与“黑盒”模型的可解释性困境提供新思路，丰富了下一代智能电池管理系统（BMS）的研究方法体系。</w:t>
      </w:r>
    </w:p>
    <w:p w14:paraId="16EE0929">
      <w:pPr>
        <w:keepNext w:val="0"/>
        <w:keepLines w:val="0"/>
        <w:widowControl/>
        <w:suppressLineNumbers w:val="0"/>
        <w:spacing w:line="240" w:lineRule="auto"/>
        <w:jc w:val="both"/>
        <w:rPr>
          <w:rFonts w:hint="eastAsia" w:ascii="宋体" w:hAnsi="宋体" w:eastAsia="宋体" w:cs="宋体"/>
          <w:b w:val="0"/>
          <w:bCs w:val="0"/>
          <w:sz w:val="21"/>
          <w:szCs w:val="15"/>
          <w:lang w:val="en-US" w:eastAsia="zh-CN"/>
        </w:rPr>
      </w:pPr>
      <w:r>
        <w:rPr>
          <w:rFonts w:hint="eastAsia" w:ascii="宋体" w:hAnsi="宋体" w:eastAsia="宋体" w:cs="宋体"/>
          <w:b w:val="0"/>
          <w:bCs w:val="0"/>
          <w:sz w:val="21"/>
          <w:szCs w:val="15"/>
          <w:lang w:val="en-US" w:eastAsia="zh-CN"/>
        </w:rPr>
        <w:t>在实践方面，该系统一旦实现，可为新能源汽车运维、储能电站管理提供直观、高效的辅助工具。它有助于降低人工排查故障的专业门槛与时间成本，提升电池全生命周期的管理效率与安全性，同时对推动新能源产业的数字化转型及保障系统安全运行具有积极价值。</w:t>
      </w:r>
    </w:p>
    <w:p w14:paraId="2CE799F1">
      <w:pPr>
        <w:numPr>
          <w:ilvl w:val="0"/>
          <w:numId w:val="1"/>
        </w:numPr>
        <w:spacing w:beforeLines="50" w:line="240" w:lineRule="auto"/>
        <w:jc w:val="both"/>
        <w:rPr>
          <w:rFonts w:hint="eastAsia" w:ascii="宋体" w:hAnsi="宋体" w:eastAsia="宋体" w:cs="宋体"/>
          <w:b/>
          <w:bCs/>
          <w:sz w:val="28"/>
          <w:szCs w:val="20"/>
          <w:lang w:val="en-US" w:eastAsia="zh-CN"/>
        </w:rPr>
      </w:pPr>
      <w:r>
        <w:rPr>
          <w:rFonts w:hint="eastAsia" w:ascii="宋体" w:hAnsi="宋体" w:eastAsia="宋体" w:cs="宋体"/>
          <w:b/>
          <w:bCs/>
          <w:sz w:val="28"/>
          <w:szCs w:val="20"/>
          <w:lang w:val="en-US" w:eastAsia="zh-CN"/>
        </w:rPr>
        <w:t>研究现状</w:t>
      </w:r>
    </w:p>
    <w:p w14:paraId="4C46C55F">
      <w:pPr>
        <w:spacing w:line="240" w:lineRule="auto"/>
        <w:jc w:val="both"/>
        <w:rPr>
          <w:rFonts w:hint="eastAsia" w:ascii="宋体" w:hAnsi="宋体" w:eastAsia="宋体" w:cs="宋体"/>
          <w:sz w:val="24"/>
          <w:szCs w:val="22"/>
          <w:lang w:val="en-US" w:eastAsia="zh-CN"/>
        </w:rPr>
      </w:pPr>
      <w:r>
        <w:rPr>
          <w:rFonts w:hint="eastAsia" w:ascii="宋体" w:hAnsi="宋体" w:eastAsia="宋体" w:cs="宋体"/>
          <w:sz w:val="24"/>
          <w:szCs w:val="22"/>
          <w:lang w:val="en-US" w:eastAsia="zh-CN"/>
        </w:rPr>
        <w:t>3.1 时序预测</w:t>
      </w:r>
    </w:p>
    <w:p w14:paraId="669647C1">
      <w:pPr>
        <w:spacing w:line="240" w:lineRule="auto"/>
        <w:jc w:val="both"/>
        <w:rPr>
          <w:rFonts w:hint="eastAsia" w:ascii="宋体" w:hAnsi="宋体" w:eastAsia="宋体" w:cs="宋体"/>
          <w:sz w:val="21"/>
          <w:szCs w:val="20"/>
          <w:lang w:val="en-US" w:eastAsia="zh-CN"/>
        </w:rPr>
      </w:pPr>
      <w:r>
        <w:rPr>
          <w:rFonts w:hint="eastAsia" w:ascii="宋体" w:hAnsi="宋体" w:eastAsia="宋体" w:cs="宋体"/>
          <w:sz w:val="21"/>
          <w:szCs w:val="20"/>
          <w:lang w:val="en-US" w:eastAsia="zh-CN"/>
        </w:rPr>
        <w:t>对于RNN以及LSTM架构，改进的Bi-LSTM方法虽然引入双向机制弥补了单向信息流的缺陷，但在长序列下记忆能力仍会出现衰退。结合NAR模型的优化方案虽然通过特征工程提升了效果，但未能解决串行计算导致的训练效率低下问题，限制了系统的大规模并发处理能力。而对于Transformer这个时下最热的架构，PyConv-Transformer模型利用金字塔卷积增强局部特征，证明了其优于传统LSTM。此外，多尺度分解策略验证了将“趋势项”与“波动项”分离建模的有效性。</w:t>
      </w:r>
    </w:p>
    <w:p w14:paraId="05720B07">
      <w:pPr>
        <w:spacing w:line="240" w:lineRule="auto"/>
        <w:jc w:val="both"/>
        <w:rPr>
          <w:rFonts w:hint="eastAsia" w:ascii="宋体" w:hAnsi="宋体" w:eastAsia="宋体" w:cs="宋体"/>
          <w:sz w:val="21"/>
          <w:szCs w:val="20"/>
          <w:lang w:val="en-US" w:eastAsia="zh-CN"/>
        </w:rPr>
      </w:pPr>
      <w:r>
        <w:rPr>
          <w:rFonts w:hint="eastAsia" w:ascii="宋体" w:hAnsi="宋体" w:eastAsia="宋体" w:cs="宋体"/>
          <w:sz w:val="21"/>
          <w:szCs w:val="20"/>
          <w:lang w:val="en-US" w:eastAsia="zh-CN"/>
        </w:rPr>
        <w:t>但是无论是LSTM还是Transformer，均存在自身问题：Transformer在长序列下存在显存爆炸的问题；LSTM则是只能串行计算，不能进行并行计算，在处理极大数据量时效率极低。而最新的xLSTM架构通过指数门控实现了线性复杂度，这也为开发高效能的电池管理系统提供了新的技术路径，但在电池领域尚无应用案例。</w:t>
      </w:r>
    </w:p>
    <w:p w14:paraId="7AAC1ACA">
      <w:pPr>
        <w:spacing w:line="240" w:lineRule="auto"/>
        <w:jc w:val="both"/>
        <w:rPr>
          <w:rFonts w:hint="eastAsia" w:ascii="宋体" w:hAnsi="宋体" w:eastAsia="宋体" w:cs="宋体"/>
          <w:sz w:val="24"/>
          <w:szCs w:val="22"/>
          <w:lang w:val="en-US" w:eastAsia="zh-CN"/>
        </w:rPr>
      </w:pPr>
      <w:r>
        <w:rPr>
          <w:rFonts w:hint="eastAsia" w:ascii="宋体" w:hAnsi="宋体" w:eastAsia="宋体" w:cs="宋体"/>
          <w:sz w:val="24"/>
          <w:szCs w:val="22"/>
          <w:lang w:val="en-US" w:eastAsia="zh-CN"/>
        </w:rPr>
        <w:t>3.2 故障诊断</w:t>
      </w:r>
    </w:p>
    <w:p w14:paraId="087E2793">
      <w:pPr>
        <w:spacing w:line="240" w:lineRule="auto"/>
        <w:jc w:val="both"/>
        <w:rPr>
          <w:rFonts w:hint="eastAsia" w:ascii="宋体" w:hAnsi="宋体" w:eastAsia="宋体" w:cs="宋体"/>
          <w:sz w:val="21"/>
          <w:szCs w:val="20"/>
          <w:lang w:val="en-US" w:eastAsia="zh-CN"/>
        </w:rPr>
      </w:pPr>
      <w:r>
        <w:rPr>
          <w:rFonts w:hint="eastAsia" w:ascii="宋体" w:hAnsi="宋体" w:eastAsia="宋体" w:cs="宋体"/>
          <w:sz w:val="24"/>
          <w:szCs w:val="22"/>
          <w:lang w:val="en-US" w:eastAsia="zh-CN"/>
        </w:rPr>
        <w:t xml:space="preserve">  </w:t>
      </w:r>
      <w:r>
        <w:rPr>
          <w:rFonts w:hint="eastAsia" w:ascii="宋体" w:hAnsi="宋体" w:eastAsia="宋体" w:cs="宋体"/>
          <w:sz w:val="21"/>
          <w:szCs w:val="20"/>
          <w:lang w:val="en-US" w:eastAsia="zh-CN"/>
        </w:rPr>
        <w:t>当下的问题在于数值诊断。在相关研究中，结合粒子滤波的物理先验方法尝试引入机理约束，但参数辨识极其困难，且无法生成自然语言报告，用户体验较差。相关综述文献强调，缺乏有力的可解释性是当前软件系统难以被一线工程师接受的主要短板。微软提出的GraphRAG技术通过图谱结构增强了LLM的推理能力，理解复杂的知识结构，在一定程度上有利于解决该问题。</w:t>
      </w:r>
    </w:p>
    <w:p w14:paraId="4E5C421D">
      <w:pPr>
        <w:numPr>
          <w:ilvl w:val="0"/>
          <w:numId w:val="1"/>
        </w:numPr>
        <w:spacing w:beforeLines="50" w:line="240" w:lineRule="auto"/>
        <w:jc w:val="both"/>
        <w:rPr>
          <w:rFonts w:hint="eastAsia" w:ascii="宋体" w:hAnsi="宋体" w:eastAsia="宋体" w:cs="宋体"/>
          <w:b/>
          <w:bCs/>
          <w:sz w:val="28"/>
          <w:szCs w:val="20"/>
          <w:lang w:val="en-US" w:eastAsia="zh-CN"/>
        </w:rPr>
      </w:pPr>
      <w:r>
        <w:rPr>
          <w:rFonts w:hint="eastAsia" w:ascii="宋体" w:hAnsi="宋体" w:eastAsia="宋体" w:cs="宋体"/>
          <w:b/>
          <w:bCs/>
          <w:sz w:val="28"/>
          <w:szCs w:val="20"/>
          <w:lang w:val="en-US" w:eastAsia="zh-CN"/>
        </w:rPr>
        <w:t>研究内容</w:t>
      </w:r>
    </w:p>
    <w:p w14:paraId="22BC8CE3">
      <w:pPr>
        <w:widowControl w:val="0"/>
        <w:numPr>
          <w:ilvl w:val="0"/>
          <w:numId w:val="0"/>
        </w:numPr>
        <w:spacing w:beforeLines="50" w:line="240" w:lineRule="auto"/>
        <w:jc w:val="both"/>
        <w:rPr>
          <w:rFonts w:hint="eastAsia" w:ascii="宋体" w:hAnsi="宋体" w:eastAsia="宋体" w:cs="宋体"/>
          <w:b w:val="0"/>
          <w:bCs w:val="0"/>
          <w:sz w:val="22"/>
          <w:szCs w:val="16"/>
          <w:lang w:val="en-US" w:eastAsia="zh-CN"/>
        </w:rPr>
      </w:pPr>
      <w:r>
        <w:rPr>
          <w:rFonts w:hint="eastAsia" w:ascii="宋体" w:hAnsi="宋体" w:eastAsia="宋体" w:cs="宋体"/>
          <w:b w:val="0"/>
          <w:bCs w:val="0"/>
          <w:sz w:val="22"/>
          <w:szCs w:val="16"/>
          <w:lang w:val="en-US" w:eastAsia="zh-CN"/>
        </w:rPr>
        <w:t>针对当前锂电池健康管理（BMS）领域存在的实际问题——包括全生命周期长序列数据的时序依赖难以有效捕捉、深度学习模型普遍缺乏物理可解释性，以及高精度算法难以在工业级系统中实时落地等挑战，本课题将围绕锂电池健康管理系统的设计与实现开展深入研究。</w:t>
      </w:r>
    </w:p>
    <w:p w14:paraId="277ECEEE">
      <w:pPr>
        <w:widowControl w:val="0"/>
        <w:numPr>
          <w:ilvl w:val="0"/>
          <w:numId w:val="0"/>
        </w:numPr>
        <w:spacing w:beforeLines="50" w:line="240" w:lineRule="auto"/>
        <w:jc w:val="both"/>
        <w:rPr>
          <w:rFonts w:hint="eastAsia" w:ascii="宋体" w:hAnsi="宋体" w:eastAsia="宋体" w:cs="宋体"/>
          <w:b w:val="0"/>
          <w:bCs w:val="0"/>
          <w:sz w:val="22"/>
          <w:szCs w:val="16"/>
          <w:lang w:val="en-US" w:eastAsia="zh-CN"/>
        </w:rPr>
      </w:pPr>
      <w:r>
        <w:rPr>
          <w:rFonts w:hint="eastAsia" w:ascii="宋体" w:hAnsi="宋体" w:eastAsia="宋体" w:cs="宋体"/>
          <w:b w:val="0"/>
          <w:bCs w:val="0"/>
          <w:sz w:val="22"/>
          <w:szCs w:val="16"/>
          <w:lang w:val="en-US" w:eastAsia="zh-CN"/>
        </w:rPr>
        <w:t>本研究将着重关注于一些关键问题：</w:t>
      </w:r>
    </w:p>
    <w:p w14:paraId="20DF0530">
      <w:pPr>
        <w:widowControl w:val="0"/>
        <w:numPr>
          <w:ilvl w:val="0"/>
          <w:numId w:val="3"/>
        </w:numPr>
        <w:spacing w:beforeLines="50" w:line="240" w:lineRule="auto"/>
        <w:jc w:val="both"/>
        <w:rPr>
          <w:rFonts w:hint="eastAsia" w:ascii="宋体" w:hAnsi="宋体" w:eastAsia="宋体" w:cs="宋体"/>
          <w:b w:val="0"/>
          <w:bCs w:val="0"/>
          <w:sz w:val="22"/>
          <w:szCs w:val="16"/>
          <w:lang w:val="en-US" w:eastAsia="zh-CN"/>
        </w:rPr>
      </w:pPr>
      <w:r>
        <w:rPr>
          <w:rFonts w:hint="eastAsia" w:ascii="宋体" w:hAnsi="宋体" w:eastAsia="宋体" w:cs="宋体"/>
          <w:b w:val="0"/>
          <w:bCs w:val="0"/>
          <w:sz w:val="22"/>
          <w:szCs w:val="16"/>
          <w:lang w:val="en-US" w:eastAsia="zh-CN"/>
        </w:rPr>
        <w:t>首先，构建基于xLSTM与 Transformer的深层混合架构。针对电池老化数据跨度大、非平稳性强的特点，设计一种层级交替的融合网络，利用xLSTM模块作为粗粒度过滤器，凭借其线性计算优势</w:t>
      </w:r>
      <m:oMath>
        <m:r>
          <m:rPr/>
          <w:rPr>
            <w:rFonts w:hint="default" w:ascii="DejaVu Math TeX Gyre" w:hAnsi="DejaVu Math TeX Gyre" w:eastAsia="宋体" w:cs="宋体"/>
            <w:kern w:val="2"/>
            <w:sz w:val="22"/>
            <w:szCs w:val="16"/>
            <w:lang w:val="en-US" w:eastAsia="zh-CN" w:bidi="ar-SA"/>
          </w:rPr>
          <m:t>O(N)</m:t>
        </m:r>
      </m:oMath>
      <w:r>
        <w:rPr>
          <w:rFonts w:hint="eastAsia" w:ascii="宋体" w:hAnsi="宋体" w:eastAsia="宋体" w:cs="宋体"/>
          <w:b w:val="0"/>
          <w:bCs w:val="0"/>
          <w:sz w:val="22"/>
          <w:szCs w:val="16"/>
          <w:lang w:val="en-US" w:eastAsia="zh-CN"/>
        </w:rPr>
        <w:t>和矩阵记忆能力，快速处理全生命周期的超长序列，捕捉长期退化趋势并压缩上下文。利用Transformer模块作为细粒度推理器，在xLSTM提取的特征之上，利用自注意力机制捕捉局部电压/电流的瞬时波动特征。这种融合旨在解决传统模型在处理超长序列时记忆遗忘与算力瓶颈的矛盾，提升剩余寿命预测的精度与效率。</w:t>
      </w:r>
    </w:p>
    <w:p w14:paraId="707FFB0A">
      <w:pPr>
        <w:widowControl w:val="0"/>
        <w:numPr>
          <w:ilvl w:val="0"/>
          <w:numId w:val="3"/>
        </w:numPr>
        <w:spacing w:beforeLines="50" w:line="240" w:lineRule="auto"/>
        <w:jc w:val="both"/>
        <w:rPr>
          <w:rFonts w:hint="eastAsia" w:ascii="宋体" w:hAnsi="宋体" w:eastAsia="宋体" w:cs="宋体"/>
          <w:b w:val="0"/>
          <w:bCs w:val="0"/>
          <w:sz w:val="22"/>
          <w:szCs w:val="16"/>
          <w:lang w:val="en-US" w:eastAsia="zh-CN"/>
        </w:rPr>
      </w:pPr>
      <w:r>
        <w:rPr>
          <w:rFonts w:hint="eastAsia" w:ascii="宋体" w:hAnsi="宋体" w:eastAsia="宋体" w:cs="宋体"/>
          <w:b w:val="0"/>
          <w:bCs w:val="0"/>
          <w:sz w:val="22"/>
          <w:szCs w:val="16"/>
          <w:lang w:val="en-US" w:eastAsia="zh-CN"/>
        </w:rPr>
        <w:t>构建基于GraphRAG的可解释性诊断机制研究。针对纯数据驱动模型“只生成不知如何解释”的痛点，引入电池故障领域的知识图谱。确立GraphRAG的核心枢纽作用：将其作为外部动态数据与生成式模型之间的桥梁。GraphRAG负责将非结构化的故障手册转化为结构化的“实体-关系”图谱，并建立索引。实现xLSTM与知识库的互补：利用知识库存储静态的、离散的非参数化记忆，利用xLSTM的长上下文能力处理检索到的复杂子图路径（参数化推理），最终实现从数值异常到物理机理的语义映射，生成可追溯的故障归因报告。</w:t>
      </w:r>
    </w:p>
    <w:p w14:paraId="13C937D6">
      <w:pPr>
        <w:widowControl w:val="0"/>
        <w:numPr>
          <w:ilvl w:val="0"/>
          <w:numId w:val="3"/>
        </w:numPr>
        <w:spacing w:beforeLines="50" w:line="240" w:lineRule="auto"/>
        <w:jc w:val="both"/>
        <w:rPr>
          <w:rFonts w:hint="eastAsia" w:ascii="宋体" w:hAnsi="宋体" w:eastAsia="宋体" w:cs="宋体"/>
          <w:b w:val="0"/>
          <w:bCs w:val="0"/>
          <w:sz w:val="22"/>
          <w:szCs w:val="16"/>
          <w:lang w:val="en-US" w:eastAsia="zh-CN"/>
        </w:rPr>
      </w:pPr>
      <w:r>
        <w:rPr>
          <w:rFonts w:hint="eastAsia" w:ascii="宋体" w:hAnsi="宋体" w:eastAsia="宋体" w:cs="宋体"/>
          <w:b w:val="0"/>
          <w:bCs w:val="0"/>
          <w:sz w:val="22"/>
          <w:szCs w:val="16"/>
          <w:lang w:val="en-US" w:eastAsia="zh-CN"/>
        </w:rPr>
        <w:t>最后实现全链路工程化系统。着眼于工程化落地需求，基于React+FastAPI架构搭建可视化管理平台，解决模型部署与多源数据实时渲染的工程难题，打通从数据采集、推理分析到决策支持的全链路流程。</w:t>
      </w:r>
    </w:p>
    <w:p w14:paraId="4F726527">
      <w:pPr>
        <w:widowControl w:val="0"/>
        <w:numPr>
          <w:ilvl w:val="0"/>
          <w:numId w:val="0"/>
        </w:numPr>
        <w:spacing w:beforeLines="50" w:line="240" w:lineRule="auto"/>
        <w:jc w:val="both"/>
        <w:rPr>
          <w:rFonts w:hint="eastAsia" w:ascii="宋体" w:hAnsi="宋体" w:eastAsia="宋体" w:cs="宋体"/>
          <w:b w:val="0"/>
          <w:bCs w:val="0"/>
          <w:sz w:val="22"/>
          <w:szCs w:val="16"/>
          <w:lang w:val="en-US" w:eastAsia="zh-CN"/>
        </w:rPr>
      </w:pPr>
      <w:r>
        <w:rPr>
          <w:rFonts w:hint="eastAsia" w:ascii="宋体" w:hAnsi="宋体" w:eastAsia="宋体" w:cs="宋体"/>
          <w:b w:val="0"/>
          <w:bCs w:val="0"/>
          <w:sz w:val="22"/>
          <w:szCs w:val="16"/>
          <w:lang w:val="en-US" w:eastAsia="zh-CN"/>
        </w:rPr>
        <w:t>本研究的特色在于：一方面，采用了数据驱动与知识引导融合的处理策略，将线性注意力机制的高效计算能力与知识检索的逻辑推理能力相结合，提升了系统的综合性能与结果可信度；另一方面，注重系统的实用性与交互体验，将复杂的深度学习算法封装为标准化的微服务。通过构建一个功能完善的锂电池健康管理系统，为新能源汽车运维、储能电站监控等领域提供一个智能化、可视化的辅助工具支持。</w:t>
      </w:r>
    </w:p>
    <w:p w14:paraId="4C34B466">
      <w:pPr>
        <w:rPr>
          <w:rFonts w:hint="eastAsia" w:ascii="宋体" w:hAnsi="宋体" w:eastAsia="宋体" w:cs="宋体"/>
          <w:b w:val="0"/>
          <w:bCs w:val="0"/>
          <w:sz w:val="22"/>
          <w:szCs w:val="16"/>
          <w:lang w:val="en-US" w:eastAsia="zh-CN"/>
        </w:rPr>
      </w:pPr>
      <w:r>
        <w:rPr>
          <w:rFonts w:hint="eastAsia" w:ascii="宋体" w:hAnsi="宋体" w:eastAsia="宋体" w:cs="宋体"/>
          <w:b w:val="0"/>
          <w:bCs w:val="0"/>
          <w:sz w:val="22"/>
          <w:szCs w:val="16"/>
          <w:lang w:val="en-US" w:eastAsia="zh-CN"/>
        </w:rPr>
        <w:br w:type="page"/>
      </w:r>
    </w:p>
    <w:p w14:paraId="2B24CD05">
      <w:pPr>
        <w:widowControl w:val="0"/>
        <w:numPr>
          <w:ilvl w:val="0"/>
          <w:numId w:val="0"/>
        </w:numPr>
        <w:spacing w:beforeLines="50" w:line="240" w:lineRule="auto"/>
        <w:jc w:val="both"/>
        <w:rPr>
          <w:rFonts w:hint="eastAsia" w:ascii="宋体" w:hAnsi="宋体" w:eastAsia="宋体" w:cs="宋体"/>
          <w:b w:val="0"/>
          <w:bCs w:val="0"/>
          <w:sz w:val="22"/>
          <w:szCs w:val="16"/>
          <w:lang w:val="en-US" w:eastAsia="zh-CN"/>
        </w:rPr>
      </w:pPr>
    </w:p>
    <w:p w14:paraId="16A4DEC7">
      <w:pPr>
        <w:numPr>
          <w:ilvl w:val="0"/>
          <w:numId w:val="1"/>
        </w:numPr>
        <w:spacing w:beforeLines="50" w:line="240" w:lineRule="auto"/>
        <w:jc w:val="both"/>
        <w:rPr>
          <w:rFonts w:hint="eastAsia" w:ascii="宋体" w:hAnsi="宋体" w:eastAsia="宋体" w:cs="宋体"/>
          <w:b/>
          <w:bCs/>
          <w:sz w:val="28"/>
          <w:szCs w:val="20"/>
          <w:lang w:val="en-US" w:eastAsia="zh-CN"/>
        </w:rPr>
      </w:pPr>
      <w:r>
        <w:rPr>
          <w:rFonts w:hint="eastAsia" w:ascii="宋体" w:hAnsi="宋体" w:eastAsia="宋体" w:cs="宋体"/>
          <w:b/>
          <w:bCs/>
          <w:sz w:val="28"/>
          <w:szCs w:val="20"/>
          <w:lang w:val="en-US" w:eastAsia="zh-CN"/>
        </w:rPr>
        <w:t>研究方案</w:t>
      </w:r>
    </w:p>
    <w:p w14:paraId="37E86095">
      <w:pPr>
        <w:widowControl w:val="0"/>
        <w:numPr>
          <w:ilvl w:val="0"/>
          <w:numId w:val="0"/>
        </w:numPr>
        <w:spacing w:beforeLines="50" w:line="240" w:lineRule="auto"/>
        <w:jc w:val="both"/>
        <w:rPr>
          <w:rFonts w:hint="eastAsia" w:ascii="宋体" w:hAnsi="宋体" w:eastAsia="宋体" w:cs="宋体"/>
          <w:b w:val="0"/>
          <w:bCs w:val="0"/>
          <w:sz w:val="24"/>
          <w:szCs w:val="18"/>
          <w:lang w:val="en-US" w:eastAsia="zh-CN"/>
        </w:rPr>
      </w:pPr>
      <w:r>
        <w:rPr>
          <w:rFonts w:hint="eastAsia" w:ascii="宋体" w:hAnsi="宋体" w:eastAsia="宋体" w:cs="宋体"/>
          <w:b w:val="0"/>
          <w:bCs w:val="0"/>
          <w:sz w:val="24"/>
          <w:szCs w:val="18"/>
          <w:lang w:val="en-US" w:eastAsia="zh-CN"/>
        </w:rPr>
        <w:t>5.1 开发环境搭建</w:t>
      </w:r>
    </w:p>
    <w:p w14:paraId="56894613">
      <w:pPr>
        <w:widowControl w:val="0"/>
        <w:numPr>
          <w:ilvl w:val="0"/>
          <w:numId w:val="0"/>
        </w:numPr>
        <w:spacing w:beforeLines="50" w:line="240" w:lineRule="auto"/>
        <w:jc w:val="both"/>
        <w:rPr>
          <w:rFonts w:hint="eastAsia" w:ascii="宋体" w:hAnsi="宋体" w:eastAsia="宋体" w:cs="宋体"/>
          <w:b w:val="0"/>
          <w:bCs w:val="0"/>
          <w:sz w:val="21"/>
          <w:szCs w:val="15"/>
          <w:lang w:val="en-US" w:eastAsia="zh-CN"/>
        </w:rPr>
      </w:pPr>
      <w:r>
        <w:rPr>
          <w:rFonts w:hint="eastAsia" w:ascii="宋体" w:hAnsi="宋体" w:eastAsia="宋体" w:cs="宋体"/>
          <w:b w:val="0"/>
          <w:bCs w:val="0"/>
          <w:sz w:val="21"/>
          <w:szCs w:val="15"/>
          <w:lang w:val="en-US" w:eastAsia="zh-CN"/>
        </w:rPr>
        <w:t>配置基础软件环境，安装Python 3.9及Node.js环境。搭建PyTorch用于模型训练，配置Neo4j用于知识存储。同时加载Langchain等常用库用于数据处理，配置FastAPI 和React脚手架用于系统开发。</w:t>
      </w:r>
    </w:p>
    <w:p w14:paraId="70365245">
      <w:pPr>
        <w:widowControl w:val="0"/>
        <w:numPr>
          <w:ilvl w:val="0"/>
          <w:numId w:val="0"/>
        </w:numPr>
        <w:spacing w:beforeLines="50" w:line="240" w:lineRule="auto"/>
        <w:jc w:val="both"/>
        <w:rPr>
          <w:rFonts w:hint="eastAsia" w:ascii="宋体" w:hAnsi="宋体" w:eastAsia="宋体" w:cs="宋体"/>
          <w:b w:val="0"/>
          <w:bCs w:val="0"/>
          <w:sz w:val="24"/>
          <w:szCs w:val="18"/>
          <w:lang w:val="en-US" w:eastAsia="zh-CN"/>
        </w:rPr>
      </w:pPr>
      <w:r>
        <w:rPr>
          <w:rFonts w:hint="eastAsia" w:ascii="宋体" w:hAnsi="宋体" w:eastAsia="宋体" w:cs="宋体"/>
          <w:b w:val="0"/>
          <w:bCs w:val="0"/>
          <w:sz w:val="24"/>
          <w:szCs w:val="18"/>
          <w:lang w:val="en-US" w:eastAsia="zh-CN"/>
        </w:rPr>
        <w:t>5.2 数据获取与探索</w:t>
      </w:r>
    </w:p>
    <w:p w14:paraId="7DCA77DF">
      <w:pPr>
        <w:widowControl w:val="0"/>
        <w:numPr>
          <w:ilvl w:val="0"/>
          <w:numId w:val="0"/>
        </w:numPr>
        <w:spacing w:beforeLines="50" w:line="240" w:lineRule="auto"/>
        <w:jc w:val="both"/>
        <w:rPr>
          <w:rFonts w:hint="eastAsia" w:ascii="宋体" w:hAnsi="宋体" w:eastAsia="宋体" w:cs="宋体"/>
          <w:b w:val="0"/>
          <w:bCs w:val="0"/>
          <w:sz w:val="24"/>
          <w:szCs w:val="18"/>
          <w:lang w:val="en-US" w:eastAsia="zh-CN"/>
        </w:rPr>
      </w:pPr>
      <w:r>
        <w:rPr>
          <w:rFonts w:hint="eastAsia" w:ascii="宋体" w:hAnsi="宋体" w:eastAsia="宋体" w:cs="宋体"/>
          <w:b w:val="0"/>
          <w:bCs w:val="0"/>
          <w:sz w:val="21"/>
          <w:szCs w:val="15"/>
          <w:lang w:val="en-US" w:eastAsia="zh-CN"/>
        </w:rPr>
        <w:t>从NASA PCoE或CALCE官方平台还有Kaggle下载公开的锂电池老化数据集。编写脚本解压并读取数据，人工抽查电压、电流、温度等时序曲线的完整性。了解数据规模，统计电池的额定容量、充放电循环次数以及失效阈值，评估数据的可用性与分布情况。</w:t>
      </w:r>
    </w:p>
    <w:p w14:paraId="4E815825">
      <w:pPr>
        <w:widowControl w:val="0"/>
        <w:numPr>
          <w:ilvl w:val="0"/>
          <w:numId w:val="0"/>
        </w:numPr>
        <w:spacing w:beforeLines="50" w:line="240" w:lineRule="auto"/>
        <w:jc w:val="both"/>
        <w:rPr>
          <w:rFonts w:hint="eastAsia" w:ascii="宋体" w:hAnsi="宋体" w:eastAsia="宋体" w:cs="宋体"/>
          <w:b w:val="0"/>
          <w:bCs w:val="0"/>
          <w:sz w:val="24"/>
          <w:szCs w:val="18"/>
          <w:lang w:val="en-US" w:eastAsia="zh-CN"/>
        </w:rPr>
      </w:pPr>
      <w:r>
        <w:rPr>
          <w:rFonts w:hint="eastAsia" w:ascii="宋体" w:hAnsi="宋体" w:eastAsia="宋体" w:cs="宋体"/>
          <w:b w:val="0"/>
          <w:bCs w:val="0"/>
          <w:sz w:val="24"/>
          <w:szCs w:val="18"/>
          <w:lang w:val="en-US" w:eastAsia="zh-CN"/>
        </w:rPr>
        <w:t>5.3 数据清洗与特征工程</w:t>
      </w:r>
    </w:p>
    <w:p w14:paraId="358AAC3B">
      <w:pPr>
        <w:widowControl w:val="0"/>
        <w:numPr>
          <w:ilvl w:val="0"/>
          <w:numId w:val="0"/>
        </w:numPr>
        <w:spacing w:beforeLines="50" w:line="240" w:lineRule="auto"/>
        <w:jc w:val="both"/>
        <w:rPr>
          <w:rFonts w:hint="eastAsia" w:ascii="宋体" w:hAnsi="宋体" w:eastAsia="宋体" w:cs="宋体"/>
          <w:b w:val="0"/>
          <w:bCs w:val="0"/>
          <w:sz w:val="21"/>
          <w:szCs w:val="15"/>
          <w:lang w:val="en-US" w:eastAsia="zh-CN"/>
        </w:rPr>
      </w:pPr>
      <w:r>
        <w:rPr>
          <w:rFonts w:hint="eastAsia" w:ascii="宋体" w:hAnsi="宋体" w:eastAsia="宋体" w:cs="宋体"/>
          <w:b w:val="0"/>
          <w:bCs w:val="0"/>
          <w:sz w:val="21"/>
          <w:szCs w:val="15"/>
          <w:lang w:val="en-US" w:eastAsia="zh-CN"/>
        </w:rPr>
        <w:t>本研究在数据层面采用“同源异构”的处理策略，确保数据的一致性：</w:t>
      </w:r>
    </w:p>
    <w:p w14:paraId="7083121D">
      <w:pPr>
        <w:widowControl w:val="0"/>
        <w:numPr>
          <w:ilvl w:val="0"/>
          <w:numId w:val="4"/>
        </w:numPr>
        <w:spacing w:beforeLines="50" w:line="240" w:lineRule="auto"/>
        <w:jc w:val="both"/>
        <w:rPr>
          <w:rFonts w:hint="eastAsia" w:ascii="宋体" w:hAnsi="宋体" w:eastAsia="宋体" w:cs="宋体"/>
          <w:b w:val="0"/>
          <w:bCs w:val="0"/>
          <w:sz w:val="21"/>
          <w:szCs w:val="15"/>
          <w:lang w:val="en-US" w:eastAsia="zh-CN"/>
        </w:rPr>
      </w:pPr>
      <w:r>
        <w:rPr>
          <w:rFonts w:hint="eastAsia" w:ascii="宋体" w:hAnsi="宋体" w:eastAsia="宋体" w:cs="宋体"/>
          <w:b w:val="0"/>
          <w:bCs w:val="0"/>
          <w:sz w:val="21"/>
          <w:szCs w:val="15"/>
          <w:lang w:val="en-US" w:eastAsia="zh-CN"/>
        </w:rPr>
        <w:t>基础清洗：对原始监测数据进行标准化处理。针对电池容量回升造成的噪声干扰，采用滑动平均滤波进行平滑处理；利用样条插值算法对齐不同采样频率的时间步。</w:t>
      </w:r>
    </w:p>
    <w:p w14:paraId="33707513">
      <w:pPr>
        <w:widowControl w:val="0"/>
        <w:numPr>
          <w:ilvl w:val="0"/>
          <w:numId w:val="4"/>
        </w:numPr>
        <w:spacing w:beforeLines="50" w:line="240" w:lineRule="auto"/>
        <w:jc w:val="both"/>
        <w:rPr>
          <w:rFonts w:hint="default" w:ascii="宋体" w:hAnsi="宋体" w:eastAsia="宋体" w:cs="宋体"/>
          <w:b w:val="0"/>
          <w:bCs w:val="0"/>
          <w:sz w:val="21"/>
          <w:szCs w:val="15"/>
          <w:lang w:val="en-US" w:eastAsia="zh-CN"/>
        </w:rPr>
      </w:pPr>
      <w:r>
        <w:rPr>
          <w:rFonts w:hint="default" w:ascii="宋体" w:hAnsi="宋体" w:eastAsia="宋体" w:cs="宋体"/>
          <w:b w:val="0"/>
          <w:bCs w:val="0"/>
          <w:sz w:val="21"/>
          <w:szCs w:val="15"/>
          <w:lang w:val="en-US" w:eastAsia="zh-CN"/>
        </w:rPr>
        <w:t>特征工程（面向混合模型）：不直接使用原始电压数据，而是编写算法提取高维健康因子（HIs），如IC曲线峰值、恒流充电时间、放电电压差等，构建序列视图数据。</w:t>
      </w:r>
    </w:p>
    <w:p w14:paraId="7181A94A">
      <w:pPr>
        <w:widowControl w:val="0"/>
        <w:numPr>
          <w:ilvl w:val="0"/>
          <w:numId w:val="4"/>
        </w:numPr>
        <w:spacing w:beforeLines="50" w:line="240" w:lineRule="auto"/>
        <w:jc w:val="both"/>
        <w:rPr>
          <w:rFonts w:hint="default" w:ascii="宋体" w:hAnsi="宋体" w:eastAsia="宋体" w:cs="宋体"/>
          <w:b w:val="0"/>
          <w:bCs w:val="0"/>
          <w:sz w:val="21"/>
          <w:szCs w:val="15"/>
          <w:lang w:val="en-US" w:eastAsia="zh-CN"/>
        </w:rPr>
      </w:pPr>
      <w:r>
        <w:rPr>
          <w:rFonts w:hint="default" w:ascii="宋体" w:hAnsi="宋体" w:eastAsia="宋体" w:cs="宋体"/>
          <w:b w:val="0"/>
          <w:bCs w:val="0"/>
          <w:sz w:val="21"/>
          <w:szCs w:val="15"/>
          <w:lang w:val="en-US" w:eastAsia="zh-CN"/>
        </w:rPr>
        <w:t>图谱构建数据（面向GraphRAG）：使用与训练数据同源的领域文档（如相关故障手册、机理文献），抽取实体与关系，构建结构化图视图数据。</w:t>
      </w:r>
    </w:p>
    <w:p w14:paraId="66611962">
      <w:pPr>
        <w:widowControl w:val="0"/>
        <w:numPr>
          <w:ilvl w:val="0"/>
          <w:numId w:val="4"/>
        </w:numPr>
        <w:spacing w:beforeLines="50" w:line="240" w:lineRule="auto"/>
        <w:jc w:val="both"/>
        <w:rPr>
          <w:rFonts w:hint="default" w:ascii="宋体" w:hAnsi="宋体" w:eastAsia="宋体" w:cs="宋体"/>
          <w:b w:val="0"/>
          <w:bCs w:val="0"/>
          <w:sz w:val="21"/>
          <w:szCs w:val="15"/>
          <w:lang w:val="en-US" w:eastAsia="zh-CN"/>
        </w:rPr>
      </w:pPr>
      <w:r>
        <w:rPr>
          <w:rFonts w:hint="default" w:ascii="宋体" w:hAnsi="宋体" w:eastAsia="宋体" w:cs="宋体"/>
          <w:b w:val="0"/>
          <w:bCs w:val="0"/>
          <w:sz w:val="21"/>
          <w:szCs w:val="15"/>
          <w:lang w:val="en-US" w:eastAsia="zh-CN"/>
        </w:rPr>
        <w:t>数据集划分：将处理后的时序数据按电池编号划分为训练集、验证集和测试集（如6:2:2），确保模型泛化能力。</w:t>
      </w:r>
    </w:p>
    <w:p w14:paraId="261D7AE8">
      <w:pPr>
        <w:widowControl w:val="0"/>
        <w:numPr>
          <w:ilvl w:val="0"/>
          <w:numId w:val="0"/>
        </w:numPr>
        <w:spacing w:beforeLines="50" w:line="240" w:lineRule="auto"/>
        <w:jc w:val="both"/>
        <w:rPr>
          <w:rFonts w:hint="eastAsia" w:ascii="宋体" w:hAnsi="宋体" w:eastAsia="宋体" w:cs="宋体"/>
          <w:b w:val="0"/>
          <w:bCs w:val="0"/>
          <w:sz w:val="24"/>
          <w:szCs w:val="18"/>
          <w:lang w:val="en-US" w:eastAsia="zh-CN"/>
        </w:rPr>
      </w:pPr>
      <w:r>
        <w:rPr>
          <w:rFonts w:hint="eastAsia" w:ascii="宋体" w:hAnsi="宋体" w:eastAsia="宋体" w:cs="宋体"/>
          <w:b w:val="0"/>
          <w:bCs w:val="0"/>
          <w:sz w:val="24"/>
          <w:szCs w:val="18"/>
          <w:lang w:val="en-US" w:eastAsia="zh-CN"/>
        </w:rPr>
        <w:t>5.4 跑通最小基线模型</w:t>
      </w:r>
    </w:p>
    <w:p w14:paraId="34614598">
      <w:pPr>
        <w:widowControl w:val="0"/>
        <w:numPr>
          <w:ilvl w:val="0"/>
          <w:numId w:val="0"/>
        </w:numPr>
        <w:spacing w:beforeLines="50" w:line="240" w:lineRule="auto"/>
        <w:jc w:val="both"/>
        <w:rPr>
          <w:rFonts w:hint="eastAsia" w:ascii="宋体" w:hAnsi="宋体" w:eastAsia="宋体" w:cs="宋体"/>
          <w:b w:val="0"/>
          <w:bCs w:val="0"/>
          <w:sz w:val="21"/>
          <w:szCs w:val="15"/>
          <w:lang w:val="en-US" w:eastAsia="zh-CN"/>
        </w:rPr>
      </w:pPr>
      <w:r>
        <w:rPr>
          <w:rFonts w:hint="eastAsia" w:ascii="宋体" w:hAnsi="宋体" w:eastAsia="宋体" w:cs="宋体"/>
          <w:b w:val="0"/>
          <w:bCs w:val="0"/>
          <w:sz w:val="21"/>
          <w:szCs w:val="15"/>
          <w:lang w:val="en-US" w:eastAsia="zh-CN"/>
        </w:rPr>
        <w:t>使用一个标准的Bi-LSTM作为基线模型进行初步训练。不追求极致精度，旨在验证数据管道是否畅通：确保特征数据能正确输入网络、损失函数（Loss）能正常收敛、且能输出合理的RUL预测值。</w:t>
      </w:r>
    </w:p>
    <w:p w14:paraId="224D91F7">
      <w:pPr>
        <w:widowControl w:val="0"/>
        <w:numPr>
          <w:ilvl w:val="0"/>
          <w:numId w:val="0"/>
        </w:numPr>
        <w:spacing w:beforeLines="50" w:line="240" w:lineRule="auto"/>
        <w:jc w:val="both"/>
        <w:rPr>
          <w:rFonts w:hint="eastAsia" w:ascii="宋体" w:hAnsi="宋体" w:eastAsia="宋体" w:cs="宋体"/>
          <w:b w:val="0"/>
          <w:bCs w:val="0"/>
          <w:sz w:val="24"/>
          <w:szCs w:val="18"/>
          <w:lang w:val="en-US" w:eastAsia="zh-CN"/>
        </w:rPr>
      </w:pPr>
      <w:r>
        <w:rPr>
          <w:rFonts w:hint="eastAsia" w:ascii="宋体" w:hAnsi="宋体" w:eastAsia="宋体" w:cs="宋体"/>
          <w:b w:val="0"/>
          <w:bCs w:val="0"/>
          <w:sz w:val="24"/>
          <w:szCs w:val="18"/>
          <w:lang w:val="en-US" w:eastAsia="zh-CN"/>
        </w:rPr>
        <w:t>5.5 混合预测模型的构建与优化</w:t>
      </w:r>
    </w:p>
    <w:p w14:paraId="03FABF0C">
      <w:pPr>
        <w:widowControl w:val="0"/>
        <w:numPr>
          <w:ilvl w:val="0"/>
          <w:numId w:val="0"/>
        </w:numPr>
        <w:spacing w:beforeLines="50" w:line="240" w:lineRule="auto"/>
        <w:jc w:val="both"/>
        <w:rPr>
          <w:rFonts w:hint="eastAsia" w:ascii="宋体" w:hAnsi="宋体" w:eastAsia="宋体" w:cs="宋体"/>
          <w:b w:val="0"/>
          <w:bCs w:val="0"/>
          <w:sz w:val="21"/>
          <w:szCs w:val="15"/>
          <w:lang w:val="en-US" w:eastAsia="zh-CN"/>
        </w:rPr>
      </w:pPr>
      <w:r>
        <w:rPr>
          <w:rFonts w:hint="eastAsia" w:ascii="宋体" w:hAnsi="宋体" w:eastAsia="宋体" w:cs="宋体"/>
          <w:b w:val="0"/>
          <w:bCs w:val="0"/>
          <w:sz w:val="21"/>
          <w:szCs w:val="15"/>
          <w:lang w:val="en-US" w:eastAsia="zh-CN"/>
        </w:rPr>
        <w:t>在基线模型基础上，构建基于xLSTM与Transformer的混合预测模型。架构设计：设计交替堆叠结构，例如每</w:t>
      </w:r>
      <m:oMath>
        <m:r>
          <m:rPr/>
          <w:rPr>
            <w:rFonts w:hint="default" w:ascii="DejaVu Math TeX Gyre" w:hAnsi="DejaVu Math TeX Gyre" w:eastAsia="宋体" w:cs="宋体"/>
            <w:kern w:val="2"/>
            <w:sz w:val="21"/>
            <w:szCs w:val="15"/>
            <w:lang w:val="en-US" w:eastAsia="zh-CN" w:bidi="ar-SA"/>
          </w:rPr>
          <m:t>K</m:t>
        </m:r>
      </m:oMath>
      <w:r>
        <w:rPr>
          <w:rFonts w:hint="eastAsia" w:ascii="宋体" w:hAnsi="宋体" w:eastAsia="宋体" w:cs="宋体"/>
          <w:b w:val="0"/>
          <w:bCs w:val="0"/>
          <w:sz w:val="21"/>
          <w:szCs w:val="15"/>
          <w:lang w:val="en-US" w:eastAsia="zh-CN"/>
        </w:rPr>
        <w:t>层Transformer模块穿插</w:t>
      </w:r>
      <m:oMath>
        <m:r>
          <m:rPr/>
          <w:rPr>
            <w:rFonts w:hint="default" w:ascii="DejaVu Math TeX Gyre" w:hAnsi="DejaVu Math TeX Gyre" w:eastAsia="宋体" w:cs="宋体"/>
            <w:kern w:val="2"/>
            <w:sz w:val="21"/>
            <w:szCs w:val="15"/>
            <w:lang w:val="en-US" w:eastAsia="zh-CN" w:bidi="ar-SA"/>
          </w:rPr>
          <m:t>M</m:t>
        </m:r>
      </m:oMath>
      <w:r>
        <w:rPr>
          <w:rFonts w:hint="eastAsia" w:ascii="宋体" w:hAnsi="宋体" w:eastAsia="宋体" w:cs="宋体"/>
          <w:b w:val="0"/>
          <w:bCs w:val="0"/>
          <w:sz w:val="21"/>
          <w:szCs w:val="15"/>
          <w:lang w:val="en-US" w:eastAsia="zh-CN"/>
        </w:rPr>
        <w:t>层xLSTM模块。xLSTM层负责压缩长距离的历史状态信息，减少显存占用；Transformer层负责对压缩后的特征进行高精度的逻辑关联。设计特征融合层将两者结合，通过网格搜索调整学习率、隐藏层维度等超参数，重点验证该架构在长序列训练中是否有效缓解了梯度消失问题并提升了推理速度。</w:t>
      </w:r>
    </w:p>
    <w:p w14:paraId="74ADB53A">
      <w:pPr>
        <w:widowControl w:val="0"/>
        <w:numPr>
          <w:ilvl w:val="0"/>
          <w:numId w:val="0"/>
        </w:numPr>
        <w:spacing w:beforeLines="50" w:line="240" w:lineRule="auto"/>
        <w:jc w:val="both"/>
        <w:rPr>
          <w:rFonts w:hint="eastAsia" w:ascii="宋体" w:hAnsi="宋体" w:eastAsia="宋体" w:cs="宋体"/>
          <w:b w:val="0"/>
          <w:bCs w:val="0"/>
          <w:sz w:val="24"/>
          <w:szCs w:val="18"/>
          <w:lang w:val="en-US" w:eastAsia="zh-CN"/>
        </w:rPr>
      </w:pPr>
      <w:r>
        <w:rPr>
          <w:rFonts w:hint="eastAsia" w:ascii="宋体" w:hAnsi="宋体" w:eastAsia="宋体" w:cs="宋体"/>
          <w:b w:val="0"/>
          <w:bCs w:val="0"/>
          <w:sz w:val="24"/>
          <w:szCs w:val="18"/>
          <w:lang w:val="en-US" w:eastAsia="zh-CN"/>
        </w:rPr>
        <w:t>5.6 知识图谱与诊断引擎开发</w:t>
      </w:r>
    </w:p>
    <w:p w14:paraId="58BE0376">
      <w:pPr>
        <w:widowControl w:val="0"/>
        <w:numPr>
          <w:ilvl w:val="0"/>
          <w:numId w:val="0"/>
        </w:numPr>
        <w:spacing w:beforeLines="50" w:line="240" w:lineRule="auto"/>
        <w:jc w:val="both"/>
        <w:rPr>
          <w:rFonts w:hint="eastAsia" w:ascii="宋体" w:hAnsi="宋体" w:eastAsia="宋体" w:cs="宋体"/>
          <w:b w:val="0"/>
          <w:bCs w:val="0"/>
          <w:sz w:val="24"/>
          <w:szCs w:val="18"/>
          <w:lang w:val="en-US" w:eastAsia="zh-CN"/>
        </w:rPr>
      </w:pPr>
      <w:r>
        <w:rPr>
          <w:rFonts w:hint="eastAsia" w:ascii="宋体" w:hAnsi="宋体" w:eastAsia="宋体" w:cs="宋体"/>
          <w:b w:val="0"/>
          <w:bCs w:val="0"/>
          <w:sz w:val="21"/>
          <w:szCs w:val="15"/>
          <w:lang w:val="en-US" w:eastAsia="zh-CN"/>
        </w:rPr>
        <w:t>先进行图谱构建，在Neo4j中建立电池故障本体，手动录入或批量导入“低温”、“过充”、“析锂”等实体及其因果关系。然后开发GraphRAG接口，实现“异常特征检索-&gt;图谱子图匹配-&gt;大模型推理”的完整链路，确保能生成可读的诊断文本。</w:t>
      </w:r>
    </w:p>
    <w:p w14:paraId="605CCCD4">
      <w:pPr>
        <w:widowControl w:val="0"/>
        <w:numPr>
          <w:ilvl w:val="0"/>
          <w:numId w:val="0"/>
        </w:numPr>
        <w:spacing w:beforeLines="50" w:line="240" w:lineRule="auto"/>
        <w:jc w:val="both"/>
        <w:rPr>
          <w:rFonts w:hint="eastAsia" w:ascii="宋体" w:hAnsi="宋体" w:eastAsia="宋体" w:cs="宋体"/>
          <w:b w:val="0"/>
          <w:bCs w:val="0"/>
          <w:sz w:val="24"/>
          <w:szCs w:val="18"/>
          <w:lang w:val="en-US" w:eastAsia="zh-CN"/>
        </w:rPr>
      </w:pPr>
      <w:r>
        <w:rPr>
          <w:rFonts w:hint="eastAsia" w:ascii="宋体" w:hAnsi="宋体" w:eastAsia="宋体" w:cs="宋体"/>
          <w:b w:val="0"/>
          <w:bCs w:val="0"/>
          <w:sz w:val="24"/>
          <w:szCs w:val="18"/>
          <w:lang w:val="en-US" w:eastAsia="zh-CN"/>
        </w:rPr>
        <w:t>5.7 全栈系统集成与结果整理</w:t>
      </w:r>
    </w:p>
    <w:p w14:paraId="5696208D">
      <w:pPr>
        <w:widowControl w:val="0"/>
        <w:numPr>
          <w:ilvl w:val="0"/>
          <w:numId w:val="0"/>
        </w:numPr>
        <w:spacing w:beforeLines="50" w:line="240" w:lineRule="auto"/>
        <w:jc w:val="both"/>
        <w:rPr>
          <w:rFonts w:hint="eastAsia" w:ascii="宋体" w:hAnsi="宋体" w:eastAsia="宋体" w:cs="宋体"/>
          <w:b w:val="0"/>
          <w:bCs w:val="0"/>
          <w:sz w:val="21"/>
          <w:szCs w:val="15"/>
          <w:lang w:val="en-US" w:eastAsia="zh-CN"/>
        </w:rPr>
      </w:pPr>
      <w:r>
        <w:rPr>
          <w:rFonts w:hint="eastAsia" w:ascii="宋体" w:hAnsi="宋体" w:eastAsia="宋体" w:cs="宋体"/>
          <w:b w:val="0"/>
          <w:bCs w:val="0"/>
          <w:sz w:val="21"/>
          <w:szCs w:val="15"/>
          <w:lang w:val="en-US" w:eastAsia="zh-CN"/>
        </w:rPr>
        <w:t>基于React+FastAPI开发可视化Web平台。前端集成ECharts实现电池数据的实时动态渲染，后端封装上述预测和诊断算法为API接口。在测试集上计算RMSE等指标，对比混合模型与基线模型的性能差异。同时整理系统运行截图、诊断案例及实验数据，完成最终的毕业设计论文与演示材料。</w:t>
      </w:r>
    </w:p>
    <w:p w14:paraId="620D93BD">
      <w:pPr>
        <w:numPr>
          <w:ilvl w:val="0"/>
          <w:numId w:val="1"/>
        </w:numPr>
        <w:spacing w:beforeLines="50" w:line="240" w:lineRule="auto"/>
        <w:jc w:val="both"/>
        <w:rPr>
          <w:rFonts w:hint="eastAsia" w:ascii="宋体" w:hAnsi="宋体" w:eastAsia="宋体" w:cs="宋体"/>
          <w:b/>
          <w:bCs/>
          <w:sz w:val="28"/>
          <w:szCs w:val="20"/>
          <w:lang w:val="en-US" w:eastAsia="zh-CN"/>
        </w:rPr>
      </w:pPr>
      <w:r>
        <w:rPr>
          <w:rFonts w:hint="eastAsia" w:ascii="宋体" w:hAnsi="宋体" w:eastAsia="宋体" w:cs="宋体"/>
          <w:b/>
          <w:bCs/>
          <w:sz w:val="28"/>
          <w:szCs w:val="20"/>
          <w:lang w:val="en-US" w:eastAsia="zh-CN"/>
        </w:rPr>
        <w:t>预期结果</w:t>
      </w:r>
    </w:p>
    <w:p w14:paraId="0A3C0F6E">
      <w:pPr>
        <w:keepNext w:val="0"/>
        <w:keepLines w:val="0"/>
        <w:widowControl/>
        <w:suppressLineNumbers w:val="0"/>
        <w:jc w:val="left"/>
        <w:rPr>
          <w:rFonts w:hint="eastAsia" w:ascii="宋体" w:hAnsi="宋体" w:eastAsia="宋体" w:cs="宋体"/>
          <w:kern w:val="0"/>
          <w:sz w:val="21"/>
          <w:szCs w:val="21"/>
          <w:lang w:val="en-US" w:eastAsia="zh-CN" w:bidi="ar"/>
        </w:rPr>
      </w:pPr>
      <w:bookmarkStart w:id="0" w:name="_GoBack"/>
      <w:r>
        <w:rPr>
          <w:rFonts w:hint="eastAsia" w:ascii="宋体" w:hAnsi="宋体" w:eastAsia="宋体" w:cs="宋体"/>
          <w:kern w:val="0"/>
          <w:sz w:val="21"/>
          <w:szCs w:val="21"/>
          <w:lang w:val="en-US" w:eastAsia="zh-CN" w:bidi="ar"/>
        </w:rPr>
        <w:t>本课题预期通过研究实现以下目标：</w:t>
      </w:r>
    </w:p>
    <w:p w14:paraId="1693C487">
      <w:pPr>
        <w:keepNext w:val="0"/>
        <w:keepLines w:val="0"/>
        <w:widowControl/>
        <w:numPr>
          <w:ilvl w:val="0"/>
          <w:numId w:val="5"/>
        </w:numPr>
        <w:suppressLineNumbers w:val="0"/>
        <w:jc w:val="left"/>
        <w:rPr>
          <w:rFonts w:hint="eastAsia" w:ascii="宋体" w:hAnsi="宋体" w:eastAsia="宋体" w:cs="宋体"/>
          <w:kern w:val="0"/>
          <w:sz w:val="21"/>
          <w:szCs w:val="21"/>
          <w:lang w:val="en-US" w:eastAsia="zh-CN" w:bidi="ar"/>
        </w:rPr>
      </w:pPr>
      <w:r>
        <w:rPr>
          <w:rFonts w:hint="eastAsia" w:ascii="宋体" w:hAnsi="宋体" w:eastAsia="宋体" w:cs="宋体"/>
          <w:kern w:val="0"/>
          <w:sz w:val="21"/>
          <w:szCs w:val="21"/>
          <w:lang w:val="en-US" w:eastAsia="zh-CN" w:bidi="ar"/>
        </w:rPr>
        <w:t>构建一个集寿命预测、故障归因与实时监控于一体的锂电池健康管理系统。该系统基于深度学习与知识图谱技术，能够对电池全生命周期的剩余寿命进行精准预测，预计混合模型在测试集上的RMSE将显著优于传统LSTM模型，且推理速度较纯Transformer架构有明显提升。</w:t>
      </w:r>
    </w:p>
    <w:p w14:paraId="60A3B8D7">
      <w:pPr>
        <w:keepNext w:val="0"/>
        <w:keepLines w:val="0"/>
        <w:widowControl/>
        <w:numPr>
          <w:ilvl w:val="0"/>
          <w:numId w:val="5"/>
        </w:numPr>
        <w:suppressLineNumbers w:val="0"/>
        <w:jc w:val="left"/>
        <w:rPr>
          <w:rFonts w:hint="eastAsia" w:ascii="宋体" w:hAnsi="宋体" w:eastAsia="宋体" w:cs="宋体"/>
          <w:kern w:val="0"/>
          <w:sz w:val="21"/>
          <w:szCs w:val="21"/>
          <w:lang w:val="en-US" w:eastAsia="zh-CN" w:bidi="ar"/>
        </w:rPr>
      </w:pPr>
      <w:r>
        <w:rPr>
          <w:rFonts w:hint="eastAsia" w:ascii="宋体" w:hAnsi="宋体" w:eastAsia="宋体" w:cs="宋体"/>
          <w:kern w:val="0"/>
          <w:sz w:val="21"/>
          <w:szCs w:val="21"/>
          <w:lang w:val="en-US" w:eastAsia="zh-CN" w:bidi="ar"/>
        </w:rPr>
        <w:t>同时，系统融合了GraphRAG技术，具备可解释的故障诊断能力，能够针对异常数据自动生成包含物理机理的文本分析报告。</w:t>
      </w:r>
    </w:p>
    <w:p w14:paraId="4D7143CE">
      <w:pPr>
        <w:keepNext w:val="0"/>
        <w:keepLines w:val="0"/>
        <w:widowControl/>
        <w:numPr>
          <w:ilvl w:val="0"/>
          <w:numId w:val="5"/>
        </w:numPr>
        <w:suppressLineNumbers w:val="0"/>
        <w:jc w:val="left"/>
        <w:rPr>
          <w:rFonts w:hint="eastAsia" w:ascii="宋体" w:hAnsi="宋体" w:eastAsia="宋体" w:cs="宋体"/>
          <w:kern w:val="0"/>
          <w:sz w:val="21"/>
          <w:szCs w:val="21"/>
          <w:lang w:val="en-US" w:eastAsia="zh-CN" w:bidi="ar"/>
        </w:rPr>
      </w:pPr>
      <w:r>
        <w:rPr>
          <w:rFonts w:hint="eastAsia" w:ascii="宋体" w:hAnsi="宋体" w:eastAsia="宋体" w:cs="宋体"/>
          <w:kern w:val="0"/>
          <w:sz w:val="21"/>
          <w:szCs w:val="21"/>
          <w:lang w:val="en-US" w:eastAsia="zh-CN" w:bidi="ar"/>
        </w:rPr>
        <w:t>系统将配备友好的Web可视化交互界面，支持用户上传数据并快速获取动态的寿命预测曲线与诊断建议。</w:t>
      </w:r>
    </w:p>
    <w:p w14:paraId="5E06D943">
      <w:pPr>
        <w:keepNext w:val="0"/>
        <w:keepLines w:val="0"/>
        <w:widowControl/>
        <w:numPr>
          <w:ilvl w:val="0"/>
          <w:numId w:val="5"/>
        </w:numPr>
        <w:suppressLineNumbers w:val="0"/>
        <w:jc w:val="left"/>
        <w:rPr>
          <w:rFonts w:hint="eastAsia" w:ascii="宋体" w:hAnsi="宋体" w:eastAsia="宋体" w:cs="宋体"/>
          <w:kern w:val="0"/>
          <w:sz w:val="21"/>
          <w:szCs w:val="21"/>
          <w:lang w:val="en-US" w:eastAsia="zh-CN" w:bidi="ar"/>
        </w:rPr>
      </w:pPr>
      <w:r>
        <w:rPr>
          <w:rFonts w:hint="eastAsia" w:ascii="宋体" w:hAnsi="宋体" w:eastAsia="宋体" w:cs="宋体"/>
          <w:kern w:val="0"/>
          <w:sz w:val="21"/>
          <w:szCs w:val="21"/>
          <w:lang w:val="en-US" w:eastAsia="zh-CN" w:bidi="ar"/>
        </w:rPr>
        <w:t>研究成果将为新能源汽车及储能电站的运维管理提供一个具有实际应用价值的辅助工具，并形成一套完整的系统源码、模型权重文件</w:t>
      </w:r>
      <w:bookmarkEnd w:id="0"/>
      <w:r>
        <w:rPr>
          <w:rFonts w:hint="eastAsia" w:ascii="宋体" w:hAnsi="宋体" w:eastAsia="宋体" w:cs="宋体"/>
          <w:kern w:val="0"/>
          <w:sz w:val="21"/>
          <w:szCs w:val="21"/>
          <w:lang w:val="en-US" w:eastAsia="zh-CN" w:bidi="ar"/>
        </w:rPr>
        <w:t>。</w:t>
      </w:r>
      <w:r>
        <w:rPr>
          <w:rFonts w:hint="eastAsia" w:ascii="宋体" w:hAnsi="宋体" w:eastAsia="宋体" w:cs="宋体"/>
          <w:kern w:val="0"/>
          <w:sz w:val="21"/>
          <w:szCs w:val="21"/>
          <w:lang w:val="en-US" w:eastAsia="zh-CN" w:bidi="ar"/>
        </w:rPr>
        <w:br w:type="page"/>
      </w:r>
    </w:p>
    <w:p w14:paraId="4F653A87">
      <w:pPr>
        <w:numPr>
          <w:ilvl w:val="0"/>
          <w:numId w:val="1"/>
        </w:numPr>
        <w:spacing w:beforeLines="50" w:line="240" w:lineRule="auto"/>
        <w:jc w:val="both"/>
        <w:rPr>
          <w:rFonts w:hint="eastAsia" w:ascii="宋体" w:hAnsi="宋体" w:eastAsia="宋体" w:cs="宋体"/>
          <w:b/>
          <w:bCs/>
          <w:sz w:val="28"/>
          <w:szCs w:val="20"/>
          <w:lang w:val="en-US" w:eastAsia="zh-CN"/>
        </w:rPr>
      </w:pPr>
      <w:r>
        <w:rPr>
          <w:rFonts w:hint="eastAsia" w:ascii="宋体" w:hAnsi="宋体" w:eastAsia="宋体" w:cs="宋体"/>
          <w:b/>
          <w:bCs/>
          <w:sz w:val="28"/>
          <w:szCs w:val="20"/>
          <w:lang w:val="en-US" w:eastAsia="zh-CN"/>
        </w:rPr>
        <w:t>参考主要文献</w:t>
      </w:r>
    </w:p>
    <w:p w14:paraId="5B709550">
      <w:pPr>
        <w:widowControl w:val="0"/>
        <w:numPr>
          <w:ilvl w:val="0"/>
          <w:numId w:val="6"/>
        </w:numPr>
        <w:spacing w:beforeLines="50" w:line="240" w:lineRule="auto"/>
        <w:ind w:left="425" w:leftChars="0" w:hanging="425" w:firstLineChars="0"/>
        <w:jc w:val="both"/>
        <w:rPr>
          <w:rFonts w:hint="default" w:ascii="Times New Roman Regular" w:hAnsi="Times New Roman Regular" w:eastAsia="宋体" w:cs="Times New Roman Regular"/>
          <w:b w:val="0"/>
          <w:bCs w:val="0"/>
          <w:sz w:val="21"/>
          <w:szCs w:val="21"/>
          <w:lang w:val="en-US" w:eastAsia="zh-CN"/>
        </w:rPr>
      </w:pPr>
      <w:r>
        <w:rPr>
          <w:rFonts w:hint="default" w:ascii="Times New Roman Regular" w:hAnsi="Times New Roman Regular" w:eastAsia="宋体" w:cs="Times New Roman Regular"/>
          <w:b w:val="0"/>
          <w:bCs w:val="0"/>
          <w:sz w:val="21"/>
          <w:szCs w:val="21"/>
          <w:lang w:val="en-US" w:eastAsia="zh-CN"/>
        </w:rPr>
        <w:t xml:space="preserve">Beck, M., et al. (2024). xLSTM: Extended Long Short-Term Memory. </w:t>
      </w:r>
    </w:p>
    <w:p w14:paraId="4A8C890D">
      <w:pPr>
        <w:widowControl w:val="0"/>
        <w:numPr>
          <w:ilvl w:val="0"/>
          <w:numId w:val="6"/>
        </w:numPr>
        <w:spacing w:beforeLines="50" w:line="240" w:lineRule="auto"/>
        <w:ind w:left="425" w:leftChars="0" w:hanging="425" w:firstLineChars="0"/>
        <w:jc w:val="both"/>
        <w:rPr>
          <w:rFonts w:hint="default" w:ascii="Times New Roman Regular" w:hAnsi="Times New Roman Regular" w:eastAsia="宋体" w:cs="Times New Roman Regular"/>
          <w:b w:val="0"/>
          <w:bCs w:val="0"/>
          <w:sz w:val="21"/>
          <w:szCs w:val="21"/>
          <w:lang w:val="en-US" w:eastAsia="zh-CN"/>
        </w:rPr>
      </w:pPr>
      <w:r>
        <w:rPr>
          <w:rFonts w:hint="default" w:ascii="Times New Roman Regular" w:hAnsi="Times New Roman Regular" w:eastAsia="宋体" w:cs="Times New Roman Regular"/>
          <w:b w:val="0"/>
          <w:bCs w:val="0"/>
          <w:sz w:val="21"/>
          <w:szCs w:val="21"/>
          <w:lang w:val="en-US" w:eastAsia="zh-CN"/>
        </w:rPr>
        <w:t>Vaswani, A., et al. (2017). Attention Is All You Need. NeurIPS.</w:t>
      </w:r>
    </w:p>
    <w:p w14:paraId="1F0C8E23">
      <w:pPr>
        <w:widowControl w:val="0"/>
        <w:numPr>
          <w:ilvl w:val="0"/>
          <w:numId w:val="6"/>
        </w:numPr>
        <w:spacing w:beforeLines="50" w:line="240" w:lineRule="auto"/>
        <w:ind w:left="425" w:leftChars="0" w:hanging="425" w:firstLineChars="0"/>
        <w:jc w:val="both"/>
        <w:rPr>
          <w:rFonts w:hint="default" w:ascii="Times New Roman Regular" w:hAnsi="Times New Roman Regular" w:eastAsia="宋体" w:cs="Times New Roman Regular"/>
          <w:b w:val="0"/>
          <w:bCs w:val="0"/>
          <w:sz w:val="21"/>
          <w:szCs w:val="21"/>
          <w:lang w:val="en-US" w:eastAsia="zh-CN"/>
        </w:rPr>
      </w:pPr>
      <w:r>
        <w:rPr>
          <w:rFonts w:hint="default" w:ascii="Times New Roman Regular" w:hAnsi="Times New Roman Regular" w:eastAsia="宋体" w:cs="Times New Roman Regular"/>
          <w:b w:val="0"/>
          <w:bCs w:val="0"/>
          <w:sz w:val="21"/>
          <w:szCs w:val="21"/>
          <w:lang w:val="en-US" w:eastAsia="zh-CN"/>
        </w:rPr>
        <w:t>Edge, D., et al. (2024). From Local to Global: A Graph RAG Approach.</w:t>
      </w:r>
    </w:p>
    <w:p w14:paraId="29F77B2F">
      <w:pPr>
        <w:widowControl w:val="0"/>
        <w:numPr>
          <w:ilvl w:val="0"/>
          <w:numId w:val="6"/>
        </w:numPr>
        <w:spacing w:beforeLines="50" w:line="240" w:lineRule="auto"/>
        <w:ind w:left="425" w:leftChars="0" w:hanging="425" w:firstLineChars="0"/>
        <w:jc w:val="both"/>
        <w:rPr>
          <w:rFonts w:hint="default" w:ascii="Times New Roman Regular" w:hAnsi="Times New Roman Regular" w:eastAsia="宋体" w:cs="Times New Roman Regular"/>
          <w:b w:val="0"/>
          <w:bCs w:val="0"/>
          <w:sz w:val="21"/>
          <w:szCs w:val="21"/>
          <w:lang w:val="en-US" w:eastAsia="zh-CN"/>
        </w:rPr>
      </w:pPr>
      <w:r>
        <w:rPr>
          <w:rFonts w:hint="default" w:ascii="Times New Roman Regular" w:hAnsi="Times New Roman Regular" w:eastAsia="宋体" w:cs="Times New Roman Regular"/>
          <w:b w:val="0"/>
          <w:bCs w:val="0"/>
          <w:sz w:val="21"/>
          <w:szCs w:val="21"/>
          <w:lang w:val="en-US" w:eastAsia="zh-CN"/>
        </w:rPr>
        <w:t>黄凯, 等. (2020). 基于数据预处理和长短期记忆神经网络的锂离子电池寿命预测.</w:t>
      </w:r>
    </w:p>
    <w:p w14:paraId="16746596">
      <w:pPr>
        <w:keepNext w:val="0"/>
        <w:keepLines w:val="0"/>
        <w:widowControl/>
        <w:numPr>
          <w:ilvl w:val="0"/>
          <w:numId w:val="6"/>
        </w:numPr>
        <w:suppressLineNumbers w:val="0"/>
        <w:ind w:left="425" w:leftChars="0" w:hanging="425" w:firstLineChars="0"/>
        <w:jc w:val="left"/>
        <w:rPr>
          <w:rFonts w:hint="default" w:ascii="Times New Roman Regular" w:hAnsi="Times New Roman Regular" w:eastAsia="宋体" w:cs="Times New Roman Regular"/>
          <w:b w:val="0"/>
          <w:bCs w:val="0"/>
          <w:kern w:val="0"/>
          <w:sz w:val="21"/>
          <w:szCs w:val="21"/>
          <w:lang w:val="en-US" w:eastAsia="zh-CN" w:bidi="ar"/>
        </w:rPr>
      </w:pPr>
      <w:r>
        <w:rPr>
          <w:rFonts w:hint="default" w:ascii="Times New Roman Regular" w:hAnsi="Times New Roman Regular" w:eastAsia="宋体" w:cs="Times New Roman Regular"/>
          <w:b w:val="0"/>
          <w:bCs w:val="0"/>
          <w:kern w:val="0"/>
          <w:sz w:val="21"/>
          <w:szCs w:val="21"/>
          <w:lang w:val="en-US" w:eastAsia="zh-CN" w:bidi="ar"/>
        </w:rPr>
        <w:t xml:space="preserve">宋兴海, 等. (2023). 基于SDAE-Transformer-ECA网络的锂电池剩余使用寿命预测. </w:t>
      </w:r>
    </w:p>
    <w:p w14:paraId="04C42C28">
      <w:pPr>
        <w:keepNext w:val="0"/>
        <w:keepLines w:val="0"/>
        <w:widowControl/>
        <w:numPr>
          <w:ilvl w:val="0"/>
          <w:numId w:val="6"/>
        </w:numPr>
        <w:suppressLineNumbers w:val="0"/>
        <w:ind w:left="425" w:leftChars="0" w:hanging="425" w:firstLineChars="0"/>
        <w:jc w:val="left"/>
        <w:rPr>
          <w:rFonts w:hint="default" w:ascii="Times New Roman Regular" w:hAnsi="Times New Roman Regular" w:cs="Times New Roman Regular"/>
          <w:b w:val="0"/>
          <w:bCs w:val="0"/>
          <w:sz w:val="21"/>
          <w:szCs w:val="21"/>
        </w:rPr>
      </w:pPr>
      <w:r>
        <w:rPr>
          <w:rFonts w:hint="default" w:ascii="Times New Roman Regular" w:hAnsi="Times New Roman Regular" w:eastAsia="宋体" w:cs="Times New Roman Regular"/>
          <w:b w:val="0"/>
          <w:bCs w:val="0"/>
          <w:kern w:val="0"/>
          <w:sz w:val="21"/>
          <w:szCs w:val="21"/>
          <w:lang w:val="en-US" w:eastAsia="zh-CN" w:bidi="ar"/>
        </w:rPr>
        <w:t xml:space="preserve">吴忠强, 等. (2023). 基于PyConv-Transformer的锂离子电池剩余寿命预测. </w:t>
      </w:r>
    </w:p>
    <w:p w14:paraId="3417B9B8">
      <w:pPr>
        <w:keepNext w:val="0"/>
        <w:keepLines w:val="0"/>
        <w:widowControl/>
        <w:numPr>
          <w:ilvl w:val="0"/>
          <w:numId w:val="6"/>
        </w:numPr>
        <w:suppressLineNumbers w:val="0"/>
        <w:ind w:left="425" w:leftChars="0" w:hanging="425" w:firstLineChars="0"/>
        <w:jc w:val="left"/>
        <w:rPr>
          <w:rFonts w:hint="default" w:ascii="Times New Roman Regular" w:hAnsi="Times New Roman Regular" w:cs="Times New Roman Regular"/>
          <w:b w:val="0"/>
          <w:bCs w:val="0"/>
          <w:sz w:val="21"/>
          <w:szCs w:val="21"/>
        </w:rPr>
      </w:pPr>
      <w:r>
        <w:rPr>
          <w:rFonts w:hint="default" w:ascii="Times New Roman Regular" w:hAnsi="Times New Roman Regular" w:eastAsia="宋体" w:cs="Times New Roman Regular"/>
          <w:b w:val="0"/>
          <w:bCs w:val="0"/>
          <w:kern w:val="0"/>
          <w:sz w:val="21"/>
          <w:szCs w:val="21"/>
          <w:lang w:val="en-US" w:eastAsia="zh-CN" w:bidi="ar"/>
        </w:rPr>
        <w:t xml:space="preserve">李炳金, 等. (2022). 锂离子电池剩余使用寿命预测方法综述.  </w:t>
      </w:r>
    </w:p>
    <w:p w14:paraId="36E9B697">
      <w:pPr>
        <w:keepNext w:val="0"/>
        <w:keepLines w:val="0"/>
        <w:widowControl/>
        <w:numPr>
          <w:ilvl w:val="0"/>
          <w:numId w:val="6"/>
        </w:numPr>
        <w:suppressLineNumbers w:val="0"/>
        <w:ind w:left="425" w:leftChars="0" w:hanging="425" w:firstLineChars="0"/>
        <w:jc w:val="left"/>
        <w:rPr>
          <w:rFonts w:hint="default" w:ascii="Times New Roman Regular" w:hAnsi="Times New Roman Regular" w:cs="Times New Roman Regular"/>
          <w:b w:val="0"/>
          <w:bCs w:val="0"/>
          <w:sz w:val="21"/>
          <w:szCs w:val="21"/>
        </w:rPr>
      </w:pPr>
      <w:r>
        <w:rPr>
          <w:rFonts w:hint="default" w:ascii="Times New Roman Regular" w:hAnsi="Times New Roman Regular" w:eastAsia="宋体" w:cs="Times New Roman Regular"/>
          <w:b w:val="0"/>
          <w:bCs w:val="0"/>
          <w:kern w:val="0"/>
          <w:sz w:val="21"/>
          <w:szCs w:val="21"/>
          <w:lang w:val="en-US" w:eastAsia="zh-CN" w:bidi="ar"/>
        </w:rPr>
        <w:t xml:space="preserve">徐鹏, 等. (2025). 基于CEEMDAN和GA-BILSTM的锂离子电池剩余使用寿命预测. </w:t>
      </w:r>
    </w:p>
    <w:p w14:paraId="4E3DF2D5">
      <w:pPr>
        <w:keepNext w:val="0"/>
        <w:keepLines w:val="0"/>
        <w:widowControl/>
        <w:numPr>
          <w:ilvl w:val="0"/>
          <w:numId w:val="6"/>
        </w:numPr>
        <w:suppressLineNumbers w:val="0"/>
        <w:ind w:left="425" w:leftChars="0" w:hanging="425" w:firstLineChars="0"/>
        <w:jc w:val="left"/>
        <w:rPr>
          <w:rFonts w:hint="default" w:ascii="Times New Roman Regular" w:hAnsi="Times New Roman Regular" w:cs="Times New Roman Regular"/>
          <w:b w:val="0"/>
          <w:bCs w:val="0"/>
          <w:sz w:val="21"/>
          <w:szCs w:val="21"/>
        </w:rPr>
      </w:pPr>
      <w:r>
        <w:rPr>
          <w:rFonts w:hint="default" w:ascii="Times New Roman Regular" w:hAnsi="Times New Roman Regular" w:eastAsia="宋体" w:cs="Times New Roman Regular"/>
          <w:b w:val="0"/>
          <w:bCs w:val="0"/>
          <w:kern w:val="0"/>
          <w:sz w:val="21"/>
          <w:szCs w:val="21"/>
          <w:lang w:val="en-US" w:eastAsia="zh-CN" w:bidi="ar"/>
        </w:rPr>
        <w:t xml:space="preserve">郭敏, 等. (2022). 基于改进Bi-LSTM网络下的多时变状态锂电池剩余寿命预测方法. </w:t>
      </w:r>
    </w:p>
    <w:p w14:paraId="1608CAFC">
      <w:pPr>
        <w:keepNext w:val="0"/>
        <w:keepLines w:val="0"/>
        <w:widowControl/>
        <w:numPr>
          <w:ilvl w:val="0"/>
          <w:numId w:val="6"/>
        </w:numPr>
        <w:suppressLineNumbers w:val="0"/>
        <w:ind w:left="425" w:leftChars="0" w:hanging="425" w:firstLineChars="0"/>
        <w:jc w:val="left"/>
        <w:rPr>
          <w:rFonts w:hint="default" w:ascii="Times New Roman Regular" w:hAnsi="Times New Roman Regular" w:cs="Times New Roman Regular"/>
          <w:b w:val="0"/>
          <w:bCs w:val="0"/>
          <w:sz w:val="21"/>
          <w:szCs w:val="21"/>
        </w:rPr>
      </w:pPr>
      <w:r>
        <w:rPr>
          <w:rFonts w:hint="default" w:ascii="Times New Roman Regular" w:hAnsi="Times New Roman Regular" w:eastAsia="宋体" w:cs="Times New Roman Regular"/>
          <w:b w:val="0"/>
          <w:bCs w:val="0"/>
          <w:kern w:val="0"/>
          <w:sz w:val="21"/>
          <w:szCs w:val="21"/>
          <w:lang w:val="en-US" w:eastAsia="zh-CN" w:bidi="ar"/>
        </w:rPr>
        <w:t xml:space="preserve">梁海峰, 等. (2021). 基于CNN-Bi-LSTM网络的锂离子电池剩余使用寿命预测. </w:t>
      </w:r>
    </w:p>
    <w:p w14:paraId="2E8665BD">
      <w:pPr>
        <w:keepNext w:val="0"/>
        <w:keepLines w:val="0"/>
        <w:widowControl/>
        <w:numPr>
          <w:ilvl w:val="0"/>
          <w:numId w:val="6"/>
        </w:numPr>
        <w:suppressLineNumbers w:val="0"/>
        <w:ind w:left="425" w:leftChars="0" w:hanging="425" w:firstLineChars="0"/>
        <w:jc w:val="left"/>
        <w:rPr>
          <w:rFonts w:hint="default" w:ascii="Times New Roman Regular" w:hAnsi="Times New Roman Regular" w:cs="Times New Roman Regular"/>
          <w:b w:val="0"/>
          <w:bCs w:val="0"/>
          <w:sz w:val="21"/>
          <w:szCs w:val="21"/>
        </w:rPr>
      </w:pPr>
      <w:r>
        <w:rPr>
          <w:rFonts w:hint="default" w:ascii="Times New Roman Regular" w:hAnsi="Times New Roman Regular" w:eastAsia="宋体" w:cs="Times New Roman Regular"/>
          <w:b w:val="0"/>
          <w:bCs w:val="0"/>
          <w:kern w:val="0"/>
          <w:sz w:val="21"/>
          <w:szCs w:val="21"/>
          <w:lang w:val="en-US" w:eastAsia="zh-CN" w:bidi="ar"/>
        </w:rPr>
        <w:t>刘斌, 等. (2023). 基于自适应噪声完全集合经验模态分解与Bi_LSTM-Transformer的锂离子电池剩余使用寿命预测.</w:t>
      </w:r>
    </w:p>
    <w:p w14:paraId="7A3705AF">
      <w:pPr>
        <w:keepNext w:val="0"/>
        <w:keepLines w:val="0"/>
        <w:widowControl/>
        <w:numPr>
          <w:ilvl w:val="0"/>
          <w:numId w:val="6"/>
        </w:numPr>
        <w:suppressLineNumbers w:val="0"/>
        <w:ind w:left="425" w:leftChars="0" w:hanging="425" w:firstLineChars="0"/>
        <w:jc w:val="left"/>
        <w:rPr>
          <w:rFonts w:hint="default" w:ascii="Times New Roman Regular" w:hAnsi="Times New Roman Regular" w:cs="Times New Roman Regular"/>
          <w:b w:val="0"/>
          <w:bCs w:val="0"/>
          <w:sz w:val="21"/>
          <w:szCs w:val="21"/>
        </w:rPr>
      </w:pPr>
      <w:r>
        <w:rPr>
          <w:rFonts w:hint="default" w:ascii="Times New Roman Regular" w:hAnsi="Times New Roman Regular" w:eastAsia="宋体" w:cs="Times New Roman Regular"/>
          <w:b w:val="0"/>
          <w:bCs w:val="0"/>
          <w:kern w:val="0"/>
          <w:sz w:val="21"/>
          <w:szCs w:val="21"/>
          <w:lang w:val="en-US" w:eastAsia="zh-CN" w:bidi="ar"/>
        </w:rPr>
        <w:t>王鑫, 等. (2025). 基于多尺度分解和多模型融合的锂电池剩余使用寿命预测.</w:t>
      </w:r>
    </w:p>
    <w:p w14:paraId="3F623100">
      <w:pPr>
        <w:keepNext w:val="0"/>
        <w:keepLines w:val="0"/>
        <w:widowControl/>
        <w:numPr>
          <w:ilvl w:val="0"/>
          <w:numId w:val="6"/>
        </w:numPr>
        <w:suppressLineNumbers w:val="0"/>
        <w:ind w:left="425" w:leftChars="0" w:hanging="425" w:firstLineChars="0"/>
        <w:jc w:val="left"/>
        <w:rPr>
          <w:rFonts w:hint="default" w:ascii="Times New Roman Regular" w:hAnsi="Times New Roman Regular" w:cs="Times New Roman Regular"/>
          <w:b w:val="0"/>
          <w:bCs w:val="0"/>
          <w:sz w:val="21"/>
          <w:szCs w:val="21"/>
        </w:rPr>
      </w:pPr>
      <w:r>
        <w:rPr>
          <w:rFonts w:hint="default" w:ascii="Times New Roman Regular" w:hAnsi="Times New Roman Regular" w:eastAsia="宋体" w:cs="Times New Roman Regular"/>
          <w:b w:val="0"/>
          <w:bCs w:val="0"/>
          <w:kern w:val="0"/>
          <w:sz w:val="21"/>
          <w:szCs w:val="21"/>
          <w:lang w:val="en-US" w:eastAsia="zh-CN" w:bidi="ar"/>
        </w:rPr>
        <w:t xml:space="preserve">罗杰, 等. (2022). 基于数据预处理和集成机器学习的锂离子电池剩余使用寿命预测. </w:t>
      </w:r>
    </w:p>
    <w:p w14:paraId="0C9FB958">
      <w:pPr>
        <w:keepNext w:val="0"/>
        <w:keepLines w:val="0"/>
        <w:widowControl/>
        <w:numPr>
          <w:ilvl w:val="0"/>
          <w:numId w:val="6"/>
        </w:numPr>
        <w:suppressLineNumbers w:val="0"/>
        <w:ind w:left="425" w:leftChars="0" w:hanging="425" w:firstLineChars="0"/>
        <w:jc w:val="left"/>
        <w:rPr>
          <w:rFonts w:hint="default" w:ascii="Times New Roman Regular" w:hAnsi="Times New Roman Regular" w:cs="Times New Roman Regular"/>
          <w:b w:val="0"/>
          <w:bCs w:val="0"/>
          <w:sz w:val="21"/>
          <w:szCs w:val="21"/>
        </w:rPr>
      </w:pPr>
      <w:r>
        <w:rPr>
          <w:rFonts w:hint="default" w:ascii="Times New Roman Regular" w:hAnsi="Times New Roman Regular" w:eastAsia="宋体" w:cs="Times New Roman Regular"/>
          <w:b w:val="0"/>
          <w:bCs w:val="0"/>
          <w:kern w:val="0"/>
          <w:sz w:val="21"/>
          <w:szCs w:val="21"/>
          <w:lang w:val="en-US" w:eastAsia="zh-CN" w:bidi="ar"/>
        </w:rPr>
        <w:t xml:space="preserve">刘泽, 等. (2021). 基于CNN-BiLSTM的锂电池剩余使用寿命概率密度预测. </w:t>
      </w:r>
    </w:p>
    <w:p w14:paraId="7C6288E9">
      <w:pPr>
        <w:keepNext w:val="0"/>
        <w:keepLines w:val="0"/>
        <w:widowControl/>
        <w:numPr>
          <w:ilvl w:val="0"/>
          <w:numId w:val="6"/>
        </w:numPr>
        <w:suppressLineNumbers w:val="0"/>
        <w:ind w:left="425" w:leftChars="0" w:hanging="425" w:firstLineChars="0"/>
        <w:jc w:val="left"/>
        <w:rPr>
          <w:rFonts w:hint="default" w:ascii="Times New Roman Regular" w:hAnsi="Times New Roman Regular" w:cs="Times New Roman Regular"/>
          <w:b w:val="0"/>
          <w:bCs w:val="0"/>
          <w:sz w:val="21"/>
          <w:szCs w:val="21"/>
        </w:rPr>
      </w:pPr>
      <w:r>
        <w:rPr>
          <w:rFonts w:hint="default" w:ascii="Times New Roman Regular" w:hAnsi="Times New Roman Regular" w:eastAsia="宋体" w:cs="Times New Roman Regular"/>
          <w:b w:val="0"/>
          <w:bCs w:val="0"/>
          <w:kern w:val="0"/>
          <w:sz w:val="21"/>
          <w:szCs w:val="21"/>
          <w:lang w:val="en-US" w:eastAsia="zh-CN" w:bidi="ar"/>
        </w:rPr>
        <w:t>夏然, 等. (2022). 基于健康因子和混合Bi-LSTM-NAR模型的锂离子电池剩余寿命预测.</w:t>
      </w:r>
    </w:p>
    <w:p w14:paraId="151345EB">
      <w:pPr>
        <w:keepNext w:val="0"/>
        <w:keepLines w:val="0"/>
        <w:widowControl/>
        <w:numPr>
          <w:ilvl w:val="0"/>
          <w:numId w:val="6"/>
        </w:numPr>
        <w:suppressLineNumbers w:val="0"/>
        <w:ind w:left="425" w:leftChars="0" w:hanging="425" w:firstLineChars="0"/>
        <w:jc w:val="left"/>
        <w:rPr>
          <w:rFonts w:hint="default" w:ascii="Times New Roman Regular" w:hAnsi="Times New Roman Regular" w:cs="Times New Roman Regular"/>
          <w:b w:val="0"/>
          <w:bCs w:val="0"/>
          <w:sz w:val="21"/>
          <w:szCs w:val="21"/>
        </w:rPr>
      </w:pPr>
      <w:r>
        <w:rPr>
          <w:rFonts w:hint="default" w:ascii="Times New Roman Regular" w:hAnsi="Times New Roman Regular" w:eastAsia="宋体" w:cs="Times New Roman Regular"/>
          <w:b w:val="0"/>
          <w:bCs w:val="0"/>
          <w:kern w:val="0"/>
          <w:sz w:val="21"/>
          <w:szCs w:val="21"/>
          <w:lang w:val="en-US" w:eastAsia="zh-CN" w:bidi="ar"/>
        </w:rPr>
        <w:t xml:space="preserve">Bi, X., et al. (2023). DeepSeek LLM: Scaling Open-Source Language Models. </w:t>
      </w:r>
    </w:p>
    <w:p w14:paraId="5586147C">
      <w:pPr>
        <w:keepNext w:val="0"/>
        <w:keepLines w:val="0"/>
        <w:widowControl/>
        <w:numPr>
          <w:ilvl w:val="0"/>
          <w:numId w:val="6"/>
        </w:numPr>
        <w:suppressLineNumbers w:val="0"/>
        <w:ind w:left="425" w:leftChars="0" w:hanging="425" w:firstLineChars="0"/>
        <w:jc w:val="left"/>
        <w:rPr>
          <w:rFonts w:hint="default" w:ascii="Times New Roman Regular" w:hAnsi="Times New Roman Regular" w:cs="Times New Roman Regular"/>
          <w:b w:val="0"/>
          <w:bCs w:val="0"/>
          <w:sz w:val="21"/>
          <w:szCs w:val="21"/>
        </w:rPr>
      </w:pPr>
      <w:r>
        <w:rPr>
          <w:rFonts w:hint="default" w:ascii="Times New Roman Regular" w:hAnsi="Times New Roman Regular" w:eastAsia="宋体" w:cs="Times New Roman Regular"/>
          <w:b w:val="0"/>
          <w:bCs w:val="0"/>
          <w:kern w:val="0"/>
          <w:sz w:val="21"/>
          <w:szCs w:val="21"/>
          <w:lang w:val="en-US" w:eastAsia="zh-CN" w:bidi="ar"/>
        </w:rPr>
        <w:t xml:space="preserve">Xi, Z., et al. (2023). A Survey on Large Language Model based Autonomous Agents.  </w:t>
      </w:r>
    </w:p>
    <w:p w14:paraId="469B2C83">
      <w:pPr>
        <w:keepNext w:val="0"/>
        <w:keepLines w:val="0"/>
        <w:widowControl/>
        <w:numPr>
          <w:ilvl w:val="0"/>
          <w:numId w:val="6"/>
        </w:numPr>
        <w:suppressLineNumbers w:val="0"/>
        <w:ind w:left="425" w:leftChars="0" w:hanging="425" w:firstLineChars="0"/>
        <w:jc w:val="left"/>
        <w:rPr>
          <w:rFonts w:hint="eastAsia" w:ascii="宋体" w:hAnsi="宋体" w:eastAsia="宋体" w:cs="宋体"/>
          <w:b/>
          <w:bCs/>
          <w:sz w:val="21"/>
          <w:szCs w:val="24"/>
          <w:lang w:val="en-US" w:eastAsia="zh-CN"/>
        </w:rPr>
      </w:pPr>
      <w:r>
        <w:rPr>
          <w:rFonts w:hint="default" w:ascii="Times New Roman Regular" w:hAnsi="Times New Roman Regular" w:eastAsia="宋体" w:cs="Times New Roman Regular"/>
          <w:b w:val="0"/>
          <w:bCs w:val="0"/>
          <w:kern w:val="0"/>
          <w:sz w:val="21"/>
          <w:szCs w:val="21"/>
          <w:lang w:val="en-US" w:eastAsia="zh-CN" w:bidi="ar"/>
        </w:rPr>
        <w:t xml:space="preserve">赵珈卉, 等. (2023). 锂离子电池状态估计与剩余寿命预测方法综述. </w:t>
      </w:r>
    </w:p>
    <w:p w14:paraId="35016D27">
      <w:pPr>
        <w:rPr>
          <w:rFonts w:hint="eastAsia" w:ascii="宋体" w:hAnsi="宋体" w:eastAsia="宋体" w:cs="宋体"/>
          <w:b/>
          <w:bCs/>
          <w:sz w:val="21"/>
          <w:szCs w:val="24"/>
          <w:lang w:val="en-US" w:eastAsia="zh-CN"/>
        </w:rPr>
      </w:pPr>
      <w:r>
        <w:rPr>
          <w:rFonts w:hint="eastAsia" w:ascii="宋体" w:hAnsi="宋体" w:eastAsia="宋体" w:cs="宋体"/>
          <w:b/>
          <w:bCs/>
          <w:sz w:val="21"/>
          <w:szCs w:val="24"/>
          <w:lang w:val="en-US" w:eastAsia="zh-CN"/>
        </w:rPr>
        <w:br w:type="page"/>
      </w:r>
    </w:p>
    <w:p w14:paraId="33489703">
      <w:pPr>
        <w:keepNext w:val="0"/>
        <w:keepLines w:val="0"/>
        <w:widowControl/>
        <w:numPr>
          <w:numId w:val="0"/>
        </w:numPr>
        <w:suppressLineNumbers w:val="0"/>
        <w:jc w:val="left"/>
        <w:rPr>
          <w:rFonts w:hint="eastAsia" w:ascii="宋体" w:hAnsi="宋体" w:eastAsia="宋体" w:cs="宋体"/>
          <w:b/>
          <w:bCs/>
          <w:sz w:val="21"/>
          <w:szCs w:val="24"/>
          <w:lang w:val="en-US" w:eastAsia="zh-CN"/>
        </w:rPr>
      </w:pPr>
    </w:p>
    <w:p w14:paraId="448D8BDD">
      <w:pPr>
        <w:spacing w:line="240" w:lineRule="auto"/>
        <w:jc w:val="both"/>
        <w:rPr>
          <w:rFonts w:hint="eastAsia" w:ascii="宋体" w:hAnsi="宋体" w:eastAsia="宋体" w:cs="宋体"/>
          <w:b/>
          <w:bCs/>
          <w:sz w:val="21"/>
          <w:szCs w:val="24"/>
          <w:lang w:val="en-US" w:eastAsia="zh-CN"/>
        </w:rPr>
      </w:pPr>
      <w:r>
        <w:rPr>
          <w:rFonts w:hint="eastAsia" w:ascii="宋体" w:hAnsi="宋体" w:eastAsia="宋体" w:cs="宋体"/>
          <w:b/>
          <w:bCs/>
          <w:sz w:val="21"/>
          <w:szCs w:val="24"/>
          <w:lang w:val="en-US" w:eastAsia="zh-CN"/>
        </w:rPr>
        <w:t>思考：</w:t>
      </w:r>
    </w:p>
    <w:p w14:paraId="79E27FC3">
      <w:pPr>
        <w:numPr>
          <w:numId w:val="0"/>
        </w:numPr>
        <w:spacing w:line="240" w:lineRule="auto"/>
        <w:jc w:val="both"/>
        <w:rPr>
          <w:rFonts w:hint="eastAsia" w:ascii="宋体" w:hAnsi="宋体" w:eastAsia="宋体" w:cs="宋体"/>
          <w:b/>
          <w:bCs/>
          <w:sz w:val="21"/>
          <w:szCs w:val="24"/>
          <w:lang w:val="en-US" w:eastAsia="zh-CN"/>
        </w:rPr>
      </w:pPr>
      <w:r>
        <w:rPr>
          <w:rFonts w:hint="eastAsia" w:ascii="宋体" w:hAnsi="宋体" w:eastAsia="宋体" w:cs="宋体"/>
          <w:b/>
          <w:bCs/>
          <w:sz w:val="21"/>
          <w:szCs w:val="24"/>
          <w:lang w:val="en-US" w:eastAsia="zh-CN"/>
        </w:rPr>
        <w:t>1.混合架构和GraphRAG是如何进行工作的？怎么协同起来的</w:t>
      </w:r>
      <w:r>
        <w:rPr>
          <w:rFonts w:hint="eastAsia" w:ascii="宋体" w:hAnsi="宋体" w:eastAsia="宋体" w:cs="宋体"/>
          <w:b/>
          <w:bCs/>
          <w:sz w:val="21"/>
          <w:szCs w:val="24"/>
          <w:lang w:val="en-US" w:eastAsia="zh-CN"/>
        </w:rPr>
        <w:br w:type="textWrapping"/>
      </w:r>
      <w:r>
        <w:rPr>
          <w:rFonts w:hint="eastAsia" w:ascii="宋体" w:hAnsi="宋体" w:eastAsia="宋体" w:cs="宋体"/>
          <w:b/>
          <w:bCs/>
          <w:sz w:val="21"/>
          <w:szCs w:val="24"/>
          <w:lang w:val="en-US" w:eastAsia="zh-CN"/>
        </w:rPr>
        <w:t>2.混合架构是怎么工作的？</w:t>
      </w:r>
    </w:p>
    <w:p w14:paraId="59359DDB">
      <w:pPr>
        <w:numPr>
          <w:numId w:val="0"/>
        </w:numPr>
        <w:spacing w:line="240" w:lineRule="auto"/>
        <w:jc w:val="both"/>
        <w:rPr>
          <w:rFonts w:hint="default" w:ascii="宋体" w:hAnsi="宋体" w:eastAsia="宋体" w:cs="宋体"/>
          <w:b/>
          <w:bCs/>
          <w:sz w:val="21"/>
          <w:szCs w:val="24"/>
          <w:lang w:val="en-US" w:eastAsia="zh-CN"/>
        </w:rPr>
      </w:pPr>
      <w:r>
        <w:rPr>
          <w:rFonts w:hint="eastAsia" w:ascii="宋体" w:hAnsi="宋体" w:eastAsia="宋体" w:cs="宋体"/>
          <w:b/>
          <w:bCs/>
          <w:sz w:val="21"/>
          <w:szCs w:val="24"/>
          <w:lang w:val="en-US" w:eastAsia="zh-CN"/>
        </w:rPr>
        <w:t>3.用于混合架构的数据集和用于graphRAG的数据集是一样的吗？</w:t>
      </w:r>
    </w:p>
    <w:p w14:paraId="1A90896D">
      <w:pPr>
        <w:spacing w:line="240" w:lineRule="auto"/>
        <w:jc w:val="both"/>
        <w:rPr>
          <w:rFonts w:hint="eastAsia" w:ascii="宋体" w:hAnsi="宋体" w:eastAsia="宋体" w:cs="宋体"/>
          <w:b/>
          <w:bCs/>
          <w:sz w:val="21"/>
          <w:szCs w:val="24"/>
          <w:lang w:val="en-US" w:eastAsia="zh-CN"/>
        </w:rPr>
      </w:pPr>
    </w:p>
    <w:p w14:paraId="0FAD145D">
      <w:pPr>
        <w:spacing w:line="240" w:lineRule="auto"/>
        <w:jc w:val="both"/>
        <w:rPr>
          <w:rFonts w:hint="eastAsia" w:ascii="宋体" w:hAnsi="宋体" w:eastAsia="宋体" w:cs="宋体"/>
          <w:b/>
          <w:bCs/>
          <w:sz w:val="21"/>
          <w:szCs w:val="24"/>
          <w:lang w:val="en-US" w:eastAsia="zh-CN"/>
        </w:rPr>
      </w:pPr>
    </w:p>
    <w:p w14:paraId="31C178D2">
      <w:pPr>
        <w:spacing w:line="240" w:lineRule="auto"/>
        <w:jc w:val="both"/>
        <w:rPr>
          <w:rFonts w:hint="eastAsia" w:ascii="宋体" w:hAnsi="宋体" w:eastAsia="宋体" w:cs="宋体"/>
          <w:b/>
          <w:bCs/>
          <w:sz w:val="21"/>
          <w:szCs w:val="24"/>
          <w:lang w:val="en-US" w:eastAsia="zh-CN"/>
        </w:rPr>
      </w:pPr>
    </w:p>
    <w:p w14:paraId="3E66F793">
      <w:pPr>
        <w:spacing w:line="240" w:lineRule="auto"/>
        <w:jc w:val="both"/>
        <w:rPr>
          <w:rFonts w:hint="eastAsia" w:ascii="宋体" w:hAnsi="宋体" w:eastAsia="宋体" w:cs="宋体"/>
          <w:b/>
          <w:bCs/>
          <w:sz w:val="21"/>
          <w:szCs w:val="24"/>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DejaVu Math TeX Gyre">
    <w:panose1 w:val="02000503000000000000"/>
    <w:charset w:val="00"/>
    <w:family w:val="auto"/>
    <w:pitch w:val="default"/>
    <w:sig w:usb0="A10000EF" w:usb1="4201F9EE" w:usb2="02000000" w:usb3="00000000" w:csb0="60000193" w:csb1="0DD40000"/>
  </w:font>
  <w:font w:name="Times New Roman Regular">
    <w:panose1 w:val="02020503050405090304"/>
    <w:charset w:val="00"/>
    <w:family w:val="auto"/>
    <w:pitch w:val="default"/>
    <w:sig w:usb0="E0000AFF" w:usb1="00007843" w:usb2="00000001" w:usb3="00000000" w:csb0="400001BF" w:csb1="DFF7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sans-serif">
    <w:altName w:val="苹方-简"/>
    <w:panose1 w:val="00000000000000000000"/>
    <w:charset w:val="00"/>
    <w:family w:val="auto"/>
    <w:pitch w:val="default"/>
    <w:sig w:usb0="00000000" w:usb1="00000000" w:usb2="00000000" w:usb3="00000000" w:csb0="00000000" w:csb1="00000000"/>
  </w:font>
  <w:font w:name="Symbol">
    <w:altName w:val="Kingsoft Sign"/>
    <w:panose1 w:val="00000000000000000000"/>
    <w:charset w:val="00"/>
    <w:family w:val="auto"/>
    <w:pitch w:val="default"/>
    <w:sig w:usb0="00000000" w:usb1="00000000" w:usb2="00000000" w:usb3="00000000" w:csb0="00000000" w:csb1="00000000"/>
  </w:font>
  <w:font w:name="苹方-简">
    <w:panose1 w:val="020B0400000000000000"/>
    <w:charset w:val="86"/>
    <w:family w:val="auto"/>
    <w:pitch w:val="default"/>
    <w:sig w:usb0="A00002FF" w:usb1="7ACFFDFB" w:usb2="00000017" w:usb3="00000000" w:csb0="00040001" w:csb1="00000000"/>
  </w:font>
  <w:font w:name="宋体-简">
    <w:panose1 w:val="02010800040101010101"/>
    <w:charset w:val="86"/>
    <w:family w:val="auto"/>
    <w:pitch w:val="default"/>
    <w:sig w:usb0="00000001" w:usb1="080F0000" w:usb2="00000000" w:usb3="00000000" w:csb0="0004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EDEE1EF"/>
    <w:multiLevelType w:val="singleLevel"/>
    <w:tmpl w:val="CEDEE1EF"/>
    <w:lvl w:ilvl="0" w:tentative="0">
      <w:start w:val="1"/>
      <w:numFmt w:val="decimal"/>
      <w:lvlText w:val="%1."/>
      <w:lvlJc w:val="left"/>
      <w:pPr>
        <w:ind w:left="425" w:hanging="425"/>
      </w:pPr>
      <w:rPr>
        <w:rFonts w:hint="default"/>
      </w:rPr>
    </w:lvl>
  </w:abstractNum>
  <w:abstractNum w:abstractNumId="1">
    <w:nsid w:val="ECFFC4C4"/>
    <w:multiLevelType w:val="singleLevel"/>
    <w:tmpl w:val="ECFFC4C4"/>
    <w:lvl w:ilvl="0" w:tentative="0">
      <w:start w:val="1"/>
      <w:numFmt w:val="decimal"/>
      <w:lvlText w:val="%1."/>
      <w:lvlJc w:val="left"/>
      <w:pPr>
        <w:tabs>
          <w:tab w:val="left" w:pos="312"/>
        </w:tabs>
      </w:pPr>
    </w:lvl>
  </w:abstractNum>
  <w:abstractNum w:abstractNumId="2">
    <w:nsid w:val="F9FF313C"/>
    <w:multiLevelType w:val="singleLevel"/>
    <w:tmpl w:val="F9FF313C"/>
    <w:lvl w:ilvl="0" w:tentative="0">
      <w:start w:val="1"/>
      <w:numFmt w:val="decimal"/>
      <w:lvlText w:val="%1."/>
      <w:lvlJc w:val="left"/>
      <w:pPr>
        <w:tabs>
          <w:tab w:val="left" w:pos="312"/>
        </w:tabs>
      </w:pPr>
    </w:lvl>
  </w:abstractNum>
  <w:abstractNum w:abstractNumId="3">
    <w:nsid w:val="FDD767F2"/>
    <w:multiLevelType w:val="singleLevel"/>
    <w:tmpl w:val="FDD767F2"/>
    <w:lvl w:ilvl="0" w:tentative="0">
      <w:start w:val="1"/>
      <w:numFmt w:val="decimal"/>
      <w:lvlText w:val="%1."/>
      <w:lvlJc w:val="left"/>
      <w:pPr>
        <w:ind w:left="425" w:hanging="425"/>
      </w:pPr>
      <w:rPr>
        <w:rFonts w:hint="default"/>
      </w:rPr>
    </w:lvl>
  </w:abstractNum>
  <w:abstractNum w:abstractNumId="4">
    <w:nsid w:val="747A16D3"/>
    <w:multiLevelType w:val="singleLevel"/>
    <w:tmpl w:val="747A16D3"/>
    <w:lvl w:ilvl="0" w:tentative="0">
      <w:start w:val="1"/>
      <w:numFmt w:val="decimal"/>
      <w:lvlText w:val="%1."/>
      <w:lvlJc w:val="left"/>
      <w:pPr>
        <w:tabs>
          <w:tab w:val="left" w:pos="312"/>
        </w:tabs>
      </w:pPr>
    </w:lvl>
  </w:abstractNum>
  <w:abstractNum w:abstractNumId="5">
    <w:nsid w:val="7D4E7AEF"/>
    <w:multiLevelType w:val="singleLevel"/>
    <w:tmpl w:val="7D4E7AEF"/>
    <w:lvl w:ilvl="0" w:tentative="0">
      <w:start w:val="1"/>
      <w:numFmt w:val="chineseCounting"/>
      <w:suff w:val="nothing"/>
      <w:lvlText w:val="%1．"/>
      <w:lvlJc w:val="left"/>
      <w:rPr>
        <w:rFonts w:hint="eastAsia"/>
      </w:rPr>
    </w:lvl>
  </w:abstractNum>
  <w:num w:numId="1">
    <w:abstractNumId w:val="5"/>
  </w:num>
  <w:num w:numId="2">
    <w:abstractNumId w:val="3"/>
  </w:num>
  <w:num w:numId="3">
    <w:abstractNumId w:val="4"/>
  </w:num>
  <w:num w:numId="4">
    <w:abstractNumId w:val="2"/>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5"/>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BFFE55C7"/>
    <w:rsid w:val="672F7EC3"/>
    <w:rsid w:val="72BFB569"/>
    <w:rsid w:val="9DFA4DC4"/>
    <w:rsid w:val="BFFE55C7"/>
    <w:rsid w:val="FD8FE90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1839</TotalTime>
  <ScaleCrop>false</ScaleCrop>
  <LinksUpToDate>false</LinksUpToDate>
  <CharactersWithSpaces>0</CharactersWithSpaces>
  <Application>WPS Office_12.1.24031.24031_F1E327BC-269C-435d-A152-05C5408002CA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2026-01-08T05:34:00Z</dcterms:created>
  <dc:creator>WPS_1764062123</dc:creator>
  <cp:lastModifiedBy>WPS_1764062123</cp:lastModifiedBy>
  <dcterms:modified xsi:type="dcterms:W3CDTF">2026-01-15T22:17:01Z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2052-12.1.24031.24031</vt:lpwstr>
  </property>
  <property fmtid="{D5CDD505-2E9C-101B-9397-08002B2CF9AE}" pid="3" name="ICV">
    <vt:lpwstr>30D334B173381B98F3605E69827C7F7B_41</vt:lpwstr>
  </property>
</Properties>
</file>