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bookmarkStart w:id="0" w:name="_heading=h.gjdgxs"/>
      <w:bookmarkEnd w:id="0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 podal{% if gender == </w:t>
      </w:r>
      <w:bookmarkStart w:id="1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'Female'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%}a{% endif %}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 u odboru azylové a migrační politiky Ministerstva Vnitra České Republiky. Podle § 169 odst. 1, pism. {% 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rvalý pobyt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%}e).{%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%}d).{%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%}c).{% else %}a).{% endif %}, z. č. 326/1999 Sb,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if residence_permit_type ==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bookmarkStart w:id="2" w:name="__DdeLink__72_3064319152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60 dnů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ode dne podání žádosti nebo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 zvlášť složitých případech, nebo pokud ministerstvo požádalo o vydání závazného stanoviska Úřad práce České republiky{% else %}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endif %}.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ramci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S úctou </w:t>
      </w:r>
    </w:p>
    <w:p>
      <w:pPr>
        <w:pStyle w:val="Normal"/>
        <w:spacing w:lineRule="auto" w:line="240" w:before="0" w:after="0"/>
        <w:rPr/>
      </w:pP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LibreOffice/6.2.8.2$Linux_X86_64 LibreOffice_project/20$Build-2</Application>
  <Pages>2</Pages>
  <Words>371</Words>
  <Characters>2122</Characters>
  <CharactersWithSpaces>2478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2021-02-14T17:31:34Z</dcterms:modified>
  <cp:revision>22</cp:revision>
  <dc:subject/>
  <dc:title/>
</cp:coreProperties>
</file>