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8A87"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告訴・告発とは</w:t>
      </w:r>
    </w:p>
    <w:p w14:paraId="1F38267A"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まず、日常、一般的に、広い意味においては、組織内で起きた不正や不祥事を内部告発や直訴したり、監督官庁や事業者団体などの関係機関への通報したり、もしくはマスコミなどへの情報提供や地方公共団体への嘆願や請願、などの場合において「告訴」や「告発」という言葉が使われることがありますが、ここでは、刑事事件としての「告訴」「告発」に限定して説明します。</w:t>
      </w:r>
    </w:p>
    <w:p w14:paraId="4828CA18"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告訴・告発とは、捜査の端緒（きっかけ）の一種です。</w:t>
      </w:r>
      <w:r w:rsidRPr="009E7F6B">
        <w:rPr>
          <w:rFonts w:ascii="Meiryo" w:eastAsia="Meiryo" w:hAnsi="Meiryo" w:cs="宋体" w:hint="eastAsia"/>
          <w:color w:val="000000"/>
          <w:kern w:val="0"/>
          <w:sz w:val="24"/>
          <w:szCs w:val="24"/>
          <w:lang w:eastAsia="ja-JP"/>
        </w:rPr>
        <w:br/>
        <w:t>捜査の端緒には、告訴・告発のほか、現行犯や通報、投書、被害届、その他、様々な種類があり、本来、捜査機関は、犯罪の疑いがあると思われる場合には、自由に捜査を開始することが出来ます。</w:t>
      </w:r>
      <w:r w:rsidRPr="009E7F6B">
        <w:rPr>
          <w:rFonts w:ascii="Meiryo" w:eastAsia="Meiryo" w:hAnsi="Meiryo" w:cs="宋体" w:hint="eastAsia"/>
          <w:color w:val="000000"/>
          <w:kern w:val="0"/>
          <w:sz w:val="24"/>
          <w:szCs w:val="24"/>
          <w:lang w:eastAsia="ja-JP"/>
        </w:rPr>
        <w:br/>
        <w:t>もっとも、必ずしも、すべてにおいて捜査をする義務を負うものではありません。</w:t>
      </w:r>
      <w:r w:rsidRPr="009E7F6B">
        <w:rPr>
          <w:rFonts w:ascii="Meiryo" w:eastAsia="Meiryo" w:hAnsi="Meiryo" w:cs="宋体" w:hint="eastAsia"/>
          <w:color w:val="000000"/>
          <w:kern w:val="0"/>
          <w:sz w:val="24"/>
          <w:szCs w:val="24"/>
          <w:lang w:eastAsia="ja-JP"/>
        </w:rPr>
        <w:br/>
        <w:t>ただし、告訴と告発については、その他の「捜査の端緒」と異なり、唯一、受理した場合に捜査をして事件記録を作成し、検察庁に送付する義務を負うという点が、大きな特徴となっております。</w:t>
      </w:r>
    </w:p>
    <w:p w14:paraId="5FDDE843"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※告訴権・告発権は、自然人、法人、地方公共団体（都道府県や市町村）の他、法人格のない社団・財団などにも認められます。</w:t>
      </w:r>
    </w:p>
    <w:p w14:paraId="5F24419B"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br/>
      </w:r>
    </w:p>
    <w:p w14:paraId="0CF5CD66" w14:textId="0F12AAF4" w:rsidR="009E7F6B" w:rsidRPr="009E7F6B" w:rsidRDefault="009E7F6B" w:rsidP="009E7F6B">
      <w:pPr>
        <w:widowControl/>
        <w:spacing w:before="150"/>
        <w:jc w:val="left"/>
        <w:rPr>
          <w:rFonts w:ascii="Meiryo" w:eastAsia="Meiryo" w:hAnsi="Meiryo" w:cs="宋体"/>
          <w:color w:val="000000"/>
          <w:kern w:val="0"/>
          <w:sz w:val="18"/>
          <w:szCs w:val="18"/>
        </w:rPr>
      </w:pPr>
      <w:r w:rsidRPr="009E7F6B">
        <w:rPr>
          <w:rFonts w:ascii="Meiryo" w:eastAsia="Meiryo" w:hAnsi="Meiryo" w:cs="宋体"/>
          <w:noProof/>
          <w:color w:val="000000"/>
          <w:kern w:val="0"/>
          <w:sz w:val="18"/>
          <w:szCs w:val="18"/>
        </w:rPr>
        <w:lastRenderedPageBreak/>
        <w:drawing>
          <wp:inline distT="0" distB="0" distL="0" distR="0" wp14:anchorId="300B81C1" wp14:editId="29146926">
            <wp:extent cx="3752850" cy="3848100"/>
            <wp:effectExtent l="0" t="0" r="0" b="0"/>
            <wp:docPr id="1" name="图片 1" descr="捜査の端緒（きっか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捜査の端緒（きっか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2850" cy="3848100"/>
                    </a:xfrm>
                    <a:prstGeom prst="rect">
                      <a:avLst/>
                    </a:prstGeom>
                    <a:noFill/>
                    <a:ln>
                      <a:noFill/>
                    </a:ln>
                  </pic:spPr>
                </pic:pic>
              </a:graphicData>
            </a:graphic>
          </wp:inline>
        </w:drawing>
      </w:r>
    </w:p>
    <w:p w14:paraId="4CD57FB8" w14:textId="77777777" w:rsidR="009E7F6B" w:rsidRPr="009E7F6B" w:rsidRDefault="009E7F6B" w:rsidP="009E7F6B">
      <w:pPr>
        <w:widowControl/>
        <w:jc w:val="left"/>
        <w:rPr>
          <w:rFonts w:ascii="宋体" w:eastAsia="宋体" w:hAnsi="宋体" w:cs="宋体" w:hint="eastAsia"/>
          <w:kern w:val="0"/>
          <w:sz w:val="24"/>
          <w:szCs w:val="24"/>
        </w:rPr>
      </w:pPr>
      <w:r w:rsidRPr="009E7F6B">
        <w:rPr>
          <w:rFonts w:ascii="Meiryo" w:eastAsia="Meiryo" w:hAnsi="Meiryo" w:cs="宋体" w:hint="eastAsia"/>
          <w:color w:val="000000"/>
          <w:kern w:val="0"/>
          <w:sz w:val="27"/>
          <w:szCs w:val="27"/>
        </w:rPr>
        <w:br/>
      </w:r>
    </w:p>
    <w:p w14:paraId="3591A27E"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告訴とは</w:t>
      </w:r>
    </w:p>
    <w:p w14:paraId="2F137DC9"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とは、告訴権者（犯罪の被害者やその法定代理人等）が警察官や労働基準監督官などの司法警察員（捜査機関）または検察官に対し、犯罪事実を申告し、犯罪者の処罰を求める意思表示のことをいいます。</w:t>
      </w:r>
    </w:p>
    <w:p w14:paraId="19CD62D6"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br/>
      </w:r>
    </w:p>
    <w:p w14:paraId="775564E9"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告訴権者</w:t>
      </w:r>
    </w:p>
    <w:p w14:paraId="220D2F30"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告訴を行うことが出来るのは、被害者です。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9E7F6B" w:rsidRPr="009E7F6B" w14:paraId="731166D8" w14:textId="77777777" w:rsidTr="009E7F6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ED817AE" w14:textId="77777777" w:rsidR="009E7F6B" w:rsidRPr="009E7F6B" w:rsidRDefault="009E7F6B" w:rsidP="009E7F6B">
            <w:pPr>
              <w:widowControl/>
              <w:spacing w:before="300" w:line="450" w:lineRule="atLeast"/>
              <w:jc w:val="center"/>
              <w:rPr>
                <w:rFonts w:ascii="Meiryo" w:eastAsia="Meiryo" w:hAnsi="Meiryo" w:cs="宋体" w:hint="eastAsia"/>
                <w:b/>
                <w:bCs/>
                <w:color w:val="333333"/>
                <w:kern w:val="0"/>
                <w:sz w:val="32"/>
                <w:szCs w:val="32"/>
              </w:rPr>
            </w:pPr>
            <w:r w:rsidRPr="009E7F6B">
              <w:rPr>
                <w:rFonts w:ascii="Meiryo" w:eastAsia="Meiryo" w:hAnsi="Meiryo" w:cs="宋体" w:hint="eastAsia"/>
                <w:b/>
                <w:bCs/>
                <w:color w:val="333333"/>
                <w:kern w:val="0"/>
                <w:sz w:val="32"/>
                <w:szCs w:val="32"/>
              </w:rPr>
              <w:lastRenderedPageBreak/>
              <w:t>刑事訴訟法２３０条</w:t>
            </w:r>
          </w:p>
        </w:tc>
      </w:tr>
      <w:tr w:rsidR="009E7F6B" w:rsidRPr="009E7F6B" w14:paraId="7E5C78F5" w14:textId="77777777" w:rsidTr="009E7F6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DA35763" w14:textId="77777777" w:rsidR="009E7F6B" w:rsidRPr="009E7F6B" w:rsidRDefault="009E7F6B" w:rsidP="009E7F6B">
            <w:pPr>
              <w:widowControl/>
              <w:spacing w:before="30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犯罪により害を被った者は、告訴をすることができる。</w:t>
            </w:r>
          </w:p>
        </w:tc>
      </w:tr>
    </w:tbl>
    <w:p w14:paraId="3C9942EB"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告訴は犯人の処罰を求める意思表示であることから、未成年であっても、告訴の意味やそれが与える影響を理解する能力を有しているのであれば告訴することが出来ます。</w:t>
      </w:r>
      <w:r w:rsidRPr="009E7F6B">
        <w:rPr>
          <w:rFonts w:ascii="Meiryo" w:eastAsia="Meiryo" w:hAnsi="Meiryo" w:cs="宋体" w:hint="eastAsia"/>
          <w:color w:val="000000"/>
          <w:kern w:val="0"/>
          <w:sz w:val="24"/>
          <w:szCs w:val="24"/>
          <w:lang w:eastAsia="ja-JP"/>
        </w:rPr>
        <w:br/>
        <w:t>１３歳１１か月の被害者の告訴も認められています（最高裁　昭和３２年９月２６日決定 ）。</w:t>
      </w:r>
    </w:p>
    <w:p w14:paraId="5EA90B35"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被害者が未成年者の場合には親権者が、被害者が成年被後見人の場合は成年後見人が、被害者の意思とは別に、独立して告訴することが出来ます。</w:t>
      </w:r>
    </w:p>
    <w:p w14:paraId="161FE84B"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被害者が死亡したときは、被害者の配偶者、直系の親族又は兄弟姉妹が告訴権者となります。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9E7F6B" w:rsidRPr="009E7F6B" w14:paraId="05BEA3A9" w14:textId="77777777" w:rsidTr="009E7F6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11F3845" w14:textId="77777777" w:rsidR="009E7F6B" w:rsidRPr="009E7F6B" w:rsidRDefault="009E7F6B" w:rsidP="009E7F6B">
            <w:pPr>
              <w:widowControl/>
              <w:spacing w:before="300" w:line="450" w:lineRule="atLeast"/>
              <w:jc w:val="center"/>
              <w:rPr>
                <w:rFonts w:ascii="Meiryo" w:eastAsia="Meiryo" w:hAnsi="Meiryo" w:cs="宋体" w:hint="eastAsia"/>
                <w:b/>
                <w:bCs/>
                <w:color w:val="333333"/>
                <w:kern w:val="0"/>
                <w:sz w:val="32"/>
                <w:szCs w:val="32"/>
              </w:rPr>
            </w:pPr>
            <w:r w:rsidRPr="009E7F6B">
              <w:rPr>
                <w:rFonts w:ascii="Meiryo" w:eastAsia="Meiryo" w:hAnsi="Meiryo" w:cs="宋体" w:hint="eastAsia"/>
                <w:b/>
                <w:bCs/>
                <w:color w:val="333333"/>
                <w:kern w:val="0"/>
                <w:sz w:val="32"/>
                <w:szCs w:val="32"/>
              </w:rPr>
              <w:t>刑事訴訟法２３１条</w:t>
            </w:r>
          </w:p>
        </w:tc>
      </w:tr>
      <w:tr w:rsidR="009E7F6B" w:rsidRPr="009E7F6B" w14:paraId="78CAFDFE" w14:textId="77777777" w:rsidTr="009E7F6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D992FC8" w14:textId="77777777" w:rsidR="009E7F6B" w:rsidRPr="009E7F6B" w:rsidRDefault="009E7F6B" w:rsidP="009E7F6B">
            <w:pPr>
              <w:widowControl/>
              <w:spacing w:before="30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被害者の法定代理人は、独立して告訴をすることができる。</w:t>
            </w:r>
          </w:p>
        </w:tc>
      </w:tr>
      <w:tr w:rsidR="009E7F6B" w:rsidRPr="009E7F6B" w14:paraId="094982A8" w14:textId="77777777" w:rsidTr="009E7F6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E7F00AC" w14:textId="77777777" w:rsidR="009E7F6B" w:rsidRPr="009E7F6B" w:rsidRDefault="009E7F6B" w:rsidP="009E7F6B">
            <w:pPr>
              <w:widowControl/>
              <w:spacing w:before="30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２　被害者が死亡したときは、その配偶者、直系の親族又は兄弟姉妹は、告訴をすることができる。但し、被害者の明示した意思に反することはできない。</w:t>
            </w:r>
          </w:p>
        </w:tc>
      </w:tr>
      <w:tr w:rsidR="009E7F6B" w:rsidRPr="009E7F6B" w14:paraId="2401E857" w14:textId="77777777" w:rsidTr="009E7F6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4261509" w14:textId="77777777" w:rsidR="009E7F6B" w:rsidRPr="009E7F6B" w:rsidRDefault="009E7F6B" w:rsidP="009E7F6B">
            <w:pPr>
              <w:widowControl/>
              <w:spacing w:before="300" w:line="450" w:lineRule="atLeast"/>
              <w:jc w:val="center"/>
              <w:rPr>
                <w:rFonts w:ascii="Meiryo" w:eastAsia="Meiryo" w:hAnsi="Meiryo" w:cs="宋体" w:hint="eastAsia"/>
                <w:b/>
                <w:bCs/>
                <w:color w:val="333333"/>
                <w:kern w:val="0"/>
                <w:sz w:val="32"/>
                <w:szCs w:val="32"/>
              </w:rPr>
            </w:pPr>
            <w:r w:rsidRPr="009E7F6B">
              <w:rPr>
                <w:rFonts w:ascii="Meiryo" w:eastAsia="Meiryo" w:hAnsi="Meiryo" w:cs="宋体" w:hint="eastAsia"/>
                <w:b/>
                <w:bCs/>
                <w:color w:val="333333"/>
                <w:kern w:val="0"/>
                <w:sz w:val="32"/>
                <w:szCs w:val="32"/>
              </w:rPr>
              <w:lastRenderedPageBreak/>
              <w:t>刑事訴訟法２３２条</w:t>
            </w:r>
          </w:p>
        </w:tc>
      </w:tr>
      <w:tr w:rsidR="009E7F6B" w:rsidRPr="009E7F6B" w14:paraId="10047157" w14:textId="77777777" w:rsidTr="009E7F6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83B24EC" w14:textId="77777777" w:rsidR="009E7F6B" w:rsidRPr="009E7F6B" w:rsidRDefault="009E7F6B" w:rsidP="009E7F6B">
            <w:pPr>
              <w:widowControl/>
              <w:spacing w:before="30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被害者の法定代理人が被疑者であるとき、被疑者の配偶者であるとき、又は被疑者の四親等内の血族若しくは三親等内の姻族であるときは、被害者の親族は、独立して告訴をすることができる。</w:t>
            </w:r>
          </w:p>
        </w:tc>
      </w:tr>
    </w:tbl>
    <w:p w14:paraId="157CD6F9"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その他、死者の名誉を毀損した罪については、死者の親族又は子孫が告訴権者となります（刑事訴訟法233条1項）。</w:t>
      </w:r>
    </w:p>
    <w:p w14:paraId="714FC30E"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告訴は、委任された代理人によっても行うことが出来ます（刑事訴訟法２４０条）。</w:t>
      </w:r>
      <w:r w:rsidRPr="009E7F6B">
        <w:rPr>
          <w:rFonts w:ascii="Meiryo" w:eastAsia="Meiryo" w:hAnsi="Meiryo" w:cs="宋体" w:hint="eastAsia"/>
          <w:color w:val="000000"/>
          <w:kern w:val="0"/>
          <w:sz w:val="24"/>
          <w:szCs w:val="24"/>
          <w:lang w:eastAsia="ja-JP"/>
        </w:rPr>
        <w:br/>
        <w:t>代理人による告訴については、委任状の作成添付が必要となります。</w:t>
      </w:r>
    </w:p>
    <w:p w14:paraId="1BFADD8F"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br/>
      </w:r>
    </w:p>
    <w:p w14:paraId="021278F7"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告発とは</w:t>
      </w:r>
    </w:p>
    <w:p w14:paraId="19B7502F"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告発とは、犯罪の被害者や犯人でない第三者が同様に犯罪事実を申告し、犯罪者の処罰を求める意思表示のことをいいます。</w:t>
      </w:r>
    </w:p>
    <w:p w14:paraId="288BD440"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br/>
      </w:r>
    </w:p>
    <w:p w14:paraId="175A5612"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告発権者</w:t>
      </w:r>
    </w:p>
    <w:p w14:paraId="7FA4BA91"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告発に関しては、告訴と違い、被害者以外の誰でも行うことが出来ます。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9E7F6B" w:rsidRPr="009E7F6B" w14:paraId="36F6C92E" w14:textId="77777777" w:rsidTr="009E7F6B">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D963832" w14:textId="77777777" w:rsidR="009E7F6B" w:rsidRPr="009E7F6B" w:rsidRDefault="009E7F6B" w:rsidP="009E7F6B">
            <w:pPr>
              <w:widowControl/>
              <w:spacing w:before="300" w:line="450" w:lineRule="atLeast"/>
              <w:jc w:val="center"/>
              <w:rPr>
                <w:rFonts w:ascii="Meiryo" w:eastAsia="Meiryo" w:hAnsi="Meiryo" w:cs="宋体" w:hint="eastAsia"/>
                <w:b/>
                <w:bCs/>
                <w:color w:val="333333"/>
                <w:kern w:val="0"/>
                <w:sz w:val="32"/>
                <w:szCs w:val="32"/>
              </w:rPr>
            </w:pPr>
            <w:r w:rsidRPr="009E7F6B">
              <w:rPr>
                <w:rFonts w:ascii="Meiryo" w:eastAsia="Meiryo" w:hAnsi="Meiryo" w:cs="宋体" w:hint="eastAsia"/>
                <w:b/>
                <w:bCs/>
                <w:color w:val="333333"/>
                <w:kern w:val="0"/>
                <w:sz w:val="32"/>
                <w:szCs w:val="32"/>
              </w:rPr>
              <w:lastRenderedPageBreak/>
              <w:t>刑事訴訟法239条1項</w:t>
            </w:r>
          </w:p>
        </w:tc>
      </w:tr>
      <w:tr w:rsidR="009E7F6B" w:rsidRPr="009E7F6B" w14:paraId="2FA255CB" w14:textId="77777777" w:rsidTr="009E7F6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3490BCA8" w14:textId="77777777" w:rsidR="009E7F6B" w:rsidRPr="009E7F6B" w:rsidRDefault="009E7F6B" w:rsidP="009E7F6B">
            <w:pPr>
              <w:widowControl/>
              <w:spacing w:before="30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「誰でも、犯罪があると思うときは、告発をすることができる」</w:t>
            </w:r>
          </w:p>
        </w:tc>
      </w:tr>
    </w:tbl>
    <w:p w14:paraId="01C221A5"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但し、</w:t>
      </w:r>
      <w:r w:rsidRPr="009E7F6B">
        <w:rPr>
          <w:rFonts w:ascii="Meiryo" w:eastAsia="Meiryo" w:hAnsi="Meiryo" w:cs="宋体" w:hint="eastAsia"/>
          <w:b/>
          <w:bCs/>
          <w:color w:val="000000"/>
          <w:kern w:val="0"/>
          <w:sz w:val="24"/>
          <w:szCs w:val="24"/>
          <w:lang w:eastAsia="ja-JP"/>
        </w:rPr>
        <w:t>親告罪</w:t>
      </w:r>
      <w:r w:rsidRPr="009E7F6B">
        <w:rPr>
          <w:rFonts w:ascii="Meiryo" w:eastAsia="Meiryo" w:hAnsi="Meiryo" w:cs="宋体" w:hint="eastAsia"/>
          <w:color w:val="000000"/>
          <w:kern w:val="0"/>
          <w:sz w:val="24"/>
          <w:szCs w:val="24"/>
          <w:lang w:eastAsia="ja-JP"/>
        </w:rPr>
        <w:t>については、告訴権者による「告訴」のみしか行うことが出来ませんので「告発」をすることは出来ません。</w:t>
      </w:r>
    </w:p>
    <w:p w14:paraId="0F9162B4" w14:textId="77777777" w:rsidR="009E7F6B" w:rsidRPr="009E7F6B" w:rsidRDefault="009E7F6B" w:rsidP="009E7F6B">
      <w:pPr>
        <w:widowControl/>
        <w:jc w:val="left"/>
        <w:rPr>
          <w:rFonts w:ascii="宋体" w:eastAsia="宋体" w:hAnsi="宋体" w:cs="宋体" w:hint="eastAsia"/>
          <w:kern w:val="0"/>
          <w:sz w:val="24"/>
          <w:szCs w:val="24"/>
          <w:lang w:eastAsia="ja-JP"/>
        </w:rPr>
      </w:pP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565"/>
      </w:tblGrid>
      <w:tr w:rsidR="009E7F6B" w:rsidRPr="009E7F6B" w14:paraId="74C39B5A" w14:textId="77777777" w:rsidTr="009E7F6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78449DD" w14:textId="77777777" w:rsidR="009E7F6B" w:rsidRPr="009E7F6B" w:rsidRDefault="009E7F6B" w:rsidP="009E7F6B">
            <w:pPr>
              <w:widowControl/>
              <w:spacing w:before="150"/>
              <w:jc w:val="left"/>
              <w:rPr>
                <w:rFonts w:ascii="Meiryo" w:eastAsia="Meiryo" w:hAnsi="Meiryo" w:cs="宋体"/>
                <w:color w:val="000000"/>
                <w:kern w:val="0"/>
                <w:sz w:val="24"/>
                <w:szCs w:val="24"/>
                <w:lang w:eastAsia="ja-JP"/>
              </w:rPr>
            </w:pPr>
            <w:r w:rsidRPr="009E7F6B">
              <w:rPr>
                <w:rFonts w:ascii="Meiryo" w:eastAsia="Meiryo" w:hAnsi="Meiryo" w:cs="宋体" w:hint="eastAsia"/>
                <w:color w:val="000000"/>
                <w:kern w:val="0"/>
                <w:sz w:val="24"/>
                <w:szCs w:val="24"/>
                <w:lang w:eastAsia="ja-JP"/>
              </w:rPr>
              <w:t>親告罪とは、事実が公になることで、被害者のプライバシーが侵害されるなどの不利益が生じるおそれがある犯罪被害の場合や、介入に抑制的であるべきとされる親族間の問題など、告訴がなければ公訴を提起することができないと定められた犯罪のことをいいます。</w:t>
            </w:r>
          </w:p>
          <w:p w14:paraId="09129627"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親告罪のうち、一定の犯罪については、告訴期間が「犯人を知ってから６ヶ月」とされています（刑事訴訟法２３５条）。</w:t>
            </w:r>
          </w:p>
          <w:p w14:paraId="29171B1B" w14:textId="77777777" w:rsidR="009E7F6B" w:rsidRPr="009E7F6B" w:rsidRDefault="009E7F6B" w:rsidP="009E7F6B">
            <w:pPr>
              <w:widowControl/>
              <w:jc w:val="left"/>
              <w:rPr>
                <w:rFonts w:ascii="Meiryo" w:eastAsia="Meiryo" w:hAnsi="Meiryo" w:cs="宋体" w:hint="eastAsia"/>
                <w:color w:val="000000"/>
                <w:kern w:val="0"/>
                <w:sz w:val="15"/>
                <w:szCs w:val="15"/>
                <w:lang w:eastAsia="ja-JP"/>
              </w:rPr>
            </w:pPr>
            <w:r w:rsidRPr="009E7F6B">
              <w:rPr>
                <w:rFonts w:ascii="Meiryo" w:eastAsia="Meiryo" w:hAnsi="Meiryo" w:cs="宋体" w:hint="eastAsia"/>
                <w:color w:val="000000"/>
                <w:kern w:val="0"/>
                <w:sz w:val="15"/>
                <w:szCs w:val="15"/>
                <w:lang w:eastAsia="ja-JP"/>
              </w:rPr>
              <w:t xml:space="preserve">　　　 　　　 　　　 　　　 　　　 　　　 　　　</w:t>
            </w:r>
          </w:p>
          <w:tbl>
            <w:tblPr>
              <w:tblW w:w="8400" w:type="dxa"/>
              <w:tblCellMar>
                <w:top w:w="15" w:type="dxa"/>
                <w:left w:w="15" w:type="dxa"/>
                <w:bottom w:w="15" w:type="dxa"/>
                <w:right w:w="15" w:type="dxa"/>
              </w:tblCellMar>
              <w:tblLook w:val="04A0" w:firstRow="1" w:lastRow="0" w:firstColumn="1" w:lastColumn="0" w:noHBand="0" w:noVBand="1"/>
            </w:tblPr>
            <w:tblGrid>
              <w:gridCol w:w="405"/>
              <w:gridCol w:w="7995"/>
            </w:tblGrid>
            <w:tr w:rsidR="009E7F6B" w:rsidRPr="009E7F6B" w14:paraId="643B50F2" w14:textId="77777777">
              <w:tc>
                <w:tcPr>
                  <w:tcW w:w="0" w:type="auto"/>
                  <w:gridSpan w:val="2"/>
                  <w:tcBorders>
                    <w:top w:val="nil"/>
                    <w:left w:val="nil"/>
                    <w:bottom w:val="nil"/>
                    <w:right w:val="nil"/>
                  </w:tcBorders>
                  <w:shd w:val="clear" w:color="auto" w:fill="FFFFCC"/>
                  <w:vAlign w:val="center"/>
                  <w:hideMark/>
                </w:tcPr>
                <w:p w14:paraId="7677927A" w14:textId="77777777" w:rsidR="009E7F6B" w:rsidRPr="009E7F6B" w:rsidRDefault="009E7F6B" w:rsidP="009E7F6B">
                  <w:pPr>
                    <w:widowControl/>
                    <w:spacing w:before="300" w:line="450" w:lineRule="atLeast"/>
                    <w:jc w:val="center"/>
                    <w:rPr>
                      <w:rFonts w:ascii="宋体" w:eastAsia="宋体" w:hAnsi="宋体" w:cs="宋体" w:hint="eastAsia"/>
                      <w:b/>
                      <w:bCs/>
                      <w:color w:val="333333"/>
                      <w:kern w:val="0"/>
                      <w:sz w:val="24"/>
                      <w:szCs w:val="24"/>
                    </w:rPr>
                  </w:pPr>
                  <w:r w:rsidRPr="009E7F6B">
                    <w:rPr>
                      <w:rFonts w:ascii="宋体" w:eastAsia="宋体" w:hAnsi="宋体" w:cs="宋体"/>
                      <w:b/>
                      <w:bCs/>
                      <w:color w:val="333333"/>
                      <w:kern w:val="0"/>
                      <w:sz w:val="24"/>
                      <w:szCs w:val="24"/>
                    </w:rPr>
                    <w:t>【親告罪の一覧】</w:t>
                  </w:r>
                </w:p>
              </w:tc>
            </w:tr>
            <w:tr w:rsidR="009E7F6B" w:rsidRPr="009E7F6B" w14:paraId="078AC7BF" w14:textId="77777777">
              <w:tc>
                <w:tcPr>
                  <w:tcW w:w="0" w:type="auto"/>
                  <w:tcBorders>
                    <w:top w:val="nil"/>
                    <w:left w:val="nil"/>
                    <w:bottom w:val="nil"/>
                    <w:right w:val="nil"/>
                  </w:tcBorders>
                  <w:tcMar>
                    <w:top w:w="15" w:type="dxa"/>
                    <w:left w:w="150" w:type="dxa"/>
                    <w:bottom w:w="15" w:type="dxa"/>
                    <w:right w:w="15" w:type="dxa"/>
                  </w:tcMar>
                  <w:vAlign w:val="center"/>
                  <w:hideMark/>
                </w:tcPr>
                <w:p w14:paraId="529D5337" w14:textId="77777777" w:rsidR="009E7F6B" w:rsidRPr="009E7F6B" w:rsidRDefault="009E7F6B" w:rsidP="009E7F6B">
                  <w:pPr>
                    <w:widowControl/>
                    <w:spacing w:before="300"/>
                    <w:jc w:val="left"/>
                    <w:rPr>
                      <w:rFonts w:ascii="宋体" w:eastAsia="宋体" w:hAnsi="宋体" w:cs="宋体"/>
                      <w:kern w:val="0"/>
                      <w:sz w:val="24"/>
                      <w:szCs w:val="24"/>
                    </w:rPr>
                  </w:pPr>
                  <w:r w:rsidRPr="009E7F6B">
                    <w:rPr>
                      <w:rFonts w:ascii="宋体" w:eastAsia="宋体" w:hAnsi="宋体" w:cs="宋体"/>
                      <w:kern w:val="0"/>
                      <w:sz w:val="24"/>
                      <w:szCs w:val="24"/>
                    </w:rPr>
                    <w:t>●</w:t>
                  </w:r>
                </w:p>
              </w:tc>
              <w:tc>
                <w:tcPr>
                  <w:tcW w:w="0" w:type="auto"/>
                  <w:tcBorders>
                    <w:top w:val="nil"/>
                    <w:left w:val="nil"/>
                    <w:bottom w:val="nil"/>
                    <w:right w:val="nil"/>
                  </w:tcBorders>
                  <w:tcMar>
                    <w:top w:w="15" w:type="dxa"/>
                    <w:left w:w="150" w:type="dxa"/>
                    <w:bottom w:w="15" w:type="dxa"/>
                    <w:right w:w="15" w:type="dxa"/>
                  </w:tcMar>
                  <w:vAlign w:val="center"/>
                  <w:hideMark/>
                </w:tcPr>
                <w:p w14:paraId="788E561E" w14:textId="77777777" w:rsidR="009E7F6B" w:rsidRPr="009E7F6B" w:rsidRDefault="009E7F6B" w:rsidP="009E7F6B">
                  <w:pPr>
                    <w:widowControl/>
                    <w:spacing w:before="300"/>
                    <w:jc w:val="left"/>
                    <w:rPr>
                      <w:rFonts w:ascii="宋体" w:eastAsia="宋体" w:hAnsi="宋体" w:cs="宋体"/>
                      <w:kern w:val="0"/>
                      <w:sz w:val="24"/>
                      <w:szCs w:val="24"/>
                      <w:lang w:eastAsia="ja-JP"/>
                    </w:rPr>
                  </w:pPr>
                  <w:r w:rsidRPr="009E7F6B">
                    <w:rPr>
                      <w:rFonts w:ascii="宋体" w:eastAsia="宋体" w:hAnsi="宋体" w:cs="宋体"/>
                      <w:kern w:val="0"/>
                      <w:sz w:val="24"/>
                      <w:szCs w:val="24"/>
                      <w:lang w:eastAsia="ja-JP"/>
                    </w:rPr>
                    <w:t>名誉毀損罪</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侮辱罪（刑法230条</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231条）</w:t>
                  </w:r>
                </w:p>
              </w:tc>
            </w:tr>
            <w:tr w:rsidR="009E7F6B" w:rsidRPr="009E7F6B" w14:paraId="36A823CB" w14:textId="77777777">
              <w:tc>
                <w:tcPr>
                  <w:tcW w:w="0" w:type="auto"/>
                  <w:tcBorders>
                    <w:top w:val="nil"/>
                    <w:left w:val="nil"/>
                    <w:bottom w:val="nil"/>
                    <w:right w:val="nil"/>
                  </w:tcBorders>
                  <w:tcMar>
                    <w:top w:w="15" w:type="dxa"/>
                    <w:left w:w="150" w:type="dxa"/>
                    <w:bottom w:w="15" w:type="dxa"/>
                    <w:right w:w="15" w:type="dxa"/>
                  </w:tcMar>
                  <w:vAlign w:val="center"/>
                  <w:hideMark/>
                </w:tcPr>
                <w:p w14:paraId="721D8DD3" w14:textId="77777777" w:rsidR="009E7F6B" w:rsidRPr="009E7F6B" w:rsidRDefault="009E7F6B" w:rsidP="009E7F6B">
                  <w:pPr>
                    <w:widowControl/>
                    <w:spacing w:before="300"/>
                    <w:jc w:val="left"/>
                    <w:rPr>
                      <w:rFonts w:ascii="宋体" w:eastAsia="宋体" w:hAnsi="宋体" w:cs="宋体"/>
                      <w:kern w:val="0"/>
                      <w:sz w:val="24"/>
                      <w:szCs w:val="24"/>
                    </w:rPr>
                  </w:pPr>
                  <w:r w:rsidRPr="009E7F6B">
                    <w:rPr>
                      <w:rFonts w:ascii="宋体" w:eastAsia="宋体" w:hAnsi="宋体" w:cs="宋体"/>
                      <w:kern w:val="0"/>
                      <w:sz w:val="24"/>
                      <w:szCs w:val="24"/>
                    </w:rPr>
                    <w:t>●</w:t>
                  </w:r>
                </w:p>
              </w:tc>
              <w:tc>
                <w:tcPr>
                  <w:tcW w:w="0" w:type="auto"/>
                  <w:tcBorders>
                    <w:top w:val="nil"/>
                    <w:left w:val="nil"/>
                    <w:bottom w:val="nil"/>
                    <w:right w:val="nil"/>
                  </w:tcBorders>
                  <w:tcMar>
                    <w:top w:w="15" w:type="dxa"/>
                    <w:left w:w="150" w:type="dxa"/>
                    <w:bottom w:w="15" w:type="dxa"/>
                    <w:right w:w="15" w:type="dxa"/>
                  </w:tcMar>
                  <w:vAlign w:val="center"/>
                  <w:hideMark/>
                </w:tcPr>
                <w:p w14:paraId="72D6D4A1" w14:textId="77777777" w:rsidR="009E7F6B" w:rsidRPr="009E7F6B" w:rsidRDefault="009E7F6B" w:rsidP="009E7F6B">
                  <w:pPr>
                    <w:widowControl/>
                    <w:spacing w:before="300"/>
                    <w:jc w:val="left"/>
                    <w:rPr>
                      <w:rFonts w:ascii="宋体" w:eastAsia="宋体" w:hAnsi="宋体" w:cs="宋体"/>
                      <w:kern w:val="0"/>
                      <w:sz w:val="24"/>
                      <w:szCs w:val="24"/>
                      <w:lang w:eastAsia="ja-JP"/>
                    </w:rPr>
                  </w:pPr>
                  <w:r w:rsidRPr="009E7F6B">
                    <w:rPr>
                      <w:rFonts w:ascii="宋体" w:eastAsia="宋体" w:hAnsi="宋体" w:cs="宋体"/>
                      <w:kern w:val="0"/>
                      <w:sz w:val="24"/>
                      <w:szCs w:val="24"/>
                      <w:lang w:eastAsia="ja-JP"/>
                    </w:rPr>
                    <w:t>ストーカー規制法違反の罪（ストーカー規制法法13条）</w:t>
                  </w:r>
                </w:p>
              </w:tc>
            </w:tr>
            <w:tr w:rsidR="009E7F6B" w:rsidRPr="009E7F6B" w14:paraId="14B5E2AB" w14:textId="77777777">
              <w:tc>
                <w:tcPr>
                  <w:tcW w:w="0" w:type="auto"/>
                  <w:tcBorders>
                    <w:top w:val="nil"/>
                    <w:left w:val="nil"/>
                    <w:bottom w:val="nil"/>
                    <w:right w:val="nil"/>
                  </w:tcBorders>
                  <w:tcMar>
                    <w:top w:w="15" w:type="dxa"/>
                    <w:left w:w="150" w:type="dxa"/>
                    <w:bottom w:w="15" w:type="dxa"/>
                    <w:right w:w="15" w:type="dxa"/>
                  </w:tcMar>
                  <w:vAlign w:val="center"/>
                  <w:hideMark/>
                </w:tcPr>
                <w:p w14:paraId="6B71ED99" w14:textId="77777777" w:rsidR="009E7F6B" w:rsidRPr="009E7F6B" w:rsidRDefault="009E7F6B" w:rsidP="009E7F6B">
                  <w:pPr>
                    <w:widowControl/>
                    <w:spacing w:before="300"/>
                    <w:jc w:val="left"/>
                    <w:rPr>
                      <w:rFonts w:ascii="宋体" w:eastAsia="宋体" w:hAnsi="宋体" w:cs="宋体"/>
                      <w:kern w:val="0"/>
                      <w:sz w:val="24"/>
                      <w:szCs w:val="24"/>
                    </w:rPr>
                  </w:pPr>
                  <w:r w:rsidRPr="009E7F6B">
                    <w:rPr>
                      <w:rFonts w:ascii="宋体" w:eastAsia="宋体" w:hAnsi="宋体" w:cs="宋体"/>
                      <w:kern w:val="0"/>
                      <w:sz w:val="24"/>
                      <w:szCs w:val="24"/>
                    </w:rPr>
                    <w:t>●</w:t>
                  </w:r>
                </w:p>
              </w:tc>
              <w:tc>
                <w:tcPr>
                  <w:tcW w:w="0" w:type="auto"/>
                  <w:tcBorders>
                    <w:top w:val="nil"/>
                    <w:left w:val="nil"/>
                    <w:bottom w:val="nil"/>
                    <w:right w:val="nil"/>
                  </w:tcBorders>
                  <w:tcMar>
                    <w:top w:w="15" w:type="dxa"/>
                    <w:left w:w="150" w:type="dxa"/>
                    <w:bottom w:w="15" w:type="dxa"/>
                    <w:right w:w="15" w:type="dxa"/>
                  </w:tcMar>
                  <w:vAlign w:val="center"/>
                  <w:hideMark/>
                </w:tcPr>
                <w:p w14:paraId="0CB4F208" w14:textId="77777777" w:rsidR="009E7F6B" w:rsidRPr="009E7F6B" w:rsidRDefault="009E7F6B" w:rsidP="009E7F6B">
                  <w:pPr>
                    <w:widowControl/>
                    <w:spacing w:before="300"/>
                    <w:jc w:val="left"/>
                    <w:rPr>
                      <w:rFonts w:ascii="宋体" w:eastAsia="宋体" w:hAnsi="宋体" w:cs="宋体"/>
                      <w:kern w:val="0"/>
                      <w:sz w:val="24"/>
                      <w:szCs w:val="24"/>
                      <w:lang w:eastAsia="ja-JP"/>
                    </w:rPr>
                  </w:pPr>
                  <w:r w:rsidRPr="009E7F6B">
                    <w:rPr>
                      <w:rFonts w:ascii="宋体" w:eastAsia="宋体" w:hAnsi="宋体" w:cs="宋体"/>
                      <w:kern w:val="0"/>
                      <w:sz w:val="24"/>
                      <w:szCs w:val="24"/>
                      <w:lang w:eastAsia="ja-JP"/>
                    </w:rPr>
                    <w:t>信書開封罪</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秘密漏示罪（刑法135条）</w:t>
                  </w:r>
                </w:p>
              </w:tc>
            </w:tr>
            <w:tr w:rsidR="009E7F6B" w:rsidRPr="009E7F6B" w14:paraId="46094EFD" w14:textId="77777777">
              <w:tc>
                <w:tcPr>
                  <w:tcW w:w="0" w:type="auto"/>
                  <w:tcBorders>
                    <w:top w:val="nil"/>
                    <w:left w:val="nil"/>
                    <w:bottom w:val="nil"/>
                    <w:right w:val="nil"/>
                  </w:tcBorders>
                  <w:tcMar>
                    <w:top w:w="15" w:type="dxa"/>
                    <w:left w:w="150" w:type="dxa"/>
                    <w:bottom w:w="15" w:type="dxa"/>
                    <w:right w:w="15" w:type="dxa"/>
                  </w:tcMar>
                  <w:vAlign w:val="center"/>
                  <w:hideMark/>
                </w:tcPr>
                <w:p w14:paraId="20C571B8" w14:textId="77777777" w:rsidR="009E7F6B" w:rsidRPr="009E7F6B" w:rsidRDefault="009E7F6B" w:rsidP="009E7F6B">
                  <w:pPr>
                    <w:widowControl/>
                    <w:spacing w:before="300"/>
                    <w:jc w:val="left"/>
                    <w:rPr>
                      <w:rFonts w:ascii="宋体" w:eastAsia="宋体" w:hAnsi="宋体" w:cs="宋体"/>
                      <w:kern w:val="0"/>
                      <w:sz w:val="24"/>
                      <w:szCs w:val="24"/>
                    </w:rPr>
                  </w:pPr>
                  <w:r w:rsidRPr="009E7F6B">
                    <w:rPr>
                      <w:rFonts w:ascii="宋体" w:eastAsia="宋体" w:hAnsi="宋体" w:cs="宋体"/>
                      <w:kern w:val="0"/>
                      <w:sz w:val="24"/>
                      <w:szCs w:val="24"/>
                    </w:rPr>
                    <w:t>●</w:t>
                  </w:r>
                </w:p>
              </w:tc>
              <w:tc>
                <w:tcPr>
                  <w:tcW w:w="0" w:type="auto"/>
                  <w:tcBorders>
                    <w:top w:val="nil"/>
                    <w:left w:val="nil"/>
                    <w:bottom w:val="nil"/>
                    <w:right w:val="nil"/>
                  </w:tcBorders>
                  <w:tcMar>
                    <w:top w:w="15" w:type="dxa"/>
                    <w:left w:w="150" w:type="dxa"/>
                    <w:bottom w:w="15" w:type="dxa"/>
                    <w:right w:w="15" w:type="dxa"/>
                  </w:tcMar>
                  <w:vAlign w:val="center"/>
                  <w:hideMark/>
                </w:tcPr>
                <w:p w14:paraId="51A87124" w14:textId="77777777" w:rsidR="009E7F6B" w:rsidRPr="009E7F6B" w:rsidRDefault="009E7F6B" w:rsidP="009E7F6B">
                  <w:pPr>
                    <w:widowControl/>
                    <w:spacing w:before="300"/>
                    <w:jc w:val="left"/>
                    <w:rPr>
                      <w:rFonts w:ascii="宋体" w:eastAsia="宋体" w:hAnsi="宋体" w:cs="宋体"/>
                      <w:kern w:val="0"/>
                      <w:sz w:val="24"/>
                      <w:szCs w:val="24"/>
                      <w:lang w:eastAsia="zh-TW"/>
                    </w:rPr>
                  </w:pPr>
                  <w:r w:rsidRPr="009E7F6B">
                    <w:rPr>
                      <w:rFonts w:ascii="宋体" w:eastAsia="宋体" w:hAnsi="宋体" w:cs="宋体"/>
                      <w:kern w:val="0"/>
                      <w:sz w:val="24"/>
                      <w:szCs w:val="24"/>
                      <w:lang w:eastAsia="zh-TW"/>
                    </w:rPr>
                    <w:t>過失傷害罪（刑法209条）</w:t>
                  </w:r>
                </w:p>
              </w:tc>
            </w:tr>
            <w:tr w:rsidR="009E7F6B" w:rsidRPr="009E7F6B" w14:paraId="159527A8" w14:textId="77777777">
              <w:tc>
                <w:tcPr>
                  <w:tcW w:w="0" w:type="auto"/>
                  <w:tcBorders>
                    <w:top w:val="nil"/>
                    <w:left w:val="nil"/>
                    <w:bottom w:val="nil"/>
                    <w:right w:val="nil"/>
                  </w:tcBorders>
                  <w:tcMar>
                    <w:top w:w="15" w:type="dxa"/>
                    <w:left w:w="150" w:type="dxa"/>
                    <w:bottom w:w="15" w:type="dxa"/>
                    <w:right w:w="15" w:type="dxa"/>
                  </w:tcMar>
                  <w:hideMark/>
                </w:tcPr>
                <w:p w14:paraId="6E2822BD" w14:textId="77777777" w:rsidR="009E7F6B" w:rsidRPr="009E7F6B" w:rsidRDefault="009E7F6B" w:rsidP="009E7F6B">
                  <w:pPr>
                    <w:widowControl/>
                    <w:spacing w:before="300"/>
                    <w:jc w:val="left"/>
                    <w:rPr>
                      <w:rFonts w:ascii="宋体" w:eastAsia="宋体" w:hAnsi="宋体" w:cs="宋体"/>
                      <w:kern w:val="0"/>
                      <w:sz w:val="24"/>
                      <w:szCs w:val="24"/>
                    </w:rPr>
                  </w:pPr>
                  <w:r w:rsidRPr="009E7F6B">
                    <w:rPr>
                      <w:rFonts w:ascii="宋体" w:eastAsia="宋体" w:hAnsi="宋体" w:cs="宋体"/>
                      <w:kern w:val="0"/>
                      <w:sz w:val="24"/>
                      <w:szCs w:val="24"/>
                    </w:rPr>
                    <w:t>●</w:t>
                  </w:r>
                </w:p>
              </w:tc>
              <w:tc>
                <w:tcPr>
                  <w:tcW w:w="0" w:type="auto"/>
                  <w:tcBorders>
                    <w:top w:val="nil"/>
                    <w:left w:val="nil"/>
                    <w:bottom w:val="nil"/>
                    <w:right w:val="nil"/>
                  </w:tcBorders>
                  <w:tcMar>
                    <w:top w:w="15" w:type="dxa"/>
                    <w:left w:w="150" w:type="dxa"/>
                    <w:bottom w:w="15" w:type="dxa"/>
                    <w:right w:w="15" w:type="dxa"/>
                  </w:tcMar>
                  <w:vAlign w:val="center"/>
                  <w:hideMark/>
                </w:tcPr>
                <w:p w14:paraId="14C99CE8" w14:textId="77777777" w:rsidR="009E7F6B" w:rsidRPr="009E7F6B" w:rsidRDefault="009E7F6B" w:rsidP="009E7F6B">
                  <w:pPr>
                    <w:widowControl/>
                    <w:spacing w:before="300"/>
                    <w:jc w:val="left"/>
                    <w:rPr>
                      <w:rFonts w:ascii="宋体" w:eastAsia="宋体" w:hAnsi="宋体" w:cs="宋体"/>
                      <w:kern w:val="0"/>
                      <w:sz w:val="24"/>
                      <w:szCs w:val="24"/>
                      <w:lang w:eastAsia="ja-JP"/>
                    </w:rPr>
                  </w:pPr>
                  <w:r w:rsidRPr="009E7F6B">
                    <w:rPr>
                      <w:rFonts w:ascii="宋体" w:eastAsia="宋体" w:hAnsi="宋体" w:cs="宋体"/>
                      <w:kern w:val="0"/>
                      <w:sz w:val="24"/>
                      <w:szCs w:val="24"/>
                      <w:lang w:eastAsia="ja-JP"/>
                    </w:rPr>
                    <w:t>未成年者略取</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誘拐罪、営利目的等略取</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誘拐罪 、被略取者引渡し等の罪（同229条）</w:t>
                  </w:r>
                  <w:r w:rsidRPr="009E7F6B">
                    <w:rPr>
                      <w:rFonts w:ascii="宋体" w:eastAsia="宋体" w:hAnsi="宋体" w:cs="宋体"/>
                      <w:kern w:val="0"/>
                      <w:sz w:val="24"/>
                      <w:szCs w:val="24"/>
                      <w:lang w:eastAsia="ja-JP"/>
                    </w:rPr>
                    <w:br/>
                  </w:r>
                  <w:r w:rsidRPr="009E7F6B">
                    <w:rPr>
                      <w:rFonts w:ascii="宋体" w:eastAsia="宋体" w:hAnsi="宋体" w:cs="宋体"/>
                      <w:kern w:val="0"/>
                      <w:sz w:val="24"/>
                      <w:szCs w:val="24"/>
                      <w:lang w:eastAsia="ja-JP"/>
                    </w:rPr>
                    <w:lastRenderedPageBreak/>
                    <w:t>ただし営利又は生命若しくは身体に対する加害の目的は除外（親告罪にならない）</w:t>
                  </w:r>
                </w:p>
              </w:tc>
            </w:tr>
            <w:tr w:rsidR="009E7F6B" w:rsidRPr="009E7F6B" w14:paraId="026CC8F0" w14:textId="77777777">
              <w:tc>
                <w:tcPr>
                  <w:tcW w:w="0" w:type="auto"/>
                  <w:tcBorders>
                    <w:top w:val="nil"/>
                    <w:left w:val="nil"/>
                    <w:bottom w:val="nil"/>
                    <w:right w:val="nil"/>
                  </w:tcBorders>
                  <w:tcMar>
                    <w:top w:w="15" w:type="dxa"/>
                    <w:left w:w="150" w:type="dxa"/>
                    <w:bottom w:w="15" w:type="dxa"/>
                    <w:right w:w="15" w:type="dxa"/>
                  </w:tcMar>
                  <w:hideMark/>
                </w:tcPr>
                <w:p w14:paraId="161F146D" w14:textId="77777777" w:rsidR="009E7F6B" w:rsidRPr="009E7F6B" w:rsidRDefault="009E7F6B" w:rsidP="009E7F6B">
                  <w:pPr>
                    <w:widowControl/>
                    <w:spacing w:before="300"/>
                    <w:jc w:val="left"/>
                    <w:rPr>
                      <w:rFonts w:ascii="宋体" w:eastAsia="宋体" w:hAnsi="宋体" w:cs="宋体"/>
                      <w:kern w:val="0"/>
                      <w:sz w:val="24"/>
                      <w:szCs w:val="24"/>
                    </w:rPr>
                  </w:pPr>
                  <w:r w:rsidRPr="009E7F6B">
                    <w:rPr>
                      <w:rFonts w:ascii="宋体" w:eastAsia="宋体" w:hAnsi="宋体" w:cs="宋体"/>
                      <w:kern w:val="0"/>
                      <w:sz w:val="24"/>
                      <w:szCs w:val="24"/>
                    </w:rPr>
                    <w:lastRenderedPageBreak/>
                    <w:t>●</w:t>
                  </w:r>
                </w:p>
              </w:tc>
              <w:tc>
                <w:tcPr>
                  <w:tcW w:w="0" w:type="auto"/>
                  <w:tcBorders>
                    <w:top w:val="nil"/>
                    <w:left w:val="nil"/>
                    <w:bottom w:val="nil"/>
                    <w:right w:val="nil"/>
                  </w:tcBorders>
                  <w:tcMar>
                    <w:top w:w="15" w:type="dxa"/>
                    <w:left w:w="150" w:type="dxa"/>
                    <w:bottom w:w="15" w:type="dxa"/>
                    <w:right w:w="15" w:type="dxa"/>
                  </w:tcMar>
                  <w:vAlign w:val="center"/>
                  <w:hideMark/>
                </w:tcPr>
                <w:p w14:paraId="415F5C82" w14:textId="77777777" w:rsidR="009E7F6B" w:rsidRPr="009E7F6B" w:rsidRDefault="009E7F6B" w:rsidP="009E7F6B">
                  <w:pPr>
                    <w:widowControl/>
                    <w:spacing w:before="300"/>
                    <w:jc w:val="left"/>
                    <w:rPr>
                      <w:rFonts w:ascii="宋体" w:eastAsia="宋体" w:hAnsi="宋体" w:cs="宋体"/>
                      <w:kern w:val="0"/>
                      <w:sz w:val="24"/>
                      <w:szCs w:val="24"/>
                      <w:lang w:eastAsia="ja-JP"/>
                    </w:rPr>
                  </w:pPr>
                  <w:r w:rsidRPr="009E7F6B">
                    <w:rPr>
                      <w:rFonts w:ascii="宋体" w:eastAsia="宋体" w:hAnsi="宋体" w:cs="宋体"/>
                      <w:kern w:val="0"/>
                      <w:sz w:val="24"/>
                      <w:szCs w:val="24"/>
                      <w:lang w:eastAsia="ja-JP"/>
                    </w:rPr>
                    <w:t>夫婦間や直系血族又は同居の親族以外の親族による以下の犯罪</w:t>
                  </w:r>
                  <w:r w:rsidRPr="009E7F6B">
                    <w:rPr>
                      <w:rFonts w:ascii="宋体" w:eastAsia="宋体" w:hAnsi="宋体" w:cs="宋体"/>
                      <w:kern w:val="0"/>
                      <w:sz w:val="24"/>
                      <w:szCs w:val="24"/>
                      <w:lang w:eastAsia="ja-JP"/>
                    </w:rPr>
                    <w:br/>
                    <w:t xml:space="preserve">　窃盗罪、不動産侵奪罪、詐欺罪、恐喝罪、電子計算機使用詐欺罪、背任罪、準詐欺罪、横領罪、業務上横領罪、遺失物等横領罪、私用文書等毀棄罪、器物損壊罪、信書隠匿罪（同法251条</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244条2項</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255条</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264条）</w:t>
                  </w:r>
                  <w:r w:rsidRPr="009E7F6B">
                    <w:rPr>
                      <w:rFonts w:ascii="宋体" w:eastAsia="宋体" w:hAnsi="宋体" w:cs="宋体"/>
                      <w:kern w:val="0"/>
                      <w:sz w:val="24"/>
                      <w:szCs w:val="24"/>
                      <w:lang w:eastAsia="ja-JP"/>
                    </w:rPr>
                    <w:br/>
                    <w:t>ただし、配偶者、直系血族又は同居の親族による窃盗罪、詐欺罪</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恐喝罪は、刑が免除されるため除外（親告罪にならない）</w:t>
                  </w:r>
                </w:p>
              </w:tc>
            </w:tr>
            <w:tr w:rsidR="009E7F6B" w:rsidRPr="009E7F6B" w14:paraId="2072453A" w14:textId="77777777">
              <w:tc>
                <w:tcPr>
                  <w:tcW w:w="0" w:type="auto"/>
                  <w:tcBorders>
                    <w:top w:val="nil"/>
                    <w:left w:val="nil"/>
                    <w:bottom w:val="nil"/>
                    <w:right w:val="nil"/>
                  </w:tcBorders>
                  <w:tcMar>
                    <w:top w:w="15" w:type="dxa"/>
                    <w:left w:w="150" w:type="dxa"/>
                    <w:bottom w:w="15" w:type="dxa"/>
                    <w:right w:w="15" w:type="dxa"/>
                  </w:tcMar>
                  <w:hideMark/>
                </w:tcPr>
                <w:p w14:paraId="22654D45" w14:textId="77777777" w:rsidR="009E7F6B" w:rsidRPr="009E7F6B" w:rsidRDefault="009E7F6B" w:rsidP="009E7F6B">
                  <w:pPr>
                    <w:widowControl/>
                    <w:spacing w:before="300"/>
                    <w:jc w:val="left"/>
                    <w:rPr>
                      <w:rFonts w:ascii="宋体" w:eastAsia="宋体" w:hAnsi="宋体" w:cs="宋体"/>
                      <w:kern w:val="0"/>
                      <w:sz w:val="24"/>
                      <w:szCs w:val="24"/>
                    </w:rPr>
                  </w:pPr>
                  <w:r w:rsidRPr="009E7F6B">
                    <w:rPr>
                      <w:rFonts w:ascii="宋体" w:eastAsia="宋体" w:hAnsi="宋体" w:cs="宋体"/>
                      <w:kern w:val="0"/>
                      <w:sz w:val="24"/>
                      <w:szCs w:val="24"/>
                    </w:rPr>
                    <w:t>※</w:t>
                  </w:r>
                </w:p>
              </w:tc>
              <w:tc>
                <w:tcPr>
                  <w:tcW w:w="0" w:type="auto"/>
                  <w:tcBorders>
                    <w:top w:val="nil"/>
                    <w:left w:val="nil"/>
                    <w:bottom w:val="nil"/>
                    <w:right w:val="nil"/>
                  </w:tcBorders>
                  <w:tcMar>
                    <w:top w:w="15" w:type="dxa"/>
                    <w:left w:w="150" w:type="dxa"/>
                    <w:bottom w:w="15" w:type="dxa"/>
                    <w:right w:w="15" w:type="dxa"/>
                  </w:tcMar>
                  <w:vAlign w:val="center"/>
                  <w:hideMark/>
                </w:tcPr>
                <w:p w14:paraId="23521EBF" w14:textId="77777777" w:rsidR="009E7F6B" w:rsidRPr="009E7F6B" w:rsidRDefault="009E7F6B" w:rsidP="009E7F6B">
                  <w:pPr>
                    <w:widowControl/>
                    <w:spacing w:before="300"/>
                    <w:jc w:val="left"/>
                    <w:rPr>
                      <w:rFonts w:ascii="宋体" w:eastAsia="宋体" w:hAnsi="宋体" w:cs="宋体"/>
                      <w:kern w:val="0"/>
                      <w:sz w:val="24"/>
                      <w:szCs w:val="24"/>
                      <w:lang w:eastAsia="ja-JP"/>
                    </w:rPr>
                  </w:pPr>
                  <w:r w:rsidRPr="009E7F6B">
                    <w:rPr>
                      <w:rFonts w:ascii="宋体" w:eastAsia="宋体" w:hAnsi="宋体" w:cs="宋体"/>
                      <w:kern w:val="0"/>
                      <w:sz w:val="24"/>
                      <w:szCs w:val="24"/>
                      <w:lang w:eastAsia="ja-JP"/>
                    </w:rPr>
                    <w:t>強制わいせつ罪</w:t>
                  </w:r>
                  <w:r w:rsidRPr="009E7F6B">
                    <w:rPr>
                      <w:rFonts w:ascii="微软雅黑" w:eastAsia="微软雅黑" w:hAnsi="微软雅黑" w:cs="微软雅黑"/>
                      <w:kern w:val="0"/>
                      <w:sz w:val="24"/>
                      <w:szCs w:val="24"/>
                      <w:lang w:eastAsia="ja-JP"/>
                    </w:rPr>
                    <w:t>・</w:t>
                  </w:r>
                  <w:r w:rsidRPr="009E7F6B">
                    <w:rPr>
                      <w:rFonts w:ascii="宋体" w:eastAsia="宋体" w:hAnsi="宋体" w:cs="宋体"/>
                      <w:kern w:val="0"/>
                      <w:sz w:val="24"/>
                      <w:szCs w:val="24"/>
                      <w:lang w:eastAsia="ja-JP"/>
                    </w:rPr>
                    <w:t>強姦罪等の性犯罪は、平成２９年７月１３日から施行された改正刑法により、親告罪ではなくなりました。</w:t>
                  </w:r>
                  <w:r w:rsidRPr="009E7F6B">
                    <w:rPr>
                      <w:rFonts w:ascii="宋体" w:eastAsia="宋体" w:hAnsi="宋体" w:cs="宋体"/>
                      <w:kern w:val="0"/>
                      <w:sz w:val="24"/>
                      <w:szCs w:val="24"/>
                      <w:lang w:eastAsia="ja-JP"/>
                    </w:rPr>
                    <w:br/>
                    <w:t>「痴漢」など、都道府県の条例違反に該当する事案については、元から非親告罪とされています。</w:t>
                  </w:r>
                </w:p>
              </w:tc>
            </w:tr>
          </w:tbl>
          <w:p w14:paraId="5AD6929E" w14:textId="77777777" w:rsidR="009E7F6B" w:rsidRPr="009E7F6B" w:rsidRDefault="009E7F6B" w:rsidP="009E7F6B">
            <w:pPr>
              <w:widowControl/>
              <w:jc w:val="left"/>
              <w:rPr>
                <w:rFonts w:ascii="Meiryo" w:eastAsia="Meiryo" w:hAnsi="Meiryo" w:cs="宋体"/>
                <w:color w:val="000000"/>
                <w:kern w:val="0"/>
                <w:sz w:val="15"/>
                <w:szCs w:val="15"/>
                <w:lang w:eastAsia="ja-JP"/>
              </w:rPr>
            </w:pPr>
          </w:p>
        </w:tc>
      </w:tr>
    </w:tbl>
    <w:p w14:paraId="0F2BB160" w14:textId="77777777" w:rsidR="009E7F6B" w:rsidRPr="009E7F6B" w:rsidRDefault="009E7F6B" w:rsidP="009E7F6B">
      <w:pPr>
        <w:widowControl/>
        <w:jc w:val="left"/>
        <w:rPr>
          <w:rFonts w:ascii="宋体" w:eastAsia="宋体" w:hAnsi="宋体" w:cs="宋体"/>
          <w:kern w:val="0"/>
          <w:sz w:val="24"/>
          <w:szCs w:val="24"/>
          <w:lang w:eastAsia="ja-JP"/>
        </w:rPr>
      </w:pPr>
      <w:r w:rsidRPr="009E7F6B">
        <w:rPr>
          <w:rFonts w:ascii="Meiryo" w:eastAsia="Meiryo" w:hAnsi="Meiryo" w:cs="宋体" w:hint="eastAsia"/>
          <w:color w:val="000000"/>
          <w:kern w:val="0"/>
          <w:sz w:val="27"/>
          <w:szCs w:val="27"/>
          <w:lang w:eastAsia="ja-JP"/>
        </w:rPr>
        <w:lastRenderedPageBreak/>
        <w:br/>
      </w:r>
    </w:p>
    <w:p w14:paraId="1A407616"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公務員の告発義務</w:t>
      </w:r>
    </w:p>
    <w:p w14:paraId="35FEE509"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公務員は、その職務を行うことにより犯罪があると思料するときは、告発をしなければならないとされています（刑訴法239条2項）。</w:t>
      </w:r>
    </w:p>
    <w:p w14:paraId="0EA56935"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br/>
      </w:r>
    </w:p>
    <w:p w14:paraId="7AC1CF0C"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行政機関への告発</w:t>
      </w:r>
    </w:p>
    <w:p w14:paraId="7830F36C"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通常の刑法犯罪や特別法犯（覚せい剤取締法違反、売春防止法違反など）に関する告発の他、監督官庁への申告や通報が有用な場合も多くあります。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9E7F6B" w:rsidRPr="009E7F6B" w14:paraId="70F25393" w14:textId="77777777" w:rsidTr="009E7F6B">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08F75E04"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行政法犯（道路交通法違反・建設基準法・風俗営業法、医師法、他）</w:t>
            </w:r>
          </w:p>
          <w:p w14:paraId="14DE6299"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lastRenderedPageBreak/>
              <w:t xml:space="preserve">　⇒「行政処分を求める申告（行政手続法第３６条の３」</w:t>
            </w:r>
            <w:r w:rsidRPr="009E7F6B">
              <w:rPr>
                <w:rFonts w:ascii="Meiryo" w:eastAsia="Meiryo" w:hAnsi="Meiryo" w:cs="宋体" w:hint="eastAsia"/>
                <w:color w:val="000000"/>
                <w:kern w:val="0"/>
                <w:sz w:val="24"/>
                <w:szCs w:val="24"/>
                <w:lang w:eastAsia="ja-JP"/>
              </w:rPr>
              <w:br/>
              <w:t xml:space="preserve">　⇒自己の勤務先などの不正や違法に関しては、公益通報（公益通報者保護法）</w:t>
            </w:r>
          </w:p>
          <w:p w14:paraId="32794254"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hyperlink r:id="rId5" w:history="1">
              <w:r w:rsidRPr="009E7F6B">
                <w:rPr>
                  <w:rFonts w:ascii="Meiryo" w:eastAsia="Meiryo" w:hAnsi="Meiryo" w:cs="宋体" w:hint="eastAsia"/>
                  <w:b/>
                  <w:bCs/>
                  <w:color w:val="0000FF"/>
                  <w:kern w:val="0"/>
                  <w:sz w:val="24"/>
                  <w:szCs w:val="24"/>
                  <w:u w:val="single"/>
                  <w:lang w:eastAsia="ja-JP"/>
                </w:rPr>
                <w:t>公益通報の通報先・相談先　行政機関検索</w:t>
              </w:r>
            </w:hyperlink>
          </w:p>
        </w:tc>
      </w:tr>
    </w:tbl>
    <w:p w14:paraId="1B7D1E0C"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lastRenderedPageBreak/>
        <w:br/>
      </w:r>
    </w:p>
    <w:p w14:paraId="29F67EB7"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被害届とは</w:t>
      </w:r>
    </w:p>
    <w:p w14:paraId="7067E97A"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告訴と似たものとして捜査機関（警察署など）へ提出する「被害届」というものがあります。</w:t>
      </w:r>
      <w:r w:rsidRPr="009E7F6B">
        <w:rPr>
          <w:rFonts w:ascii="Meiryo" w:eastAsia="Meiryo" w:hAnsi="Meiryo" w:cs="宋体" w:hint="eastAsia"/>
          <w:color w:val="000000"/>
          <w:kern w:val="0"/>
          <w:sz w:val="24"/>
          <w:szCs w:val="24"/>
          <w:lang w:eastAsia="ja-JP"/>
        </w:rPr>
        <w:br/>
        <w:t>被害届とは、被害を受けた犯罪事実の申告を行う点では告訴と似ていますが、犯罪者の処罰を求める意思表示までは含まれていない点が大きく異なります。</w:t>
      </w:r>
      <w:r w:rsidRPr="009E7F6B">
        <w:rPr>
          <w:rFonts w:ascii="Meiryo" w:eastAsia="Meiryo" w:hAnsi="Meiryo" w:cs="宋体" w:hint="eastAsia"/>
          <w:color w:val="000000"/>
          <w:kern w:val="0"/>
          <w:sz w:val="24"/>
          <w:szCs w:val="24"/>
          <w:lang w:eastAsia="ja-JP"/>
        </w:rPr>
        <w:br/>
        <w:t>また、告訴の場合と異なり、受理をしても、法的には、捜査機関は捜査をする義務を負いません。</w:t>
      </w:r>
    </w:p>
    <w:p w14:paraId="5D74D399"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br/>
      </w:r>
    </w:p>
    <w:p w14:paraId="65E66C2C"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告訴と起訴の違い</w:t>
      </w:r>
    </w:p>
    <w:p w14:paraId="53D0BAC9"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告訴とは、犯罪の被害者等が犯人の処罰を求めて犯罪事実の申告を行うことです。</w:t>
      </w:r>
      <w:r w:rsidRPr="009E7F6B">
        <w:rPr>
          <w:rFonts w:ascii="Meiryo" w:eastAsia="Meiryo" w:hAnsi="Meiryo" w:cs="宋体" w:hint="eastAsia"/>
          <w:color w:val="000000"/>
          <w:kern w:val="0"/>
          <w:sz w:val="24"/>
          <w:szCs w:val="24"/>
          <w:lang w:eastAsia="ja-JP"/>
        </w:rPr>
        <w:br/>
        <w:t>一方、起訴とは、検察官が国家機関である裁判所に対し、国家権力の発動た</w:t>
      </w:r>
      <w:r w:rsidRPr="009E7F6B">
        <w:rPr>
          <w:rFonts w:ascii="Meiryo" w:eastAsia="Meiryo" w:hAnsi="Meiryo" w:cs="宋体" w:hint="eastAsia"/>
          <w:color w:val="000000"/>
          <w:kern w:val="0"/>
          <w:sz w:val="24"/>
          <w:szCs w:val="24"/>
          <w:lang w:eastAsia="ja-JP"/>
        </w:rPr>
        <w:lastRenderedPageBreak/>
        <w:t>る刑罰を求めて訴えを起こすことであり、告訴とは、その前段階である捜査や起訴を促す意思表示のことです。</w:t>
      </w:r>
      <w:r w:rsidRPr="009E7F6B">
        <w:rPr>
          <w:rFonts w:ascii="Meiryo" w:eastAsia="Meiryo" w:hAnsi="Meiryo" w:cs="宋体" w:hint="eastAsia"/>
          <w:color w:val="000000"/>
          <w:kern w:val="0"/>
          <w:sz w:val="24"/>
          <w:szCs w:val="24"/>
          <w:lang w:eastAsia="ja-JP"/>
        </w:rPr>
        <w:br/>
        <w:t>元来、捜査機関は犯罪の疑いがある事実を発見した場合（例えば傷害や殺人など）、告訴などを受けなくても捜査を開始することが出来ます。</w:t>
      </w:r>
      <w:r w:rsidRPr="009E7F6B">
        <w:rPr>
          <w:rFonts w:ascii="Meiryo" w:eastAsia="Meiryo" w:hAnsi="Meiryo" w:cs="宋体" w:hint="eastAsia"/>
          <w:color w:val="000000"/>
          <w:kern w:val="0"/>
          <w:sz w:val="24"/>
          <w:szCs w:val="24"/>
          <w:lang w:eastAsia="ja-JP"/>
        </w:rPr>
        <w:br/>
        <w:t>しかし、犯罪の事実が警察当局へ知られていない状態である場合、または親告罪（名誉毀損罪や過失傷害罪、強姦罪など）の場合、告訴を受けてから捜査を開始するということになるわけです。</w:t>
      </w:r>
      <w:r w:rsidRPr="009E7F6B">
        <w:rPr>
          <w:rFonts w:ascii="Meiryo" w:eastAsia="Meiryo" w:hAnsi="Meiryo" w:cs="宋体" w:hint="eastAsia"/>
          <w:color w:val="000000"/>
          <w:kern w:val="0"/>
          <w:sz w:val="24"/>
          <w:szCs w:val="24"/>
          <w:lang w:eastAsia="ja-JP"/>
        </w:rPr>
        <w:br/>
        <w:t>※親告罪のうち、性犯罪以外に関しては、告訴は犯人を知ったときから原則として６ヶ月以内に行わなければなりません。</w:t>
      </w:r>
      <w:r w:rsidRPr="009E7F6B">
        <w:rPr>
          <w:rFonts w:ascii="Meiryo" w:eastAsia="Meiryo" w:hAnsi="Meiryo" w:cs="宋体" w:hint="eastAsia"/>
          <w:color w:val="000000"/>
          <w:kern w:val="0"/>
          <w:sz w:val="24"/>
          <w:szCs w:val="24"/>
          <w:lang w:eastAsia="ja-JP"/>
        </w:rPr>
        <w:br/>
        <w:t>告訴された者のことを、起訴をされる前は「被疑者」といい、起訴をされた後は「被告人」といいます。</w:t>
      </w:r>
    </w:p>
    <w:p w14:paraId="099A92F4" w14:textId="77777777" w:rsidR="009E7F6B" w:rsidRPr="009E7F6B" w:rsidRDefault="009E7F6B" w:rsidP="009E7F6B">
      <w:pPr>
        <w:widowControl/>
        <w:jc w:val="left"/>
        <w:rPr>
          <w:rFonts w:ascii="宋体" w:eastAsia="宋体" w:hAnsi="宋体" w:cs="宋体" w:hint="eastAsia"/>
          <w:kern w:val="0"/>
          <w:sz w:val="24"/>
          <w:szCs w:val="24"/>
          <w:lang w:eastAsia="ja-JP"/>
        </w:rPr>
      </w:pPr>
      <w:r w:rsidRPr="009E7F6B">
        <w:rPr>
          <w:rFonts w:ascii="Meiryo" w:eastAsia="Meiryo" w:hAnsi="Meiryo" w:cs="宋体" w:hint="eastAsia"/>
          <w:color w:val="000000"/>
          <w:kern w:val="0"/>
          <w:sz w:val="27"/>
          <w:szCs w:val="27"/>
          <w:lang w:eastAsia="ja-JP"/>
        </w:rPr>
        <w:br/>
      </w:r>
    </w:p>
    <w:p w14:paraId="0A045DA1" w14:textId="77777777" w:rsidR="009E7F6B" w:rsidRPr="009E7F6B" w:rsidRDefault="009E7F6B" w:rsidP="009E7F6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9E7F6B">
        <w:rPr>
          <w:rFonts w:ascii="Meiryo" w:eastAsia="Meiryo" w:hAnsi="Meiryo" w:cs="宋体" w:hint="eastAsia"/>
          <w:b/>
          <w:bCs/>
          <w:color w:val="333333"/>
          <w:kern w:val="0"/>
          <w:sz w:val="32"/>
          <w:szCs w:val="32"/>
          <w:lang w:eastAsia="ja-JP"/>
        </w:rPr>
        <w:t>告訴状・告発状の保存期間・開示請求の可否</w:t>
      </w:r>
    </w:p>
    <w:p w14:paraId="6488ABCC"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最高検察庁の公表している標準文書保存期間基準によると、東京地方検察庁事務局・東京地方検察庁事務局総務課・東京区検察庁総務課における、事件の端緒に関する、投書，告訴状・告発状などの文書は、保存期間が３年となっております。</w:t>
      </w:r>
    </w:p>
    <w:p w14:paraId="6A33A7CB" w14:textId="77777777" w:rsidR="009E7F6B" w:rsidRPr="009E7F6B" w:rsidRDefault="009E7F6B" w:rsidP="009E7F6B">
      <w:pPr>
        <w:widowControl/>
        <w:spacing w:before="150"/>
        <w:jc w:val="left"/>
        <w:rPr>
          <w:rFonts w:ascii="Meiryo" w:eastAsia="Meiryo" w:hAnsi="Meiryo" w:cs="宋体" w:hint="eastAsia"/>
          <w:color w:val="000000"/>
          <w:kern w:val="0"/>
          <w:sz w:val="24"/>
          <w:szCs w:val="24"/>
          <w:lang w:eastAsia="ja-JP"/>
        </w:rPr>
      </w:pPr>
      <w:r w:rsidRPr="009E7F6B">
        <w:rPr>
          <w:rFonts w:ascii="Meiryo" w:eastAsia="Meiryo" w:hAnsi="Meiryo" w:cs="宋体" w:hint="eastAsia"/>
          <w:color w:val="000000"/>
          <w:kern w:val="0"/>
          <w:sz w:val="24"/>
          <w:szCs w:val="24"/>
          <w:lang w:eastAsia="ja-JP"/>
        </w:rPr>
        <w:t>なお、告訴状・告発状は「行政機関の保有する個人情報の保護に関する法律」による開示請求の対象外です。</w:t>
      </w:r>
      <w:r w:rsidRPr="009E7F6B">
        <w:rPr>
          <w:rFonts w:ascii="Meiryo" w:eastAsia="Meiryo" w:hAnsi="Meiryo" w:cs="宋体" w:hint="eastAsia"/>
          <w:color w:val="000000"/>
          <w:kern w:val="0"/>
          <w:sz w:val="24"/>
          <w:szCs w:val="24"/>
          <w:lang w:eastAsia="ja-JP"/>
        </w:rPr>
        <w:br/>
        <w:t>告訴状・告発状や捜査資料のひとつであり、捜査の進捗状況などは一切公表</w:t>
      </w:r>
      <w:r w:rsidRPr="009E7F6B">
        <w:rPr>
          <w:rFonts w:ascii="Meiryo" w:eastAsia="Meiryo" w:hAnsi="Meiryo" w:cs="宋体" w:hint="eastAsia"/>
          <w:color w:val="000000"/>
          <w:kern w:val="0"/>
          <w:sz w:val="24"/>
          <w:szCs w:val="24"/>
          <w:lang w:eastAsia="ja-JP"/>
        </w:rPr>
        <w:lastRenderedPageBreak/>
        <w:t>することの出来ない捜査秘密であるため、捜査継続中は開示されませんが、不起訴処分になった場合でも、開示が認められるのは、極めて例外的な場合に限られ、かつ、開示範囲も非常に限定的となります。</w:t>
      </w:r>
      <w:r w:rsidRPr="009E7F6B">
        <w:rPr>
          <w:rFonts w:ascii="Meiryo" w:eastAsia="Meiryo" w:hAnsi="Meiryo" w:cs="宋体" w:hint="eastAsia"/>
          <w:color w:val="000000"/>
          <w:kern w:val="0"/>
          <w:sz w:val="24"/>
          <w:szCs w:val="24"/>
          <w:lang w:eastAsia="ja-JP"/>
        </w:rPr>
        <w:br/>
        <w:t>起訴後の刑事記録については、裁判関係者以外への開示が禁止されておりますが、刑事裁判が確定・終了した後の記録については、利害関係人であれば開示を請求することが出来ます。</w:t>
      </w:r>
    </w:p>
    <w:p w14:paraId="6DFFB52A" w14:textId="77777777" w:rsidR="00B31CB1" w:rsidRPr="009E7F6B" w:rsidRDefault="00B31CB1">
      <w:pPr>
        <w:rPr>
          <w:lang w:eastAsia="ja-JP"/>
        </w:rPr>
      </w:pPr>
    </w:p>
    <w:sectPr w:rsidR="00B31CB1" w:rsidRPr="009E7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0"/>
    <w:rsid w:val="009E7F6B"/>
    <w:rsid w:val="00B31CB1"/>
    <w:rsid w:val="00D57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AE01"/>
  <w15:chartTrackingRefBased/>
  <w15:docId w15:val="{FA3AD6F1-CA86-4AC6-9CAC-545F7175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E7F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E7F6B"/>
    <w:rPr>
      <w:rFonts w:ascii="宋体" w:eastAsia="宋体" w:hAnsi="宋体" w:cs="宋体"/>
      <w:b/>
      <w:bCs/>
      <w:kern w:val="0"/>
      <w:sz w:val="27"/>
      <w:szCs w:val="27"/>
    </w:rPr>
  </w:style>
  <w:style w:type="paragraph" w:styleId="a3">
    <w:name w:val="Normal (Web)"/>
    <w:basedOn w:val="a"/>
    <w:uiPriority w:val="99"/>
    <w:semiHidden/>
    <w:unhideWhenUsed/>
    <w:rsid w:val="009E7F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E7F6B"/>
    <w:rPr>
      <w:b/>
      <w:bCs/>
    </w:rPr>
  </w:style>
  <w:style w:type="character" w:styleId="a5">
    <w:name w:val="Hyperlink"/>
    <w:basedOn w:val="a0"/>
    <w:uiPriority w:val="99"/>
    <w:semiHidden/>
    <w:unhideWhenUsed/>
    <w:rsid w:val="009E7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a.go.jp/policies/policy/consumer_system/whisleblower_protection_system/search_system/"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2021-10-05T03:23:00Z</dcterms:created>
  <dcterms:modified xsi:type="dcterms:W3CDTF">2021-10-05T03:24:00Z</dcterms:modified>
</cp:coreProperties>
</file>