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left="0" w:right="0" w:firstLine="0"/>
        <w:jc w:val="center"/>
        <w:rPr>
          <w:rFonts w:eastAsia="黑体"/>
          <w:b/>
          <w:sz w:val="32"/>
        </w:rPr>
        <w:snapToGrid w:val="0"/>
      </w:pPr>
      <w:r>
        <w:rPr>
          <w:rFonts w:ascii="Times New Roman" w:hAnsi="Times New Roman" w:eastAsia="黑体" w:cs="Times New Roman"/>
          <w:b/>
          <w:sz w:val="36"/>
          <w:szCs w:val="36"/>
        </w:rPr>
        <w:t>生成式人工智能医疗服务中的公众认知配置与人机治理</w:t>
      </w:r>
    </w:p>
    <w:p w14:paraId="2E2E87A5" w14:textId="77777777" w:rsidR="000D57FF" w:rsidRDefault="000D57FF" w:rsidP="000D57FF">
      <w:pPr>
        <w:spacing w:after="240" w:before="0" w:line="312" w:lineRule="auto"/>
        <w:ind w:left="0" w:right="0" w:firstLine="0"/>
        <w:jc w:val="center"/>
        <w:rPr>
          <w:rFonts w:eastAsia="黑体"/>
          <w:b/>
          <w:sz w:val="32"/>
        </w:rPr>
        <w:snapToGrid w:val="0"/>
      </w:pPr>
      <w:r>
        <w:rPr>
          <w:rFonts w:ascii="Times New Roman" w:hAnsi="Times New Roman" w:eastAsia="黑体" w:cs="Times New Roman"/>
          <w:b/>
          <w:sz w:val="28"/>
          <w:szCs w:val="28"/>
        </w:rPr>
        <w:t>——一项基于社交媒体文本挖掘的分析</w:t>
      </w:r>
    </w:p>
    <w:p w14:paraId="4A169E55" w14:textId="77777777" w:rsidR="001E30B5" w:rsidRDefault="00000000" w:rsidP="000D57FF">
      <w:pPr>
        <w:spacing w:before="240" w:after="120" w:line="300" w:lineRule="auto"/>
        <w:ind w:left="0" w:right="0" w:firstLine="0"/>
        <w:jc w:val="both"/>
        <w:snapToGrid w:val="0"/>
      </w:pPr>
      <w:r>
        <w:rPr>
          <w:rFonts w:ascii="Times New Roman" w:hAnsi="Times New Roman" w:eastAsia="黑体" w:cs="Times New Roman"/>
          <w:b/>
          <w:sz w:val="21"/>
          <w:szCs w:val="21"/>
        </w:rPr>
        <w:t>摘　要：</w:t>
      </w:r>
      <w:r>
        <w:rPr>
          <w:rFonts w:ascii="Times New Roman" w:hAnsi="Times New Roman" w:eastAsia="楷体" w:cs="Times New Roman"/>
          <w:b w:val="0"/>
          <w:sz w:val="21"/>
          <w:szCs w:val="21"/>
        </w:rPr>
        <w:t>随着生成式人工智能逐步进入问诊、报告解读和临床辅助等医疗场景，公众认知已不仅表现为接受或拒绝，还涉及对系统能力、医生角色、应用风险和人机关系的组合判断。既有研究多采用问卷或情景实验测量接受意愿，社交媒体研究则主要关注情感倾向或主题类别，尚难揭示同一态度内部的认知差异。本研究旨在识别生成式人工智能医疗服务相关公共话语中的认知配置，并分析其人机治理含义。本文回溯采集微博、抖音、小红书和知乎中围绕AI医生、AI问诊及医疗大模型的中文评论，经数据清洗、相关性识别和态度分类，获得相关评论103,731条，其中71,886条具有明确态度。在有态度文本中构建评论内词共现网络，以Louvain算法识别的14个词簇为分析单位，从AI能力、医生角色、风险认知和人机关系四个维度进行编码。结果显示，积极评论占相关评论的52.4%，占有态度评论的75.6%；上述比例反映评论的态度分布，而非人群比例。积极态度内部呈现技术崇拜、务实认可和人机协同等不同配置，中立态度主要体现人机协同，消极态度则表现为技术恐惧和风险责任两类配置。研究将公众态度分析由评价效价推进至多维认知配置，表明积极评价并不等同于认可AI独立诊断，风险问责也不必然意味着拒绝技术。研究结果可为医疗机构完善服务分层、能力边界披露、医生复核和责任接口提供参考。</w:t>
      </w:r>
    </w:p>
    <w:p w14:paraId="60C4F11A" w14:textId="77777777" w:rsidR="001E30B5" w:rsidRDefault="00000000">
      <w:pPr>
        <w:spacing w:after="120" w:before="0" w:line="300" w:lineRule="auto"/>
        <w:ind w:left="0" w:right="0" w:firstLine="0"/>
        <w:jc w:val="both"/>
        <w:snapToGrid w:val="0"/>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生成式人工智能；医疗服务管理；认知配置；人机协作；技术治理；社交媒体；词共现网络</w:t>
      </w:r>
    </w:p>
    <w:p>
      <w:pPr>
        <w:spacing w:before="360" w:after="120" w:line="312" w:lineRule="auto"/>
        <w:ind w:left="0" w:right="0" w:firstLine="0"/>
        <w:jc w:val="center"/>
        <w:pageBreakBefore/>
        <w:snapToGrid w:val="0"/>
      </w:pPr>
      <w:r>
        <w:rPr>
          <w:rFonts w:ascii="Times New Roman" w:hAnsi="Times New Roman" w:eastAsia="Times New Roman" w:cs="Times New Roman"/>
          <w:b/>
          <w:sz w:val="32"/>
          <w:szCs w:val="32"/>
        </w:rPr>
        <w:t>Public Cognitive Configurations and Human–AI Governance in Generative AI Healthcare Services</w:t>
      </w:r>
    </w:p>
    <w:p>
      <w:pPr>
        <w:spacing w:before="0" w:after="240" w:line="312" w:lineRule="auto"/>
        <w:ind w:left="0" w:right="0" w:firstLine="0"/>
        <w:jc w:val="center"/>
        <w:snapToGrid w:val="0"/>
      </w:pPr>
      <w:r>
        <w:rPr>
          <w:rFonts w:ascii="Times New Roman" w:hAnsi="Times New Roman" w:eastAsia="Times New Roman" w:cs="Times New Roman"/>
          <w:b w:val="0"/>
          <w:sz w:val="24"/>
          <w:szCs w:val="24"/>
        </w:rPr>
        <w:t>A Social Media Text Mining Study</w:t>
      </w:r>
    </w:p>
    <w:p>
      <w:pPr>
        <w:spacing w:before="120" w:after="120" w:line="300" w:lineRule="auto"/>
        <w:ind w:left="0" w:right="0" w:firstLine="0"/>
        <w:jc w:val="both"/>
        <w:snapToGrid w:val="0"/>
      </w:pPr>
      <w:r>
        <w:rPr>
          <w:rFonts w:ascii="Times New Roman" w:hAnsi="Times New Roman" w:eastAsia="Times New Roman" w:cs="Times New Roman"/>
          <w:b/>
          <w:sz w:val="21"/>
          <w:szCs w:val="21"/>
        </w:rPr>
        <w:t xml:space="preserve">Abstract: </w:t>
      </w:r>
      <w:r>
        <w:rPr>
          <w:rFonts w:ascii="Times New Roman" w:hAnsi="Times New Roman" w:eastAsia="Times New Roman" w:cs="Times New Roman"/>
          <w:b w:val="0"/>
          <w:sz w:val="21"/>
          <w:szCs w:val="21"/>
        </w:rPr>
        <w:t>As generative artificial intelligence (AI) is increasingly used in medical consultation, report interpretation, and clinical support, public cognition extends beyond acceptance or rejection to configurations of perceived system capability, physician roles, application risks, and human–AI relationships. Existing studies have largely measured acceptance through surveys or scenario experiments, while social media research has mainly examined sentiment or topic categories, leaving differences within the same attitude insufficiently explained. This study aimed to identify cognitive configurations in public discourse concerning generative AI healthcare services and examine their implications for human–AI governance. Chinese comments concerning AI doctors, AI consultation, and medical large language models were retrospectively collected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and 14 clusters identified by the Louvain algorithm were coded along four dimensions: AI capability, physician role, risk perception, and the human–AI relationship. Positive comments accounted for 52.4% of all relevant comments and 75.6% of attitude-bearing comments; these percentages describe the distribution of comments rather than people. Positive attitudes comprised technological worship, pragmatic acceptance, and human–AI collaboration; neutral attitudes mainly reflected collaboration, whereas negative attitudes comprised technological fear and risk-accountability. By extending attitude analysis from evaluative valence to multidimensional cognitive configurations, the findings show that positive evaluations do not amount to authorization of independent AI diagnosis and that accountability concerns do not necessarily imply rejection of the technology. The results provide evidence for improving service stratification, capability-boundary disclosure, physician review, and accountability interfaces in healthcare organizations.</w:t>
      </w:r>
    </w:p>
    <w:p>
      <w:pPr>
        <w:spacing w:before="0" w:after="120" w:line="300" w:lineRule="auto"/>
        <w:ind w:left="0" w:right="0" w:firstLine="0"/>
        <w:jc w:val="both"/>
        <w:snapToGrid w:val="0"/>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service management; cognitive configuration; human–AI collaboration; technology governance; social media; word co-occurrence network</w:t>
      </w:r>
    </w:p>
    <w:p w14:paraId="1FB8B44B" w14:textId="69A2D441" w:rsidR="001E30B5" w:rsidRDefault="00000000" w:rsidP="00BC4DCC">
      <w:pPr>
        <w:pStyle w:val="1"/>
        <w:spacing w:after="120" w:before="240" w:line="312" w:lineRule="auto"/>
        <w:ind w:left="0" w:right="0" w:firstLine="0"/>
        <w:jc w:val="left"/>
        <w:pageBreakBefore/>
        <w:snapToGrid w:val="0"/>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left="0" w:right="0" w:firstLine="420"/>
        <w:jc w:val="both"/>
        <w:rPr>
          <w:ins w:id="0" w:author="一帆 张" w:date="2026-08-27T11:46:00Z" w16du:dateUtc="2026-08-27T03:46:00Z"/>
          <w:noProof/>
        </w:rPr>
        <w:snapToGrid w:val="0"/>
      </w:pPr>
      <w:r>
        <w:rPr>
          <w:rFonts w:ascii="Times New Roman" w:hAnsi="Times New Roman" w:eastAsia="宋体" w:cs="Times New Roman"/>
          <w:b w:val="0"/>
          <w:sz w:val="21"/>
          <w:szCs w:val="21"/>
        </w:rPr>
        <w:t>我国医疗服务需求规模庞大，人口老龄化和高频就医需求持续对服务效率与医患沟通提出更高要求。2024年，全国医疗卫生机构总诊疗人次达到101.5亿，每千人口执业（助理）医师为3.61人〔22〕。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left="0" w:right="0" w:firstLine="420"/>
        <w:jc w:val="both"/>
        <w:rPr>
          <w:ins w:id="1" w:author="一帆 张" w:date="2026-08-27T11:48:00Z" w16du:dateUtc="2026-08-27T03:48:00Z"/>
          <w:noProof/>
        </w:rPr>
        <w:snapToGrid w:val="0"/>
      </w:pPr>
      <w:r>
        <w:rPr>
          <w:rFonts w:ascii="Times New Roman" w:hAnsi="Times New Roman" w:eastAsia="宋体" w:cs="Times New Roman"/>
          <w:b w:val="0"/>
          <w:sz w:val="21"/>
          <w:szCs w:val="21"/>
        </w:rPr>
        <w:t>我国相关政策正在形成一般性规范与专项推动并行的制度环境。2025年，国务院《关于深入实施“人工智能+”行动的意见》提出推广高水平居民健康助手，有序推动人工智能在辅助诊疗、健康管理和医保服务等场景的应用〔23〕；五部门随后印发的《关于促进和规范“人工智能+医疗卫生”应用发展的实施意见》，将基层诊疗辅助、临床专病决策和患者就诊服务列为重点方向，同时强调审核评估、风险预警、数据安全和隐私保护〔24〕。这些政策为生成式人工智能进入医疗场景提供了制度基础，但其重点在于有序应用、辅助定位与安全治理，并不意味着认可人工智能独立实施诊疗。</w:t>
      </w:r>
    </w:p>
    <w:p w14:paraId="21035CA2" w14:textId="77777777" w:rsidR="00240035" w:rsidRDefault="00240035">
      <w:pPr>
        <w:spacing w:before="0" w:after="0" w:line="360" w:lineRule="auto"/>
        <w:ind w:left="0" w:right="0" w:firstLine="420"/>
        <w:jc w:val="both"/>
        <w:rPr>
          <w:ins w:id="2" w:author="一帆 张" w:date="2026-08-27T11:49:00Z" w16du:dateUtc="2026-08-27T03:49:00Z"/>
          <w:noProof/>
        </w:rPr>
        <w:snapToGrid w:val="0"/>
      </w:pPr>
      <w:r>
        <w:rPr>
          <w:rFonts w:ascii="Times New Roman" w:hAnsi="Times New Roman" w:eastAsia="宋体" w:cs="Times New Roman"/>
          <w:b w:val="0"/>
          <w:sz w:val="21"/>
          <w:szCs w:val="21"/>
        </w:rPr>
        <w:t>技术发展和政策推动并不会自动转化为公众信任。医疗决策具有专业性强、结果敏感和责任链条复杂等特征，公众可能认可生成式人工智能在信息获取和便捷咨询方面的价值，却未必接受其独立作出诊疗判断〔1,3〕。即使系统具有较高性能，医生在场和治理安排仍会显著影响公众的选择〔2〕。调查研究表明，患者对医疗AI的总体评价可能偏积极，但更倾向于由医生主导决策，并希望获知诊疗中是否使用了人工智能〔6-8,10,17〕。既有实验研究已分别讨论信息质量、医生在场、诊疗来源以及AI参与本身对信任的影响〔1-5,20,21〕，社交媒体研究则显示效能期待、替代想象和人机关系关切往往同时存在〔11-13,19〕，但多止于态度类别、主题类别或选择概率，较少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left="0" w:right="0" w:firstLine="420"/>
        <w:jc w:val="both"/>
        <w:rPr>
          <w:ins w:id="3" w:author="一帆 张" w:date="2026-08-27T11:51:00Z" w16du:dateUtc="2026-08-27T03:51:00Z"/>
          <w:noProof/>
        </w:rPr>
        <w:snapToGrid w:val="0"/>
      </w:pPr>
      <w:r>
        <w:rPr>
          <w:rFonts w:ascii="Times New Roman" w:hAnsi="Times New Roman" w:eastAsia="宋体" w:cs="Times New Roman"/>
          <w:b w:val="0"/>
          <w:sz w:val="21"/>
          <w:szCs w:val="21"/>
        </w:rPr>
        <w:t>基于此，本文以微博、抖音、小红书和知乎中围绕AI医生、AI问诊、医疗大模型及相邻智能医疗服务的自然生成评论为研究材料，按照“态度识别—认知主题提取—认知结构分析—认知模式识别”的路径展开分析。研究首先识别相关评论及其态度类型，继而比较不同态度群体的认知主题与话语结构，最后结合技术接受、算法欣赏、算法厌恶和人机互补理论，从AI能力、医生角色、风险认知和人机关系四个维度归纳典型认知配置。本文的贡献主要体现在三个方面：第一，将公众认知研究由积极、中立和消极的态度效价推进至多维认知配置，以揭示同一态度内部不同的服务授权含义；第二，利用多平台自然生成评论，补充问卷和情景实验受预设选项限制的不足；第三，将认知配置与服务分层、能力披露和责任接口相联系，为区分功能便利与临床信任、使用回避与责任诉求提供分析依据。本文描述的是特定检索条件下的公共话语结构，不将社交媒体评论直接等同于全体公众或患者的实际采纳行为。</w:t>
      </w:r>
    </w:p>
    <w:p w14:paraId="73AE57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2.1　生成式人工智能医疗应用的公众认知与态度</w:t>
      </w:r>
    </w:p>
    <w:p w14:paraId="789A2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技术接受研究通常将感知有用性和感知易用性视为使用意愿的重要前因〔25〕。然而，将公众对生成式人工智能医疗应用的接受仅还原为效用判断，难以反映医疗决策的特殊性。由于诊疗错误可能产生较高后果，公众还会同时考虑系统能否独立作出诊断、医生是否参与以及不良后果由谁承担。Liu等的情景实验表明，提高诊断透明度和论证质量，可以通过感知专业性与认知信任增强公众对AI独立诊断的采纳意愿〔1〕。Bracic等进一步发现，系统性能是影响就诊选择的重要属性，而医生在场和治理认证同样能够提高选择概率〔2〕。这些研究共同说明，信息质量和系统性能能够促进技术采纳，但采纳意愿的提高并不等同于公众认可AI脱离医生监督独立实施诊疗。</w:t>
      </w:r>
    </w:p>
    <w:p w14:paraId="4CDEC9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除系统性能与信息质量外，人工智能身份披露和医生参与方式也会影响公众评价。在建议内容相同的情况下，将建议标注为由AI生成或由医生与AI共同生成，可能降低公众对其可靠性和遵从意愿的评价〔4〕；医生简介中出现AI辅助诊断信息，也可能降低患者信任和求助意愿〔5〕。与执业护士提供的健康建议相比，公众仍对人类来源表现出更高信任〔21〕；即使AI起草的患者门户消息在内容评价上较高，披露AI来源后满意度仍可能下降〔20〕。调查与实验研究总体表明，公众可以对医疗AI持积极态度，但仍倾向于保留医生的决策主导权，并要求系统具有可解释性〔6-8,17〕。诊断解释虽然能够改善评价，却不足以使AI独立问诊成为更可接受的方案〔3〕。此外，对医生和卫生系统的信任比一般技术乐观更能预测公众对医疗AI的期待〔9〕，相当比例的受访者要求获知诊疗过程中是否使用人工智能〔10〕。由此可见，公众接受具有明显的条件性；但现有研究主要提供分项得分或选择概率，仍难揭示不同判断在自然话语中如何共同出现。</w:t>
      </w:r>
    </w:p>
    <w:p w14:paraId="19EB4C29"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相较于预设构念的问卷与实验，社交媒体评论能够呈现评论者自主组织的表达，因而更适合观察系统能力、医生角色和风险判断如何共同进入公共话语。然而，已有社交媒体研究多以情感极性或主题类别作为分析终点。Gao等对2017年微博医疗人工智能讨论的分析显示，有明确态度的文本以积极评价为主，同时涉及技术收益、社会风险以及AI能否取代医生等议题〔11〕。由于该语料形成于大语言模型广泛进入日常医疗咨询之前，其结论不能直接外推至生成式人工智能医疗应用；同时，单一极性分类也难以说明功能认可、替代想象和风险担忧之间的组合关系。</w:t>
      </w:r>
    </w:p>
    <w:p w14:paraId="72D58CB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生成式模型进入日常应用后，相关研究的观察对象有所扩展，但多数研究仍主要关注总体情感与议题分布。基于中国社交媒体的研究将公众对ChatGPT的讨论概括为技术效能、工作与教育影响，以及虚假信息、就业替代和人机关系等议题〔12〕；X平台上的健康AI讨论总体呈现积极情感，而隐私和人机对齐问题更容易引发担忧〔13〕。接触ChatGPT可能使原本态度不确定者更倾向于认可医疗AI的潜在收益，但对已经形成明确态度者的影响相对有限〔19〕。这些研究揭示了公众讨论的主要内容及评价方向，却尚未充分解释相同态度内部的认知差异。对技术效能的肯定可能对应独立诊疗能力信赖，也可能仅表示对功能便利性的认可；消极表达则可能分别源于使用回避、替代焦虑或误诊责任追问。因此，有必要在态度效价之外，比较AI能力、医生角色、风险认知和人机关系的组合方式。</w:t>
      </w:r>
    </w:p>
    <w:p w14:paraId="05846828"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2.2　生成式人工智能医疗应用认知中的算法欣赏与算法厌恶</w:t>
      </w:r>
    </w:p>
    <w:p w14:paraId="439C7D0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算法欣赏与算法厌恶为解释同一态度内部的差异化判断提供了理论视角。算法厌恶表现为个体在观察到算法错误后降低对其依赖，即使算法总体表现仍优于人类判断〔30〕；算法欣赏则体现为在特定任务中更愿意采用算法建议。生成式人工智能以流畅且具有确定性的语言生成回答，可能提高公众对其专业性的判断，而模型幻觉和误诊后果又可能显著降低依赖。公众对医疗AI的抗拒既可能源于算法黑箱，也可能源于对医生决策过程的主观熟悉感〔18〕。临床研究还发现，高专长医生会对标注为AI来源的建议给出更低质量评价，但不准确建议无论被标注为人类还是AI来源，均可能降低诊断准确性〔14〕，说明表达出的负面评价并不必然对应行为上的完全拒绝。由此，算法欣赏不能直接等同于积极态度，算法厌恶也不能简单等同于消极态度。现有社交媒体研究报告的积极倾向或技术效能议题〔11-13〕，仍不足以区分积极评价源于能力信赖、功能便利还是协作期待，也难以区分消极评价源于能力怀疑、替代焦虑还是责任诉求。</w:t>
      </w:r>
    </w:p>
    <w:p w14:paraId="65746B39"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2.3　人机互补与生成式人工智能医疗应用的理性认知</w:t>
      </w:r>
    </w:p>
    <w:p w14:paraId="3E425E12"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由于算法欣赏不等同于授权AI独立诊疗，算法厌恶也不意味着拒绝一切辅助应用，因此还需要从人机关系层面判断公众认知是否与技术能力边界相匹配。人机互补理论强调，人工智能价值的实现并不以完全替代人类为前提，而在于根据双方能力边界进行任务分工，使组合绩效超过任一主体单独行动〔15〕。生成式模型在信息检索、文本生成、模式归纳和高频交互方面具有优势，医生则承担情境化临床判断、身体检查、价值权衡、同理沟通和最终责任。已部署临床机器学习系统的使用者也更倾向于将系统视为协作对象，而非人类判断的替代者〔16〕。本文所称理性认知并非对评论者进行价值分级，而是指对系统能力、适用边界、潜在风险和责任机制形成相互匹配的判断。将流畅表达直接理解为独立诊疗能力，或因潜在错误而否定全部辅助价值，均不符合这一要求；更为适当的认知是将技术置于具有明确适用范围、医生监督和可追溯责任的协作结构之中。</w:t>
      </w:r>
    </w:p>
    <w:p w14:paraId="131FB5C1" w14:textId="77777777" w:rsidR="00C40098"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既有实验通常分别测量有用性、医生参与、来源标注和知情要求，而社交媒体评论可能在同一表达中同时呈现这些判断。为连接结构化测量与自然话语，本文从四个相互关联但不可替代的维度刻画认知配置：第一，AI能力认知，关注系统被理解为能够独立诊疗、有限度辅助还是基本不可用；第二，医生角色认知，关注医生被弱化、被明确为把关者还是被强化为唯一可信主体；第三，风险认知，关注误诊、幻觉、监管和责任在话语中被忽视、被正视还是被夸大；第四，人机关系认知，关注AI与医生被理解为替代、协同还是排斥关系。后续分析依据上述四个维度开展编码，五种认知模式则在词簇编码完成后归纳形成，而非在研究开始前预设。</w:t>
      </w:r>
    </w:p>
    <w:p w14:paraId="428C5F1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据此，本文提出以下研究问题：RQ1，社交媒体中与生成式人工智能医疗应用相关的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本研究基于微博、抖音、小红书和知乎中关于AI医生、AI问诊及医疗大模型等应用的自然生成评论，采用“态度识别—认知主题提取—认知结构分析—认知模式识别”的递进式研究框架。首先，获取并清洗多平台评论，以形成用于分析的公共话语语料；其次，通过相关性识别和态度分类，区分无态度、积极、中立和消极评论；再次，在有明确态度的评论中提取高频词和TF-IDF特征，构建评论内词共现网络，并通过Louvain算法识别认知词簇；最后，结合算法欣赏、算法厌恶和人机互补理论，从AI能力、医生角色、风险认知和人机关系四个维度对词簇进行编码，进而归纳典型认知模式。整体研究流程见图1。</w:t>
      </w:r>
    </w:p>
    <w:p w14:paraId="719B1798"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鉴于全量人工标注成本较高，本文采用“大语言模型生成训练集银标准—人工构建验证集和测试集金标准—编码器完成全量推理”的流程。大语言模型仅用于标注训练集，验证集和测试集均由人工标注。相关性和态度分类均采用中文预训练编码器MacBERT，输入文本由帖子标题与评论正文拼接构成，并依据验证集Macro-F1选择最优模型。</w:t>
      </w:r>
    </w:p>
    <w:p w14:paraId="1FEE2C95"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相关性任务从清洗后语料中随机抽取3,000条评论，按照2,400、300和300条划分训练集、验证集和测试集。训练集由DeepSeek在温度设为0时生成银标准，并从中分层抽取100条进行人工盲标，人机一致率为92.0%，Cohen’s κ为0.829〔27〕；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态度分类只能反映评价方向。为进一步考察不同判断如何在同一评论中共同出现，本文首先在三个态度组内统计高频词并计算平均TF-IDF〔29〕，以降低组内常见词的权重，突出具有区分度的表达；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共词分析可用于揭示概念之间的关联结构〔31〕，Louvain算法则依据模块度识别网络社区〔28〕。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绝对阈值与随机种子用于保证同一语料上的可复现划分；解释只针对关键词、关联对象和词簇语义，不以社区规模比较态度组，也不把簇规模当作人群比例。微博占清洗后语料的84.6%，平台间样本量悬殊，故不做跨平台模式比较。词簇名称依据代表词及其对应原始评论确定，并非算法自动生成。</w:t>
      </w:r>
    </w:p>
    <w:p w14:paraId="3183CB0A"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词簇揭示经验性话语结构，其理论含义仍需进一步编码。本文采用导向性内容分析方法〔26〕，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四个维度均设置三个互斥水平：AI能力分为高估、合理和低估，医生角色分为弱化、边界明确和强化，风险认知分为忽视、正视和夸大，人机关系分为替代、协同和排斥。编码依据词簇的主导话语，而非单个关键词。例如，“AI”与“医生”同时出现并不必然表示协同；只有当原评论明确将AI定位为辅助或参考工具，并保留医生把关时，才编码为协同。具体操作规则见表1。</w:t>
      </w:r>
    </w:p>
    <w:p w14:paraId="507F71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高估/低估”和“忽视/夸大”均相对于人机互补与适当依赖框架作出解释，不构成对具体系统临床性能的技术鉴定。两名编码者首先独立完成四维编码，再依据配置相似性和语义逻辑归入初步模式；配置相近且解释逻辑一致的词簇予以合并，责任逻辑不同的词簇则分别处理。编码过程中双方互不查看对方结果，以类型归属计算Cohen’s κ〔27〕；出现分歧时，重新核对代表词、共现关系和原始评论并协商确定。模式名称在编码完成后归纳形成，并非事先设定。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5C3F4F26"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462F70B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left="0" w:right="0" w:firstLine="0"/>
        <w:jc w:val="center"/>
        <w:snapToGrid w:val="0"/>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2　Attitude distribution of relevant comments (N = 103,731)</w:t>
      </w:r>
    </w:p>
    <w:p w14:paraId="1AF3107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C92D2A6"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left="0" w:right="0" w:firstLine="0"/>
        <w:jc w:val="center"/>
        <w:keepLines/>
        <w:snapToGrid w:val="0"/>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left="0" w:right="0" w:firstLine="420"/>
        <w:jc w:val="both"/>
        <w:rPr>
          <w:noProof/>
        </w:rPr>
        <w:snapToGrid w:val="0"/>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47250C38"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vMerge w:val="restart"/>
            <w:tcBorders>
              <w:top w:val="nil" w:sz="0" w:space="0" w:color="000000"/>
              <w:left w:val="nil" w:sz="0" w:space="0" w:color="000000"/>
              <w:bottom w:val="nil" w:sz="0" w:space="0" w:color="000000"/>
              <w:right w:val="nil" w:sz="0" w:space="0" w:color="000000"/>
            </w:tcBorders>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06CE30C2"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left="0" w:right="0" w:firstLine="0"/>
        <w:jc w:val="center"/>
        <w:snapToGrid w:val="0"/>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left="0" w:firstLine="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left="0" w:right="0" w:firstLine="0"/>
        <w:jc w:val="center"/>
        <w:pageBreakBefore/>
        <w:snapToGrid w:val="0"/>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left="0" w:right="0" w:firstLine="0"/>
        <w:jc w:val="center"/>
        <w:snapToGrid w:val="0"/>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left="0" w:right="0" w:firstLine="0"/>
        <w:jc w:val="center"/>
        <w:keepLines/>
        <w:snapToGrid w:val="0"/>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五种模式并非依据态度类别直接命名，而是在比较词簇四维配置的基础上，结合算法欣赏、算法厌恶和人机互补理论归纳形成（表10）。积极簇1同时呈现能力高估、医生弱化、风险忽视和人机替代，其话语将系统的专业性和流畅性进一步推及独立诊疗能力，与未充分校准的算法欣赏相一致，因而归纳为技术崇拜型。积极簇2和簇4主要围绕问诊购药便利与技术前景展开，较少讨论医生角色和潜在风险，评价依据集中于现实功能和发展收益，因此归纳为务实认可型。积极簇3、簇5以及中立组的5个词簇均将AI定位为助手、参考或信息处理工具，并保留医生的判断角色，与人机互补逻辑较为一致，因而归纳为人机协同型；其中积极词簇较少涉及风险，中立词簇则更明确地表达能力边界。</w:t>
      </w:r>
    </w:p>
    <w:p w14:paraId="2A66C7B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消极簇1、簇2和簇4主要体现能力怀疑、医生角色强化或人机排斥，其核心表达涉及不敢使用、拒绝使用或替代担忧，与算法厌恶所描述的低依赖倾向较为一致，因而归纳为技术恐惧型。消极簇3同样强化医生角色并排斥AI独立决策，但其主导话语集中于误诊责任和可追溯性，因此单独归纳为风险责任型。人机协同型共包含7个词簇，但词簇数量不等同于评论占比。上述五种模式用于比较公共话语中的典型认知配置，不代表五类稳定人群，也不用于估计各模式的社会分布。</w:t>
      </w:r>
    </w:p>
    <w:p w14:paraId="44087CA4" w14:textId="77777777" w:rsidR="001E30B5" w:rsidRPr="00CF675D" w:rsidRDefault="00000000" w:rsidP="00CF675D">
      <w:pPr>
        <w:keepNext/>
        <w:keepLines/>
        <w:spacing w:before="160" w:after="0" w:line="240" w:lineRule="auto"/>
        <w:ind w:left="0" w:right="0" w:firstLine="0"/>
        <w:jc w:val="center"/>
        <w:pageBreakBefore/>
        <w:snapToGrid w:val="0"/>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left="0" w:right="0" w:firstLine="0"/>
        <w:jc w:val="center"/>
        <w:keepLines/>
        <w:snapToGrid w:val="0"/>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left="0" w:firstLine="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left="0" w:firstLine="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研究结果表明，检索范围内的相关评论总体呈现积极倾向，但态度极性不足以概括其内部认知结构：积极评价可能分别基于能力信赖、功能便利或人机协作，消极评价也可能源于能力怀疑、替代焦虑或责任追问。以下结合算法欣赏、算法厌恶和人机互补理论，对上述差异进行讨论。</w:t>
      </w:r>
    </w:p>
    <w:p w14:paraId="65189A1E"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积极态度并不对应单一的技术接受方式。技术崇拜型将系统的流畅表达、专业性和随时响应等特征延伸理解为独立诊疗能力，表现出较强的算法欣赏倾向，同时弱化医生监督并较少关注误诊责任。务实认可型主要围绕买药、问诊、信息获取和技术前景展开，其评价基础更接近感知有用性和便利性〔25〕，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上述发现进一步细化了既有技术接受研究。已有研究表明，信息质量能够通过感知专业性和认知信任影响独立诊断采纳〔1〕，系统表现也会提高就诊选择概率〔2〕；但医生在场仍能增强信任〔2〕，披露AI参与则可能降低评价和求助意愿〔4,5,20,21〕。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5.2　人机互补与理性认知的形成</w:t>
      </w:r>
    </w:p>
    <w:p w14:paraId="1B8DE0F7"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15〕。Henry等关于临床人机协作的发现，以及Guo和Chen、Bracic等、Busch等关于医生参与和医生主导决策的证据，也表明公众和临床使用者对医疗AI的接受与医生把关密切相关〔2,3,6,16〕。由此可见，人机协同不仅是一种系统设计原则，也构成公众理解医疗AI角色边界的重要话语方式。</w:t>
      </w:r>
    </w:p>
    <w:p w14:paraId="2CFC15EF"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需要指出的是，理性认知并不等同于中立态度，也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谓理性认知，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消极态度内部同样包含不同解释机制。技术恐惧型以“不行”“不敢”“瞎编”“无法取代”等表达为主，其话语特征与见到错误后回避算法的倾向较为一致〔30〕，既包括对系统能力的怀疑，也包括对医生职业被替代的担忧。Gaube等指出，对AI建议的口头贬损并不必然对应行为上的完全拒斥〔14〕，因而技术恐惧型话语中的能力怀疑与替代焦虑，也不宜直接等同于拒绝一切辅助使用。风险责任型则不必然否定技术的辅助价值，其核心在于追问发生误诊后由谁承担责任、由谁复核以及如何获得救济。在“误诊了算谁的？AI能负责吗？”等评论中，医生角色被强化主要源于对责任主体和复核机制的要求。这与调查中公众普遍要求获知诊疗是否使用AI的发现相一致〔10〕；Cavalier等亦显示，即使内容评价可能偏向AI起草文本，标明AI来源仍会改变满意度〔20〕。由此可见，一般技术排斥与制度性问责不宜混为一谈。</w:t>
      </w:r>
    </w:p>
    <w:p w14:paraId="0DD8C431"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5.4　理论贡献与服务治理启示</w:t>
      </w:r>
    </w:p>
    <w:p w14:paraId="4FEB46B2"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本文的理论贡献主要体现在三个方面。第一，研究将公众对生成式人工智能医疗服务的评价由接受或拒绝的单一效价推进至多维认知配置，说明相同态度可能由不同的能力判断、医生角色、风险认知和人机关系共同构成。第二，研究表明算法欣赏与算法厌恶〔30〕并不与正负态度形成一一对应关系：积极评价可能源于独立能力信赖、功能认可或协作期待，消极表达也可能源于能力怀疑、替代焦虑或制度性问责。第三，研究引入人机互补理论〔15〕区分协同、替代和排斥关系，将社交媒体话语中的认知差异与医疗服务中的角色配置相联系。由此，本文不仅识别公众讨论的评价方向，也进一步解释不同评价所包含的服务授权与治理含义。</w:t>
      </w:r>
    </w:p>
    <w:p w14:paraId="1003EBAA"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上述认知模式为医疗服务治理提供了差异化的问题线索，但并不意味着可以据此识别并分类管理具体用户。务实认可型主要关注购药、导诊和信息查询的便利性，提示医疗机构应区分低风险信息服务与诊断决策，避免以统一的“智能问诊”概念模糊不同功能。技术崇拜型将流畅交互外推为独立诊疗能力，因此有必要在问诊和报告解读入口明确说明能力边界、错误可能和医生复核机制。人机协同型认可技术的辅助价值，但对风险和责任讨论相对不足，宜将医生把关设置为基本流程，并说明适用病情与责任边界。针对技术恐惧型所包含的能力怀疑和替代焦虑，应依据具体任务说明系统能够完成和不能完成的事项，避免笼统强调技术安全。风险责任型则提示机构公开审核环节、责任主体、异议渠道和损害救济，并告知患者何时使用了人工智能〔10,20〕。五种模式的服务治理含义见表11。Nong和Ji的研究亦表明，如果技术应用未能兑现公众对医患关系和服务可及性的期待，可能进一步削弱既有信任〔9〕。</w:t>
      </w:r>
    </w:p>
    <w:p w14:paraId="1003EBAA" w14:textId="77777777" w:rsidR="001E30B5" w:rsidRDefault="00000000">
      <w:pPr>
        <w:spacing w:before="160" w:after="0" w:line="240" w:lineRule="auto"/>
        <w:ind w:left="0" w:right="0" w:firstLine="0"/>
        <w:jc w:val="center"/>
        <w:keepNext/>
        <w:keepLines/>
        <w:snapToGrid w:val="0"/>
      </w:pPr>
      <w:r>
        <w:rPr>
          <w:rFonts w:ascii="Times New Roman" w:hAnsi="Times New Roman" w:eastAsia="黑体" w:cs="Times New Roman"/>
          <w:b w:val="0"/>
          <w:sz w:val="18"/>
          <w:szCs w:val="18"/>
        </w:rPr>
        <w:t>表11　五种认知模式的服务治理含义</w:t>
      </w:r>
    </w:p>
    <w:p w14:paraId="1003EBAA" w14:textId="77777777" w:rsidR="001E30B5" w:rsidRDefault="00000000">
      <w:pPr>
        <w:spacing w:before="0" w:after="80" w:line="240" w:lineRule="auto"/>
        <w:ind w:left="0" w:right="0" w:firstLine="0"/>
        <w:jc w:val="center"/>
        <w:keepNext/>
        <w:keepLines/>
        <w:snapToGrid w:val="0"/>
      </w:pPr>
      <w:r>
        <w:rPr>
          <w:rFonts w:ascii="Times New Roman" w:hAnsi="Times New Roman" w:eastAsia="Times New Roman" w:cs="Times New Roman"/>
          <w:b w:val="0"/>
          <w:sz w:val="18"/>
          <w:szCs w:val="18"/>
        </w:rPr>
        <w:t>Table 11　Service governance implications of the five cognitive patterns</w:t>
      </w:r>
    </w:p>
    <w:tbl>
      <w:tblPr>
        <w:tblW w:type="pct" w:w="5000"/>
        <w:tblLayout w:type="fixed"/>
        <w:tblLook w:firstColumn="1" w:firstRow="1" w:lastColumn="0" w:lastRow="0" w:noHBand="0" w:noVBand="1" w:val="04A0"/>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61"/>
        <w:gridCol w:w="3005"/>
        <w:gridCol w:w="4422"/>
      </w:tblGrid>
      <w:tr>
        <w:trPr>
          <w:cantSplit/>
          <w:tblHeader/>
        </w:trPr>
        <w:tc>
          <w:tcPr>
            <w:tcW w:type="dxa" w:w="1361"/>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认知模式</w:t>
            </w:r>
          </w:p>
        </w:tc>
        <w:tc>
          <w:tcPr>
            <w:tcW w:type="dxa" w:w="3005"/>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对应的管理问题</w:t>
            </w:r>
          </w:p>
        </w:tc>
        <w:tc>
          <w:tcPr>
            <w:tcW w:type="dxa" w:w="4422"/>
            <w:vAlign w:val="center"/>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服务与治理安排</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技术崇拜型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把流畅交互当成独立诊疗授权，弱化医生复核</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在问诊和报告解读入口说明能力边界、错误可能和强制医生复核</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务实认可型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用购药、导诊和查询便利代替临床信任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将低风险信息服务与诊断决策分层提供，避免同一套智能问诊包装</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人机协同型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接受辅助，但较少讨论误诊和责任</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把医生把关设为默认流程，并补充适用病情、数据来源和责任说明</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技术恐惧型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能力怀疑与替代焦虑叠加，可能连低风险辅助一并拒绝</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按具体任务说明系统能做与不能做的，而不是笼统宣传技术安全</w:t>
            </w:r>
          </w:p>
        </w:tc>
      </w:tr>
      <w:tr>
        <w:trPr>
          <w:cantSplit/>
        </w:trPr>
        <w:tc>
          <w:tcPr>
            <w:tcW w:type="dxa" w:w="1361"/>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val="0"/>
                <w:sz w:val="18"/>
                <w:szCs w:val="18"/>
              </w:rPr>
              <w:t>风险责任型</w:t>
            </w:r>
          </w:p>
        </w:tc>
        <w:tc>
          <w:tcPr>
            <w:tcW w:type="dxa" w:w="3005"/>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追问误诊后的责任主体、复核人和救济渠道</w:t>
            </w:r>
          </w:p>
        </w:tc>
        <w:tc>
          <w:tcPr>
            <w:tcW w:type="dxa" w:w="442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left"/>
            </w:pPr>
            <w:r>
              <w:rPr>
                <w:rFonts w:ascii="Times New Roman" w:hAnsi="Times New Roman" w:eastAsia="宋体" w:cs="Times New Roman"/>
                <w:b w:val="0"/>
                <w:sz w:val="18"/>
                <w:szCs w:val="18"/>
              </w:rPr>
              <w:t>公开审核环节、责任人、异议渠道和损害救济，并告知何时使用了AI</w:t>
            </w:r>
          </w:p>
        </w:tc>
      </w:tr>
    </w:tbl>
    <w:p w14:paraId="017499CD"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left="0" w:right="0" w:firstLine="0"/>
        <w:jc w:val="left"/>
        <w:rPr>
          <w:rFonts w:cs="Times New Roman"/>
        </w:rPr>
        <w:snapToGrid w:val="0"/>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left="0" w:right="0" w:firstLine="420"/>
        <w:jc w:val="both"/>
        <w:snapToGrid w:val="0"/>
      </w:pPr>
      <w:r>
        <w:rPr>
          <w:rFonts w:ascii="Times New Roman" w:hAnsi="Times New Roman" w:eastAsia="宋体" w:cs="Times New Roman"/>
          <w:b w:val="0"/>
          <w:sz w:val="21"/>
          <w:szCs w:val="21"/>
        </w:rPr>
        <w:t>本文基于多平台社交媒体评论，构建了由态度效价、认知主题、词语共现结构到认知配置的分析链条。模型识别结果显示，积极评论占相关评论的52.4%，占有态度评论的75.6%；上述比例仅反映评论态度分布，不代表人群比例。进一步分析发现，积极态度内部呈现技术崇拜、务实认可和人机协同等不同配置，中立态度主要体现人机协同，消极态度则表现为技术恐惧和风险责任两类配置。五种模式以词簇为分析单位，其包含的词簇数量不能用于推断相应评论或人群比例。研究表明，公众对生成式人工智能医疗应用的认知不能被简单概括为接受或拒绝，而应从AI能力、医生角色、风险认知和人机关系的组合加以理解。对医疗机构而言，积极评价不能作为取消医生把关或授权AI独立诊断的依据；风险责任型话语也不意味着应当撤回全部辅助应用，而是提示机构将复核、问责和救济机制纳入服务流程。</w:t>
      </w:r>
    </w:p>
    <w:p w14:paraId="256B9903" w14:textId="77777777" w:rsidR="001E30B5" w:rsidRDefault="00000000">
      <w:pPr>
        <w:pStyle w:val="21"/>
        <w:spacing w:before="160" w:after="80" w:line="312" w:lineRule="auto"/>
        <w:ind w:left="0" w:right="0" w:firstLine="0"/>
        <w:jc w:val="left"/>
        <w:snapToGrid w:val="0"/>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left="0" w:right="0" w:firstLine="420"/>
        <w:jc w:val="both"/>
        <w:snapToGrid w:val="0"/>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2EE5954A" w14:textId="77777777" w:rsidR="001E30B5" w:rsidRDefault="00000000">
      <w:pPr>
        <w:pStyle w:val="1"/>
        <w:spacing w:before="240" w:after="120" w:line="312" w:lineRule="auto"/>
        <w:ind w:left="0" w:right="0" w:firstLine="0"/>
        <w:jc w:val="left"/>
        <w:snapToGrid w:val="0"/>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9(3): e260815. DOI: 10.1001/jamanetworkopen.2026.0815.</w:t>
      </w:r>
    </w:p>
    <w:p w14:paraId="0BC197D0"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CE9B7CB"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[4]　Reis M, Reis F, Kunde W. Influence of believed AI involvement on the perception of digital medical advice[J]. Nature Medicine, 2024, 30(11): 3098-3100.</w:t>
      </w:r>
    </w:p>
    <w:p w14:paraId="4D3CA72F"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[5]　Chen C, Cui Z. Impact of AI-assisted diagnosis on American patients’ trust in and intention to seek help from health care professionals: Randomized, web-based survey experiment[J]. Journal of Medical Internet Research, 2025, 27: e66083.</w:t>
      </w:r>
    </w:p>
    <w:p w14:paraId="1894AE76"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[6]　Busch F, Hoffmann L, Xu L, et al. Multinational attitudes toward AI in health care and diagnostics among hospital patients[J]. JAMA Network Open, 2025, 8(6): e2514452.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[7]　Khullar D, Casalino L P, Qian Y, et al. Perspectives of patients about artificial intelligence in health care[J]. JAMA Network Open, 2022, 5(5): e2210309.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[8]　Beets B, Newman T P, Howell E L, et al. Surveying public perceptions of artificial intelligence in health care in the United States: Systematic review[J]. Journal of Medical Internet Research, 2023, 25: e40337.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[9]　Nong P, Ji M. Expectations of healthcare AI and the role of trust: Understanding patient views on how AI will impact cost, access, and patient-provider relationships[J]. Journal of the American Medical Informatics Association, 2025, 32(5): 795-799.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[10]　Platt J, Nong P, Carmona G, et al. Public attitudes toward notification of use of artificial intelligence in health care[J]. JAMA Network Open, 2024, 7(12): e2450102.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[11]　Gao S, He L, Chen Y, et al. Public perception of artificial intelligence in medical care: Content analysis of social media[J]. Journal of Medical Internet Research, 2020, 22(7): e16649.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[12]　Lian Y, Tang H, Xiang M, et al. Public attitudes and sentiments toward ChatGPT in China: A text mining analysis based on social media[J]. Technology in Society, 2024, 76: 102442.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[13]　Wass L M, Wu Z, Vizoso J, et al. Global sentiment toward health AI at the dawn of the ChatGPT era: Empirical analysis of Twitter (X) discourse[J]. Journal of Medical Internet Research, 2026, 28: e80346.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[14]　Gaube S, Suresh H, Raue M, et al. Do as AI say: Susceptibility in deployment of clinical decision-aids[J]. npj Digital Medicine, 2021, 4: 31.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[15]　Hemmer P, Schemmer M, Kühl N, et al. Complementarity in human-AI collaboration: Concept, sources, and evidence[J]. European Journal of Information Systems, 2025, 34(6): 979-1002.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[16]　Henry K E, Kornfield R, Sridharan A, et al. Human-machine teaming is key to AI adoption: Clinicians’ experiences with a deployed machine learning system[J]. npj Digital Medicine, 2022, 5: 97.</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[17]　Young A T, Amara D, Bhattacharya A, et al. Patient and general public attitudes towards clinical artificial intelligence: A mixed methods systematic review[J]. The Lancet Digital Health, 2021, 3(9): e599-e611.</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[18]　Cadario R, Longoni C, Morewedge C K. Understanding, explaining, and utilizing medical artificial intelligence[J]. Nature Human Behaviour, 2021, 5(12): 1636-1642.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[19]　Isaksen A A, Schaarup J R, Bjerg L, et al. Changes in public perception of artificial intelligence in healthcare after exposure to ChatGPT[J]. npj Digital Medicine, 2025, 8: 795.</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[20]　Cavalier J S, Goldstein B A, Ravitsky V, et al. Ethics in patient preferences for artificial intelligence-drafted responses to electronic messages[J]. JAMA Network Open, 2025, 8(3): e250449.</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[21]　Landrum A R, Verma N, Kehrberg A. Trusting generative AI for health advice: Preregistered survey experiment[J]. Journal of Medical Internet Research, 2026, 28: e97882.</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[22]　国家卫生健康委员会. 2024年我国卫生健康事业发展统计公报[EB/OL]. (2025-12-01)[2026-08-28]. https://www.nhc.gov.cn/guihuaxxs/c100133/202512/f1c3a3c617484a27a1a26a468afbaeee/files/2024年我国卫生健康事业发展统计公报-20251201161542231.pdf.</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[23]　国务院. 关于深入实施“人工智能+”行动的意见: 国发〔2025〕11号[EB/OL]. (2025-08-21)[2026-08-28]. https://www.gov.cn/zhengce/content/202508/content_7037861.htm.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[24]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[25]　Davis F D. Perceived usefulness, perceived ease of use, and user acceptance of information technology[J]. MIS Quarterly, 1989, 13(3): 319-340.</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[26]　Hsieh H F, Shannon S E. Three approaches to qualitative content analysis[J]. Qualitative Health Research, 2005, 15(9): 1277-1288.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[27]　Cohen J. A coefficient of agreement for nominal scales[J]. Educational and Psychological Measurement, 1960, 20(1): 37-46.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[28]　Blondel V D, Guillaume J L, Lambiotte R, et al. Fast unfolding of communities in large networks[J]. Journal of Statistical Mechanics: Theory and Experiment, 2008, 2008(10): P10008.</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[29]　Salton G, Buckley C. Term-weighting approaches in automatic text retrieval[J]. Information Processing &amp; Management, 1988, 24(5): 513-523.</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[30]　Dietvorst B J, Simmons J P, Massey C. Algorithm aversion: People erroneously avoid algorithms after seeing them err[J]. Journal of Experimental Psychology: General, 2015, 144(1): 114-126.</w:t>
      </w:r>
    </w:p>
    <w:p w14:paraId="1AF5AC6D" w14:textId="77777777" w:rsidR="001E30B5" w:rsidRDefault="00000000">
      <w:pPr>
        <w:spacing w:after="40" w:before="0" w:line="276" w:lineRule="auto"/>
        <w:ind w:left="420" w:right="0" w:hanging="420"/>
        <w:jc w:val="both"/>
        <w:snapToGrid w:val="0"/>
      </w:pPr>
      <w:r>
        <w:rPr>
          <w:rFonts w:ascii="Times New Roman" w:hAnsi="Times New Roman" w:eastAsia="宋体" w:cs="Times New Roman"/>
          <w:b w:val="0"/>
          <w:sz w:val="18"/>
          <w:szCs w:val="18"/>
        </w:rPr>
        <w:t>[31]　Callon M, Courtial J P, Turner W A, et al. From translations to problematic networks: An introduction to co-word analysis[J]. Social Science Information, 1983, 22(2): 191-235.</w:t>
      </w:r>
    </w:p>
    <w:sectPr w:rsidR="001E30B5" w:rsidSect="00034616">
      <w:headerReference w:type="default" r:id="rId15"/>
      <w:footerReference w:type="default" r:id="rId16"/>
      <w:pgSz w:w="11906" w:h="16838"/>
      <w:pgMar w:top="1440" w:right="1440" w:bottom="1440" w:left="1440" w:header="850" w:footer="850" w:gutter="0"/>
      <w:cols w:space="720"/>
      <w:docGrid w:type="non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spacing w:before="0" w:after="0" w:line="240" w:lineRule="auto"/>
      <w:ind w:firstLine="0" w:left="0" w:right="0"/>
      <w:jc w:val="center"/>
      <w:snapToGrid w:val="0"/>
    </w:pPr>
    <w:r>
      <w:rPr>
        <w:rFonts w:eastAsia="Times New Roman" w:ascii="Times New Roman" w:hAnsi="Times New Roman" w:cs="Times New Roman"/>
        <w:b w:val="0"/>
        <w:noProof/>
        <w:sz w:val="18"/>
        <w:szCs w:val="18"/>
      </w:rPr>
      <w:fldChar w:fldCharType="begin"/>
    </w:r>
    <w:r>
      <w:rPr>
        <w:rFonts w:eastAsia="Times New Roman" w:ascii="Times New Roman" w:hAnsi="Times New Roman" w:cs="Times New Roman"/>
        <w:b w:val="0"/>
        <w:noProof/>
        <w:sz w:val="18"/>
        <w:szCs w:val="18"/>
      </w:rPr>
      <w:instrText xml:space="preserve"> PAGE </w:instrText>
    </w:r>
    <w:r>
      <w:rPr>
        <w:rFonts w:eastAsia="Times New Roman" w:ascii="Times New Roman" w:hAnsi="Times New Roman" w:cs="Times New Roman"/>
        <w:b w:val="0"/>
        <w:noProof/>
        <w:sz w:val="18"/>
        <w:szCs w:val="18"/>
      </w:rPr>
      <w:fldChar w:fldCharType="separate"/>
    </w:r>
    <w:r w:rsidR="00A61BFA">
      <w:rPr>
        <w:rFonts w:eastAsia="Times New Roman" w:ascii="Times New Roman" w:hAnsi="Times New Roman" w:cs="Times New Roman"/>
        <w:b w:val="0"/>
        <w:noProof/>
        <w:sz w:val="18"/>
        <w:szCs w:val="18"/>
      </w:rPr>
      <w:t>1</w:t>
    </w:r>
    <w:r>
      <w:rPr>
        <w:rFonts w:eastAsia="Times New Roman" w:ascii="Times New Roman" w:hAnsi="Times New Roman" w:cs="Times New Roman"/>
        <w:b w:val="0"/>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pPr>
      <w:spacing w:before="0" w:after="0" w:line="240" w:lineRule="auto"/>
      <w:ind w:firstLine="0" w:left="0" w:right="0"/>
      <w:jc w:val="center"/>
      <w:snapToGrid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eastAsia="宋体" w:cs="Times New Roman"/>
        <w:sz w:val="21"/>
        <w:szCs w:val="21"/>
        <w:lang w:val="en-US" w:eastAsia="zh-CN" w:bidi="ar-SA"/>
      </w:rPr>
    </w:rPrDefault>
    <w:pPrDefault>
      <w:pPr>
        <w:spacing w:after="200" w:line="276" w:lineRule="auto"/>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before="0"/>
      <w:ind w:firstLine="420"/>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生成式人工智能医疗服务中的公众认知配置与人机治理</dc:title>
  <dc:subject/>
  <dc:creator/>
  <cp:keywords/>
  <dc:description/>
  <cp:lastModifiedBy/>
  <cp:revision>32</cp:revision>
  <dcterms:created xsi:type="dcterms:W3CDTF">2013-12-23T23:15:00Z</dcterms:created>
  <dcterms:modified xsi:type="dcterms:W3CDTF">2026-08-28T08:24:00Z</dcterms:modified>
  <cp:category/>
</cp:coreProperties>
</file>